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4DCCB" w14:textId="10221842" w:rsidR="00EE59C2" w:rsidRPr="00C81573" w:rsidRDefault="00E108BE" w:rsidP="00EE59C2">
      <w:pPr>
        <w:pStyle w:val="aff7"/>
      </w:pPr>
      <w:r w:rsidRPr="00C81573">
        <w:rPr>
          <w:noProof/>
          <w:lang w:eastAsia="ru-RU"/>
        </w:rPr>
        <mc:AlternateContent>
          <mc:Choice Requires="wps">
            <w:drawing>
              <wp:anchor distT="0" distB="0" distL="114300" distR="114300" simplePos="0" relativeHeight="251658240" behindDoc="1" locked="0" layoutInCell="1" allowOverlap="1" wp14:anchorId="18BDCC58" wp14:editId="31EED2D0">
                <wp:simplePos x="0" y="0"/>
                <wp:positionH relativeFrom="column">
                  <wp:posOffset>-812849</wp:posOffset>
                </wp:positionH>
                <wp:positionV relativeFrom="paragraph">
                  <wp:posOffset>-30773</wp:posOffset>
                </wp:positionV>
                <wp:extent cx="7000875" cy="9594166"/>
                <wp:effectExtent l="0" t="0" r="0" b="0"/>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95941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82615" w14:textId="7EE4A294" w:rsidR="00342EE0" w:rsidRDefault="00342EE0" w:rsidP="00F8226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BDCC58" id="Прямоугольник 3" o:spid="_x0000_s1026" style="position:absolute;left:0;text-align:left;margin-left:-64pt;margin-top:-2.4pt;width:551.25pt;height:75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" stroked="f">
                <v:path arrowok="t"/>
                <v:textbox>
                  <w:txbxContent>
                    <w:p w14:paraId="49982615" w14:textId="7EE4A294" w:rsidR="00342EE0" w:rsidRDefault="00342EE0" w:rsidP="00F8226D">
                      <w:pPr>
                        <w:jc w:val="center"/>
                      </w:pPr>
                    </w:p>
                  </w:txbxContent>
                </v:textbox>
              </v:rect>
            </w:pict>
          </mc:Fallback>
        </mc:AlternateContent>
      </w:r>
      <w:r w:rsidRPr="00C81573">
        <w:rPr>
          <w:noProof/>
          <w:lang w:eastAsia="ru-RU"/>
        </w:rPr>
        <mc:AlternateContent>
          <mc:Choice Requires="wps">
            <w:drawing>
              <wp:anchor distT="0" distB="0" distL="114300" distR="114300" simplePos="0" relativeHeight="251657216" behindDoc="1" locked="0" layoutInCell="1" allowOverlap="1" wp14:anchorId="0D3FD9EC" wp14:editId="0BBCCBEC">
                <wp:simplePos x="0" y="0"/>
                <wp:positionH relativeFrom="page">
                  <wp:posOffset>-35560</wp:posOffset>
                </wp:positionH>
                <wp:positionV relativeFrom="paragraph">
                  <wp:posOffset>-1075690</wp:posOffset>
                </wp:positionV>
                <wp:extent cx="7601585" cy="11021060"/>
                <wp:effectExtent l="0" t="0" r="5715" b="254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rect w14:anchorId="1D6E4D6D" id="Прямоугольник 3" o:spid="_x0000_s1026" style="position:absolute;margin-left:-2.8pt;margin-top:-84.7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" fillcolor="#0b595d" stroked="f" strokeweight="1pt">
                <v:fill opacity="6682f"/>
                <w10:wrap anchorx="page"/>
              </v:rect>
            </w:pict>
          </mc:Fallback>
        </mc:AlternateContent>
      </w:r>
    </w:p>
    <w:p w14:paraId="0B5712F1" w14:textId="10B879B7" w:rsidR="00EE59C2" w:rsidRPr="00C81573" w:rsidRDefault="00EE59C2" w:rsidP="00E108BE">
      <w:pPr>
        <w:pStyle w:val="aff7"/>
        <w:ind w:left="-426"/>
      </w:pPr>
    </w:p>
    <w:p w14:paraId="267E6E0F" w14:textId="77777777" w:rsidR="002145F1" w:rsidRPr="00C81573" w:rsidRDefault="002145F1" w:rsidP="002145F1"/>
    <w:tbl>
      <w:tblPr>
        <w:tblpPr w:leftFromText="180" w:rightFromText="180" w:vertAnchor="page" w:horzAnchor="margin" w:tblpX="-499" w:tblpY="3381"/>
        <w:tblW w:w="9567" w:type="dxa"/>
        <w:tblLook w:val="04A0" w:firstRow="1" w:lastRow="0" w:firstColumn="1" w:lastColumn="0" w:noHBand="0" w:noVBand="1"/>
      </w:tblPr>
      <w:tblGrid>
        <w:gridCol w:w="3686"/>
        <w:gridCol w:w="3539"/>
        <w:gridCol w:w="2342"/>
      </w:tblGrid>
      <w:tr w:rsidR="00E108BE" w:rsidRPr="00C81573" w14:paraId="4C1083EF" w14:textId="77777777" w:rsidTr="0073274D">
        <w:tc>
          <w:tcPr>
            <w:tcW w:w="9567" w:type="dxa"/>
            <w:gridSpan w:val="3"/>
          </w:tcPr>
          <w:p w14:paraId="00DA26D6" w14:textId="77777777" w:rsidR="00E108BE" w:rsidRPr="00C81573" w:rsidRDefault="00E108BE" w:rsidP="00E108BE">
            <w:pPr>
              <w:tabs>
                <w:tab w:val="left" w:pos="6135"/>
              </w:tabs>
              <w:rPr>
                <w:sz w:val="28"/>
                <w:szCs w:val="28"/>
              </w:rPr>
            </w:pPr>
            <w:r w:rsidRPr="00C81573">
              <w:rPr>
                <w:color w:val="808080"/>
              </w:rPr>
              <w:t xml:space="preserve">Клинические </w:t>
            </w:r>
            <w:r w:rsidRPr="00C81573">
              <w:rPr>
                <w:noProof/>
                <w:color w:val="767171"/>
                <w:lang w:eastAsia="ru-RU"/>
              </w:rPr>
              <w:t>рекомендации</w:t>
            </w:r>
          </w:p>
        </w:tc>
      </w:tr>
      <w:tr w:rsidR="00E108BE" w:rsidRPr="00C81573" w14:paraId="5A34259C" w14:textId="77777777" w:rsidTr="0073274D">
        <w:trPr>
          <w:trHeight w:val="1907"/>
        </w:trPr>
        <w:tc>
          <w:tcPr>
            <w:tcW w:w="9567" w:type="dxa"/>
            <w:gridSpan w:val="3"/>
          </w:tcPr>
          <w:p w14:paraId="30A23767" w14:textId="46D665A7" w:rsidR="00E108BE" w:rsidRPr="00C81573" w:rsidRDefault="004F09AF" w:rsidP="00E108BE">
            <w:pPr>
              <w:tabs>
                <w:tab w:val="left" w:pos="6135"/>
              </w:tabs>
              <w:rPr>
                <w:sz w:val="28"/>
                <w:szCs w:val="28"/>
              </w:rPr>
            </w:pPr>
            <w:r>
              <w:rPr>
                <w:b/>
                <w:color w:val="000000"/>
                <w:sz w:val="44"/>
                <w:szCs w:val="44"/>
              </w:rPr>
              <w:t>Лимфома маргинальной зоны</w:t>
            </w:r>
          </w:p>
        </w:tc>
      </w:tr>
      <w:tr w:rsidR="00E108BE" w:rsidRPr="00C81573" w14:paraId="0EBE80AA" w14:textId="77777777" w:rsidTr="0073274D">
        <w:trPr>
          <w:trHeight w:val="815"/>
        </w:trPr>
        <w:tc>
          <w:tcPr>
            <w:tcW w:w="3686" w:type="dxa"/>
          </w:tcPr>
          <w:p w14:paraId="1D93BE8C" w14:textId="77777777" w:rsidR="00E108BE" w:rsidRPr="00C81573" w:rsidRDefault="00E108BE" w:rsidP="00E108BE">
            <w:pPr>
              <w:tabs>
                <w:tab w:val="left" w:pos="6135"/>
              </w:tabs>
              <w:spacing w:line="276" w:lineRule="auto"/>
              <w:ind w:firstLine="0"/>
              <w:jc w:val="right"/>
              <w:rPr>
                <w:szCs w:val="28"/>
              </w:rPr>
            </w:pPr>
            <w:r w:rsidRPr="00C81573">
              <w:rPr>
                <w:color w:val="808080"/>
                <w:szCs w:val="28"/>
              </w:rPr>
              <w:t xml:space="preserve">Кодирование по Международной статистической классификации болезней и проблем, связанных со здоровьем: </w:t>
            </w:r>
          </w:p>
          <w:p w14:paraId="4801B16A" w14:textId="77777777" w:rsidR="00E108BE" w:rsidRPr="00C81573" w:rsidRDefault="00E108BE" w:rsidP="00E108BE">
            <w:pPr>
              <w:pStyle w:val="aff3"/>
              <w:spacing w:line="276" w:lineRule="auto"/>
              <w:ind w:firstLine="0"/>
              <w:jc w:val="right"/>
              <w:rPr>
                <w:sz w:val="24"/>
                <w:szCs w:val="28"/>
              </w:rPr>
            </w:pPr>
          </w:p>
        </w:tc>
        <w:tc>
          <w:tcPr>
            <w:tcW w:w="5881" w:type="dxa"/>
            <w:gridSpan w:val="2"/>
          </w:tcPr>
          <w:p w14:paraId="03FFFDF6" w14:textId="64D61E3C" w:rsidR="00E108BE" w:rsidRPr="00C81573" w:rsidRDefault="004F09AF" w:rsidP="00E108BE">
            <w:pPr>
              <w:tabs>
                <w:tab w:val="left" w:pos="6135"/>
              </w:tabs>
              <w:spacing w:line="276" w:lineRule="auto"/>
              <w:ind w:firstLine="0"/>
              <w:jc w:val="left"/>
              <w:rPr>
                <w:szCs w:val="28"/>
              </w:rPr>
            </w:pPr>
            <w:r>
              <w:rPr>
                <w:szCs w:val="28"/>
              </w:rPr>
              <w:t>С83.0</w:t>
            </w:r>
          </w:p>
        </w:tc>
      </w:tr>
      <w:tr w:rsidR="00E108BE" w:rsidRPr="00C81573" w14:paraId="283EDF46" w14:textId="77777777" w:rsidTr="0073274D">
        <w:trPr>
          <w:trHeight w:val="815"/>
        </w:trPr>
        <w:tc>
          <w:tcPr>
            <w:tcW w:w="3686" w:type="dxa"/>
          </w:tcPr>
          <w:p w14:paraId="3D5AB95F" w14:textId="77777777" w:rsidR="00E108BE" w:rsidRPr="00C81573" w:rsidRDefault="00E108BE" w:rsidP="00E108BE">
            <w:pPr>
              <w:tabs>
                <w:tab w:val="left" w:pos="6135"/>
              </w:tabs>
              <w:spacing w:line="276" w:lineRule="auto"/>
              <w:ind w:firstLine="0"/>
              <w:jc w:val="right"/>
              <w:rPr>
                <w:color w:val="808080"/>
                <w:szCs w:val="28"/>
              </w:rPr>
            </w:pPr>
            <w:r w:rsidRPr="00C81573">
              <w:rPr>
                <w:rStyle w:val="pop-slug-vol"/>
                <w:color w:val="767171"/>
                <w:szCs w:val="28"/>
              </w:rPr>
              <w:t>Возрастная группа:</w:t>
            </w:r>
          </w:p>
        </w:tc>
        <w:tc>
          <w:tcPr>
            <w:tcW w:w="5881" w:type="dxa"/>
            <w:gridSpan w:val="2"/>
          </w:tcPr>
          <w:p w14:paraId="5C865384" w14:textId="183485A0" w:rsidR="00E108BE" w:rsidRPr="00C81573" w:rsidRDefault="004F09AF" w:rsidP="00E108BE">
            <w:pPr>
              <w:tabs>
                <w:tab w:val="left" w:pos="6135"/>
              </w:tabs>
              <w:spacing w:line="276" w:lineRule="auto"/>
              <w:ind w:firstLine="0"/>
              <w:jc w:val="left"/>
              <w:rPr>
                <w:color w:val="808080"/>
                <w:szCs w:val="28"/>
              </w:rPr>
            </w:pPr>
            <w:r>
              <w:rPr>
                <w:color w:val="808080"/>
                <w:szCs w:val="28"/>
              </w:rPr>
              <w:t>Взрослые</w:t>
            </w:r>
          </w:p>
        </w:tc>
      </w:tr>
      <w:tr w:rsidR="00E108BE" w:rsidRPr="00C81573" w14:paraId="0D04BC66" w14:textId="77777777" w:rsidTr="0073274D">
        <w:trPr>
          <w:trHeight w:val="815"/>
        </w:trPr>
        <w:tc>
          <w:tcPr>
            <w:tcW w:w="3686" w:type="dxa"/>
          </w:tcPr>
          <w:p w14:paraId="0F083EA0" w14:textId="77777777" w:rsidR="00E108BE" w:rsidRPr="00C81573" w:rsidRDefault="00E108BE" w:rsidP="00E108BE">
            <w:pPr>
              <w:tabs>
                <w:tab w:val="left" w:pos="6135"/>
              </w:tabs>
              <w:spacing w:line="276" w:lineRule="auto"/>
              <w:ind w:firstLine="0"/>
              <w:jc w:val="right"/>
              <w:rPr>
                <w:color w:val="808080"/>
                <w:szCs w:val="28"/>
              </w:rPr>
            </w:pPr>
            <w:r w:rsidRPr="00C81573">
              <w:rPr>
                <w:color w:val="808080"/>
              </w:rPr>
              <w:t>Год утверждения:</w:t>
            </w:r>
          </w:p>
        </w:tc>
        <w:tc>
          <w:tcPr>
            <w:tcW w:w="5881" w:type="dxa"/>
            <w:gridSpan w:val="2"/>
          </w:tcPr>
          <w:p w14:paraId="4A572A76" w14:textId="5C32A9FA" w:rsidR="00E108BE" w:rsidRPr="00C81573" w:rsidRDefault="00E108BE" w:rsidP="00E108BE">
            <w:pPr>
              <w:tabs>
                <w:tab w:val="left" w:pos="6135"/>
              </w:tabs>
              <w:spacing w:line="276" w:lineRule="auto"/>
              <w:ind w:firstLine="0"/>
              <w:jc w:val="left"/>
              <w:rPr>
                <w:b/>
              </w:rPr>
            </w:pPr>
          </w:p>
        </w:tc>
      </w:tr>
      <w:tr w:rsidR="00E108BE" w:rsidRPr="00C81573" w14:paraId="17C154E0" w14:textId="77777777" w:rsidTr="0073274D">
        <w:tc>
          <w:tcPr>
            <w:tcW w:w="9567" w:type="dxa"/>
            <w:gridSpan w:val="3"/>
          </w:tcPr>
          <w:p w14:paraId="09BC4C21" w14:textId="77777777" w:rsidR="00E108BE" w:rsidRPr="00C81573" w:rsidRDefault="00E108BE" w:rsidP="00E108BE">
            <w:pPr>
              <w:tabs>
                <w:tab w:val="left" w:pos="6135"/>
              </w:tabs>
              <w:ind w:firstLine="0"/>
              <w:rPr>
                <w:color w:val="FF0000"/>
                <w:sz w:val="20"/>
                <w:szCs w:val="20"/>
              </w:rPr>
            </w:pPr>
            <w:r w:rsidRPr="00C81573">
              <w:rPr>
                <w:color w:val="808080"/>
              </w:rPr>
              <w:t>Разработчик клинической рекомендации:</w:t>
            </w:r>
          </w:p>
        </w:tc>
      </w:tr>
      <w:tr w:rsidR="0073274D" w:rsidRPr="00C81573" w14:paraId="5FB484DF" w14:textId="77777777" w:rsidTr="0073274D">
        <w:trPr>
          <w:trHeight w:val="4170"/>
        </w:trPr>
        <w:tc>
          <w:tcPr>
            <w:tcW w:w="7225" w:type="dxa"/>
            <w:gridSpan w:val="2"/>
          </w:tcPr>
          <w:p w14:paraId="3881A334" w14:textId="77777777" w:rsidR="0073274D" w:rsidRDefault="0073274D" w:rsidP="0073274D">
            <w:pPr>
              <w:pStyle w:val="aff7"/>
              <w:numPr>
                <w:ilvl w:val="0"/>
                <w:numId w:val="2"/>
              </w:numPr>
              <w:ind w:left="459"/>
              <w:jc w:val="left"/>
            </w:pPr>
            <w:r w:rsidRPr="000322E4">
              <w:t>Российское общество онкогематологов</w:t>
            </w:r>
          </w:p>
          <w:p w14:paraId="605ED609" w14:textId="77777777" w:rsidR="0073274D" w:rsidRPr="000322E4" w:rsidRDefault="0073274D" w:rsidP="0073274D">
            <w:pPr>
              <w:pStyle w:val="aff7"/>
              <w:ind w:left="459" w:firstLine="0"/>
              <w:jc w:val="left"/>
            </w:pPr>
            <w:r>
              <w:t>Председатель РООГ, академик РАН, д.м.н., проф.</w:t>
            </w:r>
          </w:p>
          <w:p w14:paraId="3145F06F" w14:textId="77777777" w:rsidR="0073274D" w:rsidRPr="003B14E2" w:rsidRDefault="0073274D" w:rsidP="0073274D">
            <w:pPr>
              <w:pStyle w:val="aff7"/>
              <w:ind w:left="459" w:firstLine="0"/>
              <w:jc w:val="left"/>
              <w:rPr>
                <w:b/>
                <w:color w:val="000000" w:themeColor="text1"/>
                <w:sz w:val="28"/>
              </w:rPr>
            </w:pPr>
          </w:p>
          <w:p w14:paraId="6325B201" w14:textId="77777777" w:rsidR="0073274D" w:rsidRPr="002A6D97" w:rsidRDefault="0073274D" w:rsidP="0073274D">
            <w:pPr>
              <w:pStyle w:val="aff7"/>
              <w:numPr>
                <w:ilvl w:val="0"/>
                <w:numId w:val="2"/>
              </w:numPr>
              <w:ind w:left="459"/>
              <w:jc w:val="left"/>
              <w:rPr>
                <w:b/>
                <w:color w:val="000000" w:themeColor="text1"/>
                <w:sz w:val="28"/>
              </w:rPr>
            </w:pPr>
            <w:r w:rsidRPr="00D625D4">
              <w:rPr>
                <w:color w:val="000000" w:themeColor="text1"/>
              </w:rPr>
              <w:t>Ассоциация содействия развитию гематологии и трансплантации костного мозга «</w:t>
            </w:r>
            <w:r w:rsidRPr="00D625D4">
              <w:rPr>
                <w:bCs/>
                <w:color w:val="000000" w:themeColor="text1"/>
              </w:rPr>
              <w:t>Национальное гематологическое общество»</w:t>
            </w:r>
            <w:r w:rsidRPr="00D625D4">
              <w:rPr>
                <w:color w:val="000000" w:themeColor="text1"/>
              </w:rPr>
              <w:t xml:space="preserve"> </w:t>
            </w:r>
          </w:p>
          <w:p w14:paraId="382ACED8" w14:textId="77777777" w:rsidR="0073274D" w:rsidRPr="002A6D97" w:rsidRDefault="0073274D" w:rsidP="0073274D">
            <w:pPr>
              <w:pStyle w:val="aff7"/>
              <w:ind w:left="459" w:firstLine="0"/>
              <w:jc w:val="left"/>
              <w:rPr>
                <w:bCs/>
                <w:color w:val="000000" w:themeColor="text1"/>
                <w:sz w:val="28"/>
              </w:rPr>
            </w:pPr>
            <w:r>
              <w:rPr>
                <w:bCs/>
                <w:color w:val="000000" w:themeColor="text1"/>
              </w:rPr>
              <w:t>Председатель ассоциации НГО, д.м.н., проф.</w:t>
            </w:r>
          </w:p>
          <w:p w14:paraId="5D4DFF52" w14:textId="77777777" w:rsidR="0073274D" w:rsidRPr="003B14E2" w:rsidRDefault="0073274D" w:rsidP="0073274D">
            <w:pPr>
              <w:pStyle w:val="aff7"/>
              <w:ind w:left="459" w:firstLine="0"/>
              <w:jc w:val="left"/>
              <w:rPr>
                <w:b/>
                <w:sz w:val="28"/>
              </w:rPr>
            </w:pPr>
          </w:p>
          <w:p w14:paraId="1448D83D" w14:textId="77777777" w:rsidR="0073274D" w:rsidRPr="003B14E2" w:rsidRDefault="0073274D" w:rsidP="0073274D">
            <w:pPr>
              <w:pStyle w:val="aff7"/>
              <w:numPr>
                <w:ilvl w:val="0"/>
                <w:numId w:val="2"/>
              </w:numPr>
              <w:ind w:left="459"/>
              <w:jc w:val="left"/>
              <w:rPr>
                <w:b/>
                <w:sz w:val="28"/>
              </w:rPr>
            </w:pPr>
            <w:r w:rsidRPr="000322E4">
              <w:t>Ассоциация онкологов России</w:t>
            </w:r>
          </w:p>
          <w:p w14:paraId="499C61C5" w14:textId="77777777" w:rsidR="0073274D" w:rsidRPr="003B14E2" w:rsidRDefault="0073274D" w:rsidP="0073274D">
            <w:pPr>
              <w:pStyle w:val="aff7"/>
              <w:ind w:left="459" w:firstLine="0"/>
              <w:jc w:val="left"/>
              <w:rPr>
                <w:bCs/>
                <w:sz w:val="28"/>
              </w:rPr>
            </w:pPr>
            <w:r>
              <w:rPr>
                <w:bCs/>
              </w:rPr>
              <w:t>Президент АОР, академик РАН, д.м.н., проф.</w:t>
            </w:r>
          </w:p>
          <w:p w14:paraId="5056A1D1" w14:textId="2CBF0DD0" w:rsidR="0073274D" w:rsidRPr="00C81573" w:rsidRDefault="0073274D" w:rsidP="0073274D">
            <w:pPr>
              <w:pStyle w:val="aff7"/>
              <w:jc w:val="left"/>
              <w:rPr>
                <w:b/>
                <w:sz w:val="28"/>
              </w:rPr>
            </w:pPr>
          </w:p>
        </w:tc>
        <w:tc>
          <w:tcPr>
            <w:tcW w:w="2342" w:type="dxa"/>
          </w:tcPr>
          <w:p w14:paraId="6EE77F11" w14:textId="77777777" w:rsidR="0073274D" w:rsidRPr="002A6D97" w:rsidRDefault="0073274D" w:rsidP="0073274D">
            <w:pPr>
              <w:pStyle w:val="aff7"/>
              <w:jc w:val="right"/>
              <w:rPr>
                <w:bCs/>
                <w:szCs w:val="24"/>
              </w:rPr>
            </w:pPr>
          </w:p>
          <w:p w14:paraId="4202A244" w14:textId="77777777" w:rsidR="0073274D" w:rsidRDefault="0073274D" w:rsidP="0073274D">
            <w:pPr>
              <w:pStyle w:val="aff7"/>
              <w:ind w:firstLine="0"/>
              <w:jc w:val="right"/>
              <w:rPr>
                <w:bCs/>
                <w:szCs w:val="24"/>
              </w:rPr>
            </w:pPr>
            <w:r w:rsidRPr="002A6D97">
              <w:rPr>
                <w:bCs/>
                <w:szCs w:val="24"/>
              </w:rPr>
              <w:t>И.В. Поддубная</w:t>
            </w:r>
          </w:p>
          <w:p w14:paraId="7A17E48A" w14:textId="77777777" w:rsidR="0073274D" w:rsidRDefault="0073274D" w:rsidP="0073274D">
            <w:pPr>
              <w:pStyle w:val="aff7"/>
              <w:ind w:firstLine="0"/>
              <w:jc w:val="right"/>
              <w:rPr>
                <w:bCs/>
                <w:szCs w:val="24"/>
              </w:rPr>
            </w:pPr>
          </w:p>
          <w:p w14:paraId="01A77A2C" w14:textId="77777777" w:rsidR="0073274D" w:rsidRDefault="0073274D" w:rsidP="0073274D">
            <w:pPr>
              <w:pStyle w:val="aff7"/>
              <w:ind w:firstLine="0"/>
              <w:jc w:val="right"/>
              <w:rPr>
                <w:bCs/>
                <w:szCs w:val="24"/>
              </w:rPr>
            </w:pPr>
          </w:p>
          <w:p w14:paraId="11069D2A" w14:textId="77777777" w:rsidR="0073274D" w:rsidRDefault="0073274D" w:rsidP="0073274D">
            <w:pPr>
              <w:pStyle w:val="aff7"/>
              <w:ind w:firstLine="0"/>
              <w:jc w:val="right"/>
              <w:rPr>
                <w:bCs/>
                <w:szCs w:val="24"/>
              </w:rPr>
            </w:pPr>
          </w:p>
          <w:p w14:paraId="45C80A0F" w14:textId="77777777" w:rsidR="0073274D" w:rsidRDefault="0073274D" w:rsidP="0073274D">
            <w:pPr>
              <w:pStyle w:val="aff7"/>
              <w:ind w:firstLine="0"/>
              <w:jc w:val="right"/>
              <w:rPr>
                <w:bCs/>
                <w:szCs w:val="24"/>
              </w:rPr>
            </w:pPr>
          </w:p>
          <w:p w14:paraId="2636B077" w14:textId="77777777" w:rsidR="0073274D" w:rsidRDefault="0073274D" w:rsidP="0073274D">
            <w:pPr>
              <w:pStyle w:val="aff7"/>
              <w:ind w:firstLine="0"/>
              <w:jc w:val="right"/>
              <w:rPr>
                <w:bCs/>
                <w:szCs w:val="24"/>
              </w:rPr>
            </w:pPr>
            <w:r>
              <w:rPr>
                <w:bCs/>
                <w:szCs w:val="24"/>
              </w:rPr>
              <w:t>Е.Н. Паровичникова</w:t>
            </w:r>
          </w:p>
          <w:p w14:paraId="1B1C7A48" w14:textId="77777777" w:rsidR="0073274D" w:rsidRDefault="0073274D" w:rsidP="0073274D">
            <w:pPr>
              <w:pStyle w:val="aff7"/>
              <w:ind w:firstLine="0"/>
              <w:jc w:val="right"/>
              <w:rPr>
                <w:bCs/>
                <w:szCs w:val="24"/>
              </w:rPr>
            </w:pPr>
          </w:p>
          <w:p w14:paraId="2E8BE6B6" w14:textId="77777777" w:rsidR="0073274D" w:rsidRDefault="0073274D" w:rsidP="0073274D">
            <w:pPr>
              <w:pStyle w:val="aff7"/>
              <w:ind w:firstLine="0"/>
              <w:jc w:val="right"/>
              <w:rPr>
                <w:bCs/>
                <w:szCs w:val="24"/>
              </w:rPr>
            </w:pPr>
          </w:p>
          <w:p w14:paraId="481EA3B1" w14:textId="77777777" w:rsidR="0073274D" w:rsidRDefault="0073274D" w:rsidP="0073274D">
            <w:pPr>
              <w:pStyle w:val="aff7"/>
              <w:ind w:firstLine="0"/>
              <w:jc w:val="right"/>
              <w:rPr>
                <w:bCs/>
                <w:szCs w:val="24"/>
              </w:rPr>
            </w:pPr>
          </w:p>
          <w:p w14:paraId="5A7A9364" w14:textId="77777777" w:rsidR="0073274D" w:rsidRDefault="0073274D" w:rsidP="0073274D">
            <w:pPr>
              <w:pStyle w:val="aff7"/>
              <w:ind w:firstLine="0"/>
              <w:jc w:val="right"/>
              <w:rPr>
                <w:bCs/>
                <w:szCs w:val="24"/>
              </w:rPr>
            </w:pPr>
            <w:r>
              <w:rPr>
                <w:bCs/>
                <w:szCs w:val="24"/>
              </w:rPr>
              <w:t>А.Д. Каприн</w:t>
            </w:r>
          </w:p>
          <w:p w14:paraId="2B755838" w14:textId="77777777" w:rsidR="0073274D" w:rsidRDefault="0073274D" w:rsidP="0073274D">
            <w:pPr>
              <w:pStyle w:val="aff7"/>
              <w:ind w:firstLine="0"/>
              <w:jc w:val="right"/>
              <w:rPr>
                <w:bCs/>
                <w:szCs w:val="24"/>
              </w:rPr>
            </w:pPr>
          </w:p>
          <w:p w14:paraId="3CB0A4F1" w14:textId="16B1E430" w:rsidR="0073274D" w:rsidRPr="00C81573" w:rsidRDefault="0073274D" w:rsidP="0073274D">
            <w:pPr>
              <w:pStyle w:val="aff7"/>
              <w:ind w:firstLine="0"/>
              <w:rPr>
                <w:b/>
                <w:sz w:val="28"/>
              </w:rPr>
            </w:pPr>
          </w:p>
        </w:tc>
      </w:tr>
    </w:tbl>
    <w:p w14:paraId="5B510C5D" w14:textId="77777777" w:rsidR="002145F1" w:rsidRPr="00C81573" w:rsidRDefault="002145F1" w:rsidP="002145F1"/>
    <w:p w14:paraId="4F544099" w14:textId="77777777" w:rsidR="002145F1" w:rsidRPr="00C81573" w:rsidRDefault="002145F1" w:rsidP="002145F1"/>
    <w:p w14:paraId="6E3F0E3D" w14:textId="77777777" w:rsidR="002145F1" w:rsidRPr="00C81573" w:rsidRDefault="002145F1" w:rsidP="002145F1"/>
    <w:p w14:paraId="511A3C6A" w14:textId="77777777" w:rsidR="00094ED6" w:rsidRPr="00C81573" w:rsidRDefault="00094ED6">
      <w:pPr>
        <w:spacing w:line="240" w:lineRule="auto"/>
        <w:ind w:firstLine="0"/>
        <w:jc w:val="left"/>
      </w:pPr>
      <w:bookmarkStart w:id="0" w:name="_Toc492379891"/>
      <w:r w:rsidRPr="00C81573">
        <w:rPr>
          <w:b/>
        </w:rPr>
        <w:br w:type="page"/>
      </w:r>
    </w:p>
    <w:p w14:paraId="768C7E61" w14:textId="77777777" w:rsidR="00172112" w:rsidRPr="00C81573" w:rsidRDefault="00172112" w:rsidP="00172112">
      <w:pPr>
        <w:pStyle w:val="afe"/>
        <w:jc w:val="center"/>
        <w:rPr>
          <w:sz w:val="28"/>
          <w:u w:val="none"/>
        </w:rPr>
      </w:pPr>
      <w:bookmarkStart w:id="1" w:name="_Toc11747726"/>
      <w:bookmarkStart w:id="2" w:name="_Toc103332078"/>
      <w:r w:rsidRPr="00C81573">
        <w:rPr>
          <w:sz w:val="28"/>
          <w:u w:val="none"/>
        </w:rPr>
        <w:lastRenderedPageBreak/>
        <w:t>Оглавление</w:t>
      </w:r>
      <w:bookmarkEnd w:id="0"/>
      <w:bookmarkEnd w:id="1"/>
      <w:bookmarkEnd w:id="2"/>
    </w:p>
    <w:p w14:paraId="3B9E5455" w14:textId="6A990AD6" w:rsidR="00EF3174" w:rsidRDefault="005653DE">
      <w:pPr>
        <w:pStyle w:val="19"/>
        <w:rPr>
          <w:rFonts w:asciiTheme="minorHAnsi" w:eastAsiaTheme="minorEastAsia" w:hAnsiTheme="minorHAnsi" w:cstheme="minorBidi"/>
          <w:noProof/>
          <w:szCs w:val="24"/>
          <w:lang w:eastAsia="ru-RU"/>
        </w:rPr>
      </w:pPr>
      <w:r w:rsidRPr="00C81573">
        <w:rPr>
          <w:szCs w:val="24"/>
        </w:rPr>
        <w:fldChar w:fldCharType="begin"/>
      </w:r>
      <w:r w:rsidR="00172112" w:rsidRPr="00C81573">
        <w:rPr>
          <w:szCs w:val="24"/>
        </w:rPr>
        <w:instrText xml:space="preserve"> TOC \o "1-3" \h \z \u </w:instrText>
      </w:r>
      <w:r w:rsidRPr="00C81573">
        <w:rPr>
          <w:szCs w:val="24"/>
        </w:rPr>
        <w:fldChar w:fldCharType="separate"/>
      </w:r>
      <w:hyperlink w:anchor="_Toc103332078" w:history="1">
        <w:r w:rsidR="00EF3174" w:rsidRPr="003C735E">
          <w:rPr>
            <w:rStyle w:val="affb"/>
            <w:noProof/>
          </w:rPr>
          <w:t>Оглавление</w:t>
        </w:r>
        <w:r w:rsidR="00EF3174">
          <w:rPr>
            <w:noProof/>
            <w:webHidden/>
          </w:rPr>
          <w:tab/>
        </w:r>
        <w:r w:rsidR="00EF3174">
          <w:rPr>
            <w:noProof/>
            <w:webHidden/>
          </w:rPr>
          <w:fldChar w:fldCharType="begin"/>
        </w:r>
        <w:r w:rsidR="00EF3174">
          <w:rPr>
            <w:noProof/>
            <w:webHidden/>
          </w:rPr>
          <w:instrText xml:space="preserve"> PAGEREF _Toc103332078 \h </w:instrText>
        </w:r>
        <w:r w:rsidR="00EF3174">
          <w:rPr>
            <w:noProof/>
            <w:webHidden/>
          </w:rPr>
        </w:r>
        <w:r w:rsidR="00EF3174">
          <w:rPr>
            <w:noProof/>
            <w:webHidden/>
          </w:rPr>
          <w:fldChar w:fldCharType="separate"/>
        </w:r>
        <w:r w:rsidR="00EF3174">
          <w:rPr>
            <w:noProof/>
            <w:webHidden/>
          </w:rPr>
          <w:t>2</w:t>
        </w:r>
        <w:r w:rsidR="00EF3174">
          <w:rPr>
            <w:noProof/>
            <w:webHidden/>
          </w:rPr>
          <w:fldChar w:fldCharType="end"/>
        </w:r>
      </w:hyperlink>
    </w:p>
    <w:p w14:paraId="44162402" w14:textId="00824A82" w:rsidR="00EF3174" w:rsidRDefault="00EF3174">
      <w:pPr>
        <w:pStyle w:val="19"/>
        <w:rPr>
          <w:rFonts w:asciiTheme="minorHAnsi" w:eastAsiaTheme="minorEastAsia" w:hAnsiTheme="minorHAnsi" w:cstheme="minorBidi"/>
          <w:noProof/>
          <w:szCs w:val="24"/>
          <w:lang w:eastAsia="ru-RU"/>
        </w:rPr>
      </w:pPr>
      <w:hyperlink w:anchor="_Toc103332079" w:history="1">
        <w:r w:rsidRPr="003C735E">
          <w:rPr>
            <w:rStyle w:val="affb"/>
            <w:noProof/>
          </w:rPr>
          <w:t>Список сокращений</w:t>
        </w:r>
        <w:r>
          <w:rPr>
            <w:noProof/>
            <w:webHidden/>
          </w:rPr>
          <w:tab/>
        </w:r>
        <w:r>
          <w:rPr>
            <w:noProof/>
            <w:webHidden/>
          </w:rPr>
          <w:fldChar w:fldCharType="begin"/>
        </w:r>
        <w:r>
          <w:rPr>
            <w:noProof/>
            <w:webHidden/>
          </w:rPr>
          <w:instrText xml:space="preserve"> PAGEREF _Toc103332079 \h </w:instrText>
        </w:r>
        <w:r>
          <w:rPr>
            <w:noProof/>
            <w:webHidden/>
          </w:rPr>
        </w:r>
        <w:r>
          <w:rPr>
            <w:noProof/>
            <w:webHidden/>
          </w:rPr>
          <w:fldChar w:fldCharType="separate"/>
        </w:r>
        <w:r>
          <w:rPr>
            <w:noProof/>
            <w:webHidden/>
          </w:rPr>
          <w:t>5</w:t>
        </w:r>
        <w:r>
          <w:rPr>
            <w:noProof/>
            <w:webHidden/>
          </w:rPr>
          <w:fldChar w:fldCharType="end"/>
        </w:r>
      </w:hyperlink>
    </w:p>
    <w:p w14:paraId="2070467B" w14:textId="61B4B359" w:rsidR="00EF3174" w:rsidRDefault="00EF3174">
      <w:pPr>
        <w:pStyle w:val="19"/>
        <w:rPr>
          <w:rFonts w:asciiTheme="minorHAnsi" w:eastAsiaTheme="minorEastAsia" w:hAnsiTheme="minorHAnsi" w:cstheme="minorBidi"/>
          <w:noProof/>
          <w:szCs w:val="24"/>
          <w:lang w:eastAsia="ru-RU"/>
        </w:rPr>
      </w:pPr>
      <w:hyperlink w:anchor="_Toc103332080" w:history="1">
        <w:r w:rsidRPr="003C735E">
          <w:rPr>
            <w:rStyle w:val="affb"/>
            <w:noProof/>
          </w:rPr>
          <w:t>Термины и определения</w:t>
        </w:r>
        <w:r>
          <w:rPr>
            <w:noProof/>
            <w:webHidden/>
          </w:rPr>
          <w:tab/>
        </w:r>
        <w:r>
          <w:rPr>
            <w:noProof/>
            <w:webHidden/>
          </w:rPr>
          <w:fldChar w:fldCharType="begin"/>
        </w:r>
        <w:r>
          <w:rPr>
            <w:noProof/>
            <w:webHidden/>
          </w:rPr>
          <w:instrText xml:space="preserve"> PAGEREF _Toc103332080 \h </w:instrText>
        </w:r>
        <w:r>
          <w:rPr>
            <w:noProof/>
            <w:webHidden/>
          </w:rPr>
        </w:r>
        <w:r>
          <w:rPr>
            <w:noProof/>
            <w:webHidden/>
          </w:rPr>
          <w:fldChar w:fldCharType="separate"/>
        </w:r>
        <w:r>
          <w:rPr>
            <w:noProof/>
            <w:webHidden/>
          </w:rPr>
          <w:t>6</w:t>
        </w:r>
        <w:r>
          <w:rPr>
            <w:noProof/>
            <w:webHidden/>
          </w:rPr>
          <w:fldChar w:fldCharType="end"/>
        </w:r>
      </w:hyperlink>
    </w:p>
    <w:p w14:paraId="0E4CA9CA" w14:textId="379C26FD" w:rsidR="00EF3174" w:rsidRDefault="00EF3174">
      <w:pPr>
        <w:pStyle w:val="19"/>
        <w:rPr>
          <w:rFonts w:asciiTheme="minorHAnsi" w:eastAsiaTheme="minorEastAsia" w:hAnsiTheme="minorHAnsi" w:cstheme="minorBidi"/>
          <w:noProof/>
          <w:szCs w:val="24"/>
          <w:lang w:eastAsia="ru-RU"/>
        </w:rPr>
      </w:pPr>
      <w:hyperlink w:anchor="_Toc103332081" w:history="1">
        <w:r w:rsidRPr="003C735E">
          <w:rPr>
            <w:rStyle w:val="affb"/>
            <w:noProof/>
          </w:rPr>
          <w:t>1. Краткая информация по заболеванию или состоянию (группе заболеваний или состояний)</w:t>
        </w:r>
        <w:r>
          <w:rPr>
            <w:noProof/>
            <w:webHidden/>
          </w:rPr>
          <w:tab/>
        </w:r>
        <w:r>
          <w:rPr>
            <w:noProof/>
            <w:webHidden/>
          </w:rPr>
          <w:fldChar w:fldCharType="begin"/>
        </w:r>
        <w:r>
          <w:rPr>
            <w:noProof/>
            <w:webHidden/>
          </w:rPr>
          <w:instrText xml:space="preserve"> PAGEREF _Toc103332081 \h </w:instrText>
        </w:r>
        <w:r>
          <w:rPr>
            <w:noProof/>
            <w:webHidden/>
          </w:rPr>
        </w:r>
        <w:r>
          <w:rPr>
            <w:noProof/>
            <w:webHidden/>
          </w:rPr>
          <w:fldChar w:fldCharType="separate"/>
        </w:r>
        <w:r>
          <w:rPr>
            <w:noProof/>
            <w:webHidden/>
          </w:rPr>
          <w:t>7</w:t>
        </w:r>
        <w:r>
          <w:rPr>
            <w:noProof/>
            <w:webHidden/>
          </w:rPr>
          <w:fldChar w:fldCharType="end"/>
        </w:r>
      </w:hyperlink>
    </w:p>
    <w:p w14:paraId="2E1A5A57" w14:textId="50C00AC7" w:rsidR="00EF3174" w:rsidRDefault="00EF3174">
      <w:pPr>
        <w:pStyle w:val="21"/>
        <w:rPr>
          <w:rFonts w:asciiTheme="minorHAnsi" w:eastAsiaTheme="minorEastAsia" w:hAnsiTheme="minorHAnsi" w:cstheme="minorBidi"/>
          <w:noProof/>
          <w:sz w:val="24"/>
          <w:szCs w:val="24"/>
          <w:lang w:eastAsia="ru-RU"/>
        </w:rPr>
      </w:pPr>
      <w:hyperlink w:anchor="_Toc103332082" w:history="1">
        <w:r w:rsidRPr="003C735E">
          <w:rPr>
            <w:rStyle w:val="affb"/>
            <w:noProof/>
          </w:rPr>
          <w:t xml:space="preserve">1.1 Определение </w:t>
        </w:r>
        <w:r w:rsidRPr="003C735E">
          <w:rPr>
            <w:rStyle w:val="affb"/>
            <w:noProof/>
            <w:shd w:val="clear" w:color="auto" w:fill="FFFFFF"/>
          </w:rPr>
          <w:t>заболевания или состояния (группы заболеваний или состояний)</w:t>
        </w:r>
        <w:r>
          <w:rPr>
            <w:noProof/>
            <w:webHidden/>
          </w:rPr>
          <w:tab/>
        </w:r>
        <w:r>
          <w:rPr>
            <w:noProof/>
            <w:webHidden/>
          </w:rPr>
          <w:fldChar w:fldCharType="begin"/>
        </w:r>
        <w:r>
          <w:rPr>
            <w:noProof/>
            <w:webHidden/>
          </w:rPr>
          <w:instrText xml:space="preserve"> PAGEREF _Toc103332082 \h </w:instrText>
        </w:r>
        <w:r>
          <w:rPr>
            <w:noProof/>
            <w:webHidden/>
          </w:rPr>
        </w:r>
        <w:r>
          <w:rPr>
            <w:noProof/>
            <w:webHidden/>
          </w:rPr>
          <w:fldChar w:fldCharType="separate"/>
        </w:r>
        <w:r>
          <w:rPr>
            <w:noProof/>
            <w:webHidden/>
          </w:rPr>
          <w:t>7</w:t>
        </w:r>
        <w:r>
          <w:rPr>
            <w:noProof/>
            <w:webHidden/>
          </w:rPr>
          <w:fldChar w:fldCharType="end"/>
        </w:r>
      </w:hyperlink>
    </w:p>
    <w:p w14:paraId="440878AC" w14:textId="3B7638D9" w:rsidR="00EF3174" w:rsidRDefault="00EF3174">
      <w:pPr>
        <w:pStyle w:val="21"/>
        <w:rPr>
          <w:rFonts w:asciiTheme="minorHAnsi" w:eastAsiaTheme="minorEastAsia" w:hAnsiTheme="minorHAnsi" w:cstheme="minorBidi"/>
          <w:noProof/>
          <w:sz w:val="24"/>
          <w:szCs w:val="24"/>
          <w:lang w:eastAsia="ru-RU"/>
        </w:rPr>
      </w:pPr>
      <w:hyperlink w:anchor="_Toc103332083" w:history="1">
        <w:r w:rsidRPr="003C735E">
          <w:rPr>
            <w:rStyle w:val="affb"/>
            <w:noProof/>
          </w:rPr>
          <w:t xml:space="preserve">1.2 Этиология и патогенез </w:t>
        </w:r>
        <w:r w:rsidRPr="003C735E">
          <w:rPr>
            <w:rStyle w:val="affb"/>
            <w:noProof/>
            <w:shd w:val="clear" w:color="auto" w:fill="FFFFFF"/>
          </w:rPr>
          <w:t>заболевания или состояния (группы заболеваний или состояний)</w:t>
        </w:r>
        <w:r>
          <w:rPr>
            <w:noProof/>
            <w:webHidden/>
          </w:rPr>
          <w:tab/>
        </w:r>
        <w:r>
          <w:rPr>
            <w:noProof/>
            <w:webHidden/>
          </w:rPr>
          <w:fldChar w:fldCharType="begin"/>
        </w:r>
        <w:r>
          <w:rPr>
            <w:noProof/>
            <w:webHidden/>
          </w:rPr>
          <w:instrText xml:space="preserve"> PAGEREF _Toc103332083 \h </w:instrText>
        </w:r>
        <w:r>
          <w:rPr>
            <w:noProof/>
            <w:webHidden/>
          </w:rPr>
        </w:r>
        <w:r>
          <w:rPr>
            <w:noProof/>
            <w:webHidden/>
          </w:rPr>
          <w:fldChar w:fldCharType="separate"/>
        </w:r>
        <w:r>
          <w:rPr>
            <w:noProof/>
            <w:webHidden/>
          </w:rPr>
          <w:t>7</w:t>
        </w:r>
        <w:r>
          <w:rPr>
            <w:noProof/>
            <w:webHidden/>
          </w:rPr>
          <w:fldChar w:fldCharType="end"/>
        </w:r>
      </w:hyperlink>
    </w:p>
    <w:p w14:paraId="140A39C0" w14:textId="53AC2BC0" w:rsidR="00EF3174" w:rsidRDefault="00EF3174">
      <w:pPr>
        <w:pStyle w:val="21"/>
        <w:rPr>
          <w:rFonts w:asciiTheme="minorHAnsi" w:eastAsiaTheme="minorEastAsia" w:hAnsiTheme="minorHAnsi" w:cstheme="minorBidi"/>
          <w:noProof/>
          <w:sz w:val="24"/>
          <w:szCs w:val="24"/>
          <w:lang w:eastAsia="ru-RU"/>
        </w:rPr>
      </w:pPr>
      <w:hyperlink w:anchor="_Toc103332084" w:history="1">
        <w:r w:rsidRPr="003C735E">
          <w:rPr>
            <w:rStyle w:val="affb"/>
            <w:noProof/>
          </w:rPr>
          <w:t xml:space="preserve">1.3 Эпидемиология </w:t>
        </w:r>
        <w:r w:rsidRPr="003C735E">
          <w:rPr>
            <w:rStyle w:val="affb"/>
            <w:noProof/>
            <w:shd w:val="clear" w:color="auto" w:fill="FFFFFF"/>
          </w:rPr>
          <w:t>заболевания или состояния (группы заболеваний или состояний)</w:t>
        </w:r>
        <w:r>
          <w:rPr>
            <w:noProof/>
            <w:webHidden/>
          </w:rPr>
          <w:tab/>
        </w:r>
        <w:r>
          <w:rPr>
            <w:noProof/>
            <w:webHidden/>
          </w:rPr>
          <w:fldChar w:fldCharType="begin"/>
        </w:r>
        <w:r>
          <w:rPr>
            <w:noProof/>
            <w:webHidden/>
          </w:rPr>
          <w:instrText xml:space="preserve"> PAGEREF _Toc103332084 \h </w:instrText>
        </w:r>
        <w:r>
          <w:rPr>
            <w:noProof/>
            <w:webHidden/>
          </w:rPr>
        </w:r>
        <w:r>
          <w:rPr>
            <w:noProof/>
            <w:webHidden/>
          </w:rPr>
          <w:fldChar w:fldCharType="separate"/>
        </w:r>
        <w:r>
          <w:rPr>
            <w:noProof/>
            <w:webHidden/>
          </w:rPr>
          <w:t>7</w:t>
        </w:r>
        <w:r>
          <w:rPr>
            <w:noProof/>
            <w:webHidden/>
          </w:rPr>
          <w:fldChar w:fldCharType="end"/>
        </w:r>
      </w:hyperlink>
    </w:p>
    <w:p w14:paraId="6756375D" w14:textId="31F159D5" w:rsidR="00EF3174" w:rsidRDefault="00EF3174">
      <w:pPr>
        <w:pStyle w:val="21"/>
        <w:rPr>
          <w:rFonts w:asciiTheme="minorHAnsi" w:eastAsiaTheme="minorEastAsia" w:hAnsiTheme="minorHAnsi" w:cstheme="minorBidi"/>
          <w:noProof/>
          <w:sz w:val="24"/>
          <w:szCs w:val="24"/>
          <w:lang w:eastAsia="ru-RU"/>
        </w:rPr>
      </w:pPr>
      <w:hyperlink w:anchor="_Toc103332085" w:history="1">
        <w:r w:rsidRPr="003C735E">
          <w:rPr>
            <w:rStyle w:val="affb"/>
            <w:noProof/>
          </w:rPr>
          <w:t xml:space="preserve">1.4 </w:t>
        </w:r>
        <w:r w:rsidRPr="003C735E">
          <w:rPr>
            <w:rStyle w:val="affb"/>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Pr>
            <w:noProof/>
            <w:webHidden/>
          </w:rPr>
          <w:tab/>
        </w:r>
        <w:r>
          <w:rPr>
            <w:noProof/>
            <w:webHidden/>
          </w:rPr>
          <w:fldChar w:fldCharType="begin"/>
        </w:r>
        <w:r>
          <w:rPr>
            <w:noProof/>
            <w:webHidden/>
          </w:rPr>
          <w:instrText xml:space="preserve"> PAGEREF _Toc103332085 \h </w:instrText>
        </w:r>
        <w:r>
          <w:rPr>
            <w:noProof/>
            <w:webHidden/>
          </w:rPr>
        </w:r>
        <w:r>
          <w:rPr>
            <w:noProof/>
            <w:webHidden/>
          </w:rPr>
          <w:fldChar w:fldCharType="separate"/>
        </w:r>
        <w:r>
          <w:rPr>
            <w:noProof/>
            <w:webHidden/>
          </w:rPr>
          <w:t>7</w:t>
        </w:r>
        <w:r>
          <w:rPr>
            <w:noProof/>
            <w:webHidden/>
          </w:rPr>
          <w:fldChar w:fldCharType="end"/>
        </w:r>
      </w:hyperlink>
    </w:p>
    <w:p w14:paraId="7196E8F6" w14:textId="76F9B7D0" w:rsidR="00EF3174" w:rsidRDefault="00EF3174">
      <w:pPr>
        <w:pStyle w:val="21"/>
        <w:rPr>
          <w:rFonts w:asciiTheme="minorHAnsi" w:eastAsiaTheme="minorEastAsia" w:hAnsiTheme="minorHAnsi" w:cstheme="minorBidi"/>
          <w:noProof/>
          <w:sz w:val="24"/>
          <w:szCs w:val="24"/>
          <w:lang w:eastAsia="ru-RU"/>
        </w:rPr>
      </w:pPr>
      <w:hyperlink w:anchor="_Toc103332086" w:history="1">
        <w:r w:rsidRPr="003C735E">
          <w:rPr>
            <w:rStyle w:val="affb"/>
            <w:noProof/>
          </w:rPr>
          <w:t xml:space="preserve">1.5 Классификация </w:t>
        </w:r>
        <w:r w:rsidRPr="003C735E">
          <w:rPr>
            <w:rStyle w:val="affb"/>
            <w:noProof/>
            <w:shd w:val="clear" w:color="auto" w:fill="FFFFFF"/>
          </w:rPr>
          <w:t>заболевания или состояния (группы заболеваний или состояний)</w:t>
        </w:r>
        <w:r>
          <w:rPr>
            <w:noProof/>
            <w:webHidden/>
          </w:rPr>
          <w:tab/>
        </w:r>
        <w:r>
          <w:rPr>
            <w:noProof/>
            <w:webHidden/>
          </w:rPr>
          <w:fldChar w:fldCharType="begin"/>
        </w:r>
        <w:r>
          <w:rPr>
            <w:noProof/>
            <w:webHidden/>
          </w:rPr>
          <w:instrText xml:space="preserve"> PAGEREF _Toc103332086 \h </w:instrText>
        </w:r>
        <w:r>
          <w:rPr>
            <w:noProof/>
            <w:webHidden/>
          </w:rPr>
        </w:r>
        <w:r>
          <w:rPr>
            <w:noProof/>
            <w:webHidden/>
          </w:rPr>
          <w:fldChar w:fldCharType="separate"/>
        </w:r>
        <w:r>
          <w:rPr>
            <w:noProof/>
            <w:webHidden/>
          </w:rPr>
          <w:t>7</w:t>
        </w:r>
        <w:r>
          <w:rPr>
            <w:noProof/>
            <w:webHidden/>
          </w:rPr>
          <w:fldChar w:fldCharType="end"/>
        </w:r>
      </w:hyperlink>
    </w:p>
    <w:p w14:paraId="45742113" w14:textId="407EA8E5" w:rsidR="00EF3174" w:rsidRDefault="00EF3174">
      <w:pPr>
        <w:pStyle w:val="21"/>
        <w:rPr>
          <w:rFonts w:asciiTheme="minorHAnsi" w:eastAsiaTheme="minorEastAsia" w:hAnsiTheme="minorHAnsi" w:cstheme="minorBidi"/>
          <w:noProof/>
          <w:sz w:val="24"/>
          <w:szCs w:val="24"/>
          <w:lang w:eastAsia="ru-RU"/>
        </w:rPr>
      </w:pPr>
      <w:hyperlink w:anchor="_Toc103332087" w:history="1">
        <w:r w:rsidRPr="003C735E">
          <w:rPr>
            <w:rStyle w:val="affb"/>
            <w:noProof/>
          </w:rPr>
          <w:t xml:space="preserve">1.6 Клиническая картина </w:t>
        </w:r>
        <w:r w:rsidRPr="003C735E">
          <w:rPr>
            <w:rStyle w:val="affb"/>
            <w:noProof/>
            <w:shd w:val="clear" w:color="auto" w:fill="FFFFFF"/>
          </w:rPr>
          <w:t>заболевания или состояния (группы заболеваний или состояний)</w:t>
        </w:r>
        <w:r>
          <w:rPr>
            <w:noProof/>
            <w:webHidden/>
          </w:rPr>
          <w:tab/>
        </w:r>
        <w:r>
          <w:rPr>
            <w:noProof/>
            <w:webHidden/>
          </w:rPr>
          <w:fldChar w:fldCharType="begin"/>
        </w:r>
        <w:r>
          <w:rPr>
            <w:noProof/>
            <w:webHidden/>
          </w:rPr>
          <w:instrText xml:space="preserve"> PAGEREF _Toc103332087 \h </w:instrText>
        </w:r>
        <w:r>
          <w:rPr>
            <w:noProof/>
            <w:webHidden/>
          </w:rPr>
        </w:r>
        <w:r>
          <w:rPr>
            <w:noProof/>
            <w:webHidden/>
          </w:rPr>
          <w:fldChar w:fldCharType="separate"/>
        </w:r>
        <w:r>
          <w:rPr>
            <w:noProof/>
            <w:webHidden/>
          </w:rPr>
          <w:t>8</w:t>
        </w:r>
        <w:r>
          <w:rPr>
            <w:noProof/>
            <w:webHidden/>
          </w:rPr>
          <w:fldChar w:fldCharType="end"/>
        </w:r>
      </w:hyperlink>
    </w:p>
    <w:p w14:paraId="1325AB8C" w14:textId="47F88E0E" w:rsidR="00EF3174" w:rsidRDefault="00EF3174">
      <w:pPr>
        <w:pStyle w:val="19"/>
        <w:rPr>
          <w:rFonts w:asciiTheme="minorHAnsi" w:eastAsiaTheme="minorEastAsia" w:hAnsiTheme="minorHAnsi" w:cstheme="minorBidi"/>
          <w:noProof/>
          <w:szCs w:val="24"/>
          <w:lang w:eastAsia="ru-RU"/>
        </w:rPr>
      </w:pPr>
      <w:hyperlink w:anchor="_Toc103332088" w:history="1">
        <w:r w:rsidRPr="003C735E">
          <w:rPr>
            <w:rStyle w:val="affb"/>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Pr>
            <w:noProof/>
            <w:webHidden/>
          </w:rPr>
          <w:tab/>
        </w:r>
        <w:r>
          <w:rPr>
            <w:noProof/>
            <w:webHidden/>
          </w:rPr>
          <w:fldChar w:fldCharType="begin"/>
        </w:r>
        <w:r>
          <w:rPr>
            <w:noProof/>
            <w:webHidden/>
          </w:rPr>
          <w:instrText xml:space="preserve"> PAGEREF _Toc103332088 \h </w:instrText>
        </w:r>
        <w:r>
          <w:rPr>
            <w:noProof/>
            <w:webHidden/>
          </w:rPr>
        </w:r>
        <w:r>
          <w:rPr>
            <w:noProof/>
            <w:webHidden/>
          </w:rPr>
          <w:fldChar w:fldCharType="separate"/>
        </w:r>
        <w:r>
          <w:rPr>
            <w:noProof/>
            <w:webHidden/>
          </w:rPr>
          <w:t>9</w:t>
        </w:r>
        <w:r>
          <w:rPr>
            <w:noProof/>
            <w:webHidden/>
          </w:rPr>
          <w:fldChar w:fldCharType="end"/>
        </w:r>
      </w:hyperlink>
    </w:p>
    <w:p w14:paraId="2732E4F0" w14:textId="790D702E" w:rsidR="00EF3174" w:rsidRDefault="00EF3174">
      <w:pPr>
        <w:pStyle w:val="21"/>
        <w:rPr>
          <w:rFonts w:asciiTheme="minorHAnsi" w:eastAsiaTheme="minorEastAsia" w:hAnsiTheme="minorHAnsi" w:cstheme="minorBidi"/>
          <w:noProof/>
          <w:sz w:val="24"/>
          <w:szCs w:val="24"/>
          <w:lang w:eastAsia="ru-RU"/>
        </w:rPr>
      </w:pPr>
      <w:hyperlink w:anchor="_Toc103332089" w:history="1">
        <w:r w:rsidRPr="003C735E">
          <w:rPr>
            <w:rStyle w:val="affb"/>
            <w:noProof/>
          </w:rPr>
          <w:t>2.1 Жалобы и анамнез</w:t>
        </w:r>
        <w:r>
          <w:rPr>
            <w:noProof/>
            <w:webHidden/>
          </w:rPr>
          <w:tab/>
        </w:r>
        <w:r>
          <w:rPr>
            <w:noProof/>
            <w:webHidden/>
          </w:rPr>
          <w:fldChar w:fldCharType="begin"/>
        </w:r>
        <w:r>
          <w:rPr>
            <w:noProof/>
            <w:webHidden/>
          </w:rPr>
          <w:instrText xml:space="preserve"> PAGEREF _Toc103332089 \h </w:instrText>
        </w:r>
        <w:r>
          <w:rPr>
            <w:noProof/>
            <w:webHidden/>
          </w:rPr>
        </w:r>
        <w:r>
          <w:rPr>
            <w:noProof/>
            <w:webHidden/>
          </w:rPr>
          <w:fldChar w:fldCharType="separate"/>
        </w:r>
        <w:r>
          <w:rPr>
            <w:noProof/>
            <w:webHidden/>
          </w:rPr>
          <w:t>9</w:t>
        </w:r>
        <w:r>
          <w:rPr>
            <w:noProof/>
            <w:webHidden/>
          </w:rPr>
          <w:fldChar w:fldCharType="end"/>
        </w:r>
      </w:hyperlink>
    </w:p>
    <w:p w14:paraId="6685A52D" w14:textId="684CAD6F" w:rsidR="00EF3174" w:rsidRDefault="00EF3174">
      <w:pPr>
        <w:pStyle w:val="21"/>
        <w:rPr>
          <w:rFonts w:asciiTheme="minorHAnsi" w:eastAsiaTheme="minorEastAsia" w:hAnsiTheme="minorHAnsi" w:cstheme="minorBidi"/>
          <w:noProof/>
          <w:sz w:val="24"/>
          <w:szCs w:val="24"/>
          <w:lang w:eastAsia="ru-RU"/>
        </w:rPr>
      </w:pPr>
      <w:hyperlink w:anchor="_Toc103332090" w:history="1">
        <w:r w:rsidRPr="003C735E">
          <w:rPr>
            <w:rStyle w:val="affb"/>
            <w:noProof/>
          </w:rPr>
          <w:t>2.2 Физикальное обследование</w:t>
        </w:r>
        <w:r>
          <w:rPr>
            <w:noProof/>
            <w:webHidden/>
          </w:rPr>
          <w:tab/>
        </w:r>
        <w:r>
          <w:rPr>
            <w:noProof/>
            <w:webHidden/>
          </w:rPr>
          <w:fldChar w:fldCharType="begin"/>
        </w:r>
        <w:r>
          <w:rPr>
            <w:noProof/>
            <w:webHidden/>
          </w:rPr>
          <w:instrText xml:space="preserve"> PAGEREF _Toc103332090 \h </w:instrText>
        </w:r>
        <w:r>
          <w:rPr>
            <w:noProof/>
            <w:webHidden/>
          </w:rPr>
        </w:r>
        <w:r>
          <w:rPr>
            <w:noProof/>
            <w:webHidden/>
          </w:rPr>
          <w:fldChar w:fldCharType="separate"/>
        </w:r>
        <w:r>
          <w:rPr>
            <w:noProof/>
            <w:webHidden/>
          </w:rPr>
          <w:t>9</w:t>
        </w:r>
        <w:r>
          <w:rPr>
            <w:noProof/>
            <w:webHidden/>
          </w:rPr>
          <w:fldChar w:fldCharType="end"/>
        </w:r>
      </w:hyperlink>
    </w:p>
    <w:p w14:paraId="301E8EF5" w14:textId="38904C92" w:rsidR="00EF3174" w:rsidRDefault="00EF3174">
      <w:pPr>
        <w:pStyle w:val="21"/>
        <w:rPr>
          <w:rFonts w:asciiTheme="minorHAnsi" w:eastAsiaTheme="minorEastAsia" w:hAnsiTheme="minorHAnsi" w:cstheme="minorBidi"/>
          <w:noProof/>
          <w:sz w:val="24"/>
          <w:szCs w:val="24"/>
          <w:lang w:eastAsia="ru-RU"/>
        </w:rPr>
      </w:pPr>
      <w:hyperlink w:anchor="_Toc103332091" w:history="1">
        <w:r w:rsidRPr="003C735E">
          <w:rPr>
            <w:rStyle w:val="affb"/>
            <w:noProof/>
          </w:rPr>
          <w:t>2.3 Лабораторные диагностические исследования</w:t>
        </w:r>
        <w:r>
          <w:rPr>
            <w:noProof/>
            <w:webHidden/>
          </w:rPr>
          <w:tab/>
        </w:r>
        <w:r>
          <w:rPr>
            <w:noProof/>
            <w:webHidden/>
          </w:rPr>
          <w:fldChar w:fldCharType="begin"/>
        </w:r>
        <w:r>
          <w:rPr>
            <w:noProof/>
            <w:webHidden/>
          </w:rPr>
          <w:instrText xml:space="preserve"> PAGEREF _Toc103332091 \h </w:instrText>
        </w:r>
        <w:r>
          <w:rPr>
            <w:noProof/>
            <w:webHidden/>
          </w:rPr>
        </w:r>
        <w:r>
          <w:rPr>
            <w:noProof/>
            <w:webHidden/>
          </w:rPr>
          <w:fldChar w:fldCharType="separate"/>
        </w:r>
        <w:r>
          <w:rPr>
            <w:noProof/>
            <w:webHidden/>
          </w:rPr>
          <w:t>10</w:t>
        </w:r>
        <w:r>
          <w:rPr>
            <w:noProof/>
            <w:webHidden/>
          </w:rPr>
          <w:fldChar w:fldCharType="end"/>
        </w:r>
      </w:hyperlink>
    </w:p>
    <w:p w14:paraId="1F5F1E27" w14:textId="5FBBC2E5" w:rsidR="00EF3174" w:rsidRDefault="00EF3174">
      <w:pPr>
        <w:pStyle w:val="21"/>
        <w:rPr>
          <w:rFonts w:asciiTheme="minorHAnsi" w:eastAsiaTheme="minorEastAsia" w:hAnsiTheme="minorHAnsi" w:cstheme="minorBidi"/>
          <w:noProof/>
          <w:sz w:val="24"/>
          <w:szCs w:val="24"/>
          <w:lang w:eastAsia="ru-RU"/>
        </w:rPr>
      </w:pPr>
      <w:hyperlink w:anchor="_Toc103332092" w:history="1">
        <w:r w:rsidRPr="003C735E">
          <w:rPr>
            <w:rStyle w:val="affb"/>
            <w:noProof/>
          </w:rPr>
          <w:t>2.4 Инструментальные диагностические исследования</w:t>
        </w:r>
        <w:r>
          <w:rPr>
            <w:noProof/>
            <w:webHidden/>
          </w:rPr>
          <w:tab/>
        </w:r>
        <w:r>
          <w:rPr>
            <w:noProof/>
            <w:webHidden/>
          </w:rPr>
          <w:fldChar w:fldCharType="begin"/>
        </w:r>
        <w:r>
          <w:rPr>
            <w:noProof/>
            <w:webHidden/>
          </w:rPr>
          <w:instrText xml:space="preserve"> PAGEREF _Toc103332092 \h </w:instrText>
        </w:r>
        <w:r>
          <w:rPr>
            <w:noProof/>
            <w:webHidden/>
          </w:rPr>
        </w:r>
        <w:r>
          <w:rPr>
            <w:noProof/>
            <w:webHidden/>
          </w:rPr>
          <w:fldChar w:fldCharType="separate"/>
        </w:r>
        <w:r>
          <w:rPr>
            <w:noProof/>
            <w:webHidden/>
          </w:rPr>
          <w:t>12</w:t>
        </w:r>
        <w:r>
          <w:rPr>
            <w:noProof/>
            <w:webHidden/>
          </w:rPr>
          <w:fldChar w:fldCharType="end"/>
        </w:r>
      </w:hyperlink>
    </w:p>
    <w:p w14:paraId="1F148D25" w14:textId="7B98B4A2" w:rsidR="00EF3174" w:rsidRDefault="00EF3174">
      <w:pPr>
        <w:pStyle w:val="21"/>
        <w:rPr>
          <w:rFonts w:asciiTheme="minorHAnsi" w:eastAsiaTheme="minorEastAsia" w:hAnsiTheme="minorHAnsi" w:cstheme="minorBidi"/>
          <w:noProof/>
          <w:sz w:val="24"/>
          <w:szCs w:val="24"/>
          <w:lang w:eastAsia="ru-RU"/>
        </w:rPr>
      </w:pPr>
      <w:hyperlink w:anchor="_Toc103332093" w:history="1">
        <w:r w:rsidRPr="003C735E">
          <w:rPr>
            <w:rStyle w:val="affb"/>
            <w:noProof/>
          </w:rPr>
          <w:t>2.5 Иные диагностические исследования</w:t>
        </w:r>
        <w:r>
          <w:rPr>
            <w:noProof/>
            <w:webHidden/>
          </w:rPr>
          <w:tab/>
        </w:r>
        <w:r>
          <w:rPr>
            <w:noProof/>
            <w:webHidden/>
          </w:rPr>
          <w:fldChar w:fldCharType="begin"/>
        </w:r>
        <w:r>
          <w:rPr>
            <w:noProof/>
            <w:webHidden/>
          </w:rPr>
          <w:instrText xml:space="preserve"> PAGEREF _Toc103332093 \h </w:instrText>
        </w:r>
        <w:r>
          <w:rPr>
            <w:noProof/>
            <w:webHidden/>
          </w:rPr>
        </w:r>
        <w:r>
          <w:rPr>
            <w:noProof/>
            <w:webHidden/>
          </w:rPr>
          <w:fldChar w:fldCharType="separate"/>
        </w:r>
        <w:r>
          <w:rPr>
            <w:noProof/>
            <w:webHidden/>
          </w:rPr>
          <w:t>15</w:t>
        </w:r>
        <w:r>
          <w:rPr>
            <w:noProof/>
            <w:webHidden/>
          </w:rPr>
          <w:fldChar w:fldCharType="end"/>
        </w:r>
      </w:hyperlink>
    </w:p>
    <w:p w14:paraId="72778926" w14:textId="1ABB9254" w:rsidR="00EF3174" w:rsidRDefault="00EF3174">
      <w:pPr>
        <w:pStyle w:val="19"/>
        <w:rPr>
          <w:rFonts w:asciiTheme="minorHAnsi" w:eastAsiaTheme="minorEastAsia" w:hAnsiTheme="minorHAnsi" w:cstheme="minorBidi"/>
          <w:noProof/>
          <w:szCs w:val="24"/>
          <w:lang w:eastAsia="ru-RU"/>
        </w:rPr>
      </w:pPr>
      <w:hyperlink w:anchor="_Toc103332094" w:history="1">
        <w:r w:rsidRPr="003C735E">
          <w:rPr>
            <w:rStyle w:val="affb"/>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Pr>
            <w:noProof/>
            <w:webHidden/>
          </w:rPr>
          <w:tab/>
        </w:r>
        <w:r>
          <w:rPr>
            <w:noProof/>
            <w:webHidden/>
          </w:rPr>
          <w:fldChar w:fldCharType="begin"/>
        </w:r>
        <w:r>
          <w:rPr>
            <w:noProof/>
            <w:webHidden/>
          </w:rPr>
          <w:instrText xml:space="preserve"> PAGEREF _Toc103332094 \h </w:instrText>
        </w:r>
        <w:r>
          <w:rPr>
            <w:noProof/>
            <w:webHidden/>
          </w:rPr>
        </w:r>
        <w:r>
          <w:rPr>
            <w:noProof/>
            <w:webHidden/>
          </w:rPr>
          <w:fldChar w:fldCharType="separate"/>
        </w:r>
        <w:r>
          <w:rPr>
            <w:noProof/>
            <w:webHidden/>
          </w:rPr>
          <w:t>19</w:t>
        </w:r>
        <w:r>
          <w:rPr>
            <w:noProof/>
            <w:webHidden/>
          </w:rPr>
          <w:fldChar w:fldCharType="end"/>
        </w:r>
      </w:hyperlink>
    </w:p>
    <w:p w14:paraId="6ED5664C" w14:textId="6896283E" w:rsidR="00EF3174" w:rsidRDefault="00EF3174">
      <w:pPr>
        <w:pStyle w:val="21"/>
        <w:rPr>
          <w:rFonts w:asciiTheme="minorHAnsi" w:eastAsiaTheme="minorEastAsia" w:hAnsiTheme="minorHAnsi" w:cstheme="minorBidi"/>
          <w:noProof/>
          <w:sz w:val="24"/>
          <w:szCs w:val="24"/>
          <w:lang w:eastAsia="ru-RU"/>
        </w:rPr>
      </w:pPr>
      <w:hyperlink w:anchor="_Toc103332095" w:history="1">
        <w:r w:rsidRPr="003C735E">
          <w:rPr>
            <w:rStyle w:val="affb"/>
            <w:noProof/>
          </w:rPr>
          <w:t xml:space="preserve">3.2 Лечение пациентов c ранними стадиями </w:t>
        </w:r>
        <w:r w:rsidRPr="003C735E">
          <w:rPr>
            <w:rStyle w:val="affb"/>
            <w:noProof/>
            <w:lang w:val="en-US"/>
          </w:rPr>
          <w:t>MALT</w:t>
        </w:r>
        <w:r w:rsidRPr="003C735E">
          <w:rPr>
            <w:rStyle w:val="affb"/>
            <w:noProof/>
          </w:rPr>
          <w:t>-лимфомы других локализаций</w:t>
        </w:r>
        <w:r>
          <w:rPr>
            <w:noProof/>
            <w:webHidden/>
          </w:rPr>
          <w:tab/>
        </w:r>
        <w:r>
          <w:rPr>
            <w:noProof/>
            <w:webHidden/>
          </w:rPr>
          <w:fldChar w:fldCharType="begin"/>
        </w:r>
        <w:r>
          <w:rPr>
            <w:noProof/>
            <w:webHidden/>
          </w:rPr>
          <w:instrText xml:space="preserve"> PAGEREF _Toc103332095 \h </w:instrText>
        </w:r>
        <w:r>
          <w:rPr>
            <w:noProof/>
            <w:webHidden/>
          </w:rPr>
        </w:r>
        <w:r>
          <w:rPr>
            <w:noProof/>
            <w:webHidden/>
          </w:rPr>
          <w:fldChar w:fldCharType="separate"/>
        </w:r>
        <w:r>
          <w:rPr>
            <w:noProof/>
            <w:webHidden/>
          </w:rPr>
          <w:t>22</w:t>
        </w:r>
        <w:r>
          <w:rPr>
            <w:noProof/>
            <w:webHidden/>
          </w:rPr>
          <w:fldChar w:fldCharType="end"/>
        </w:r>
      </w:hyperlink>
    </w:p>
    <w:p w14:paraId="0BC2563E" w14:textId="2B38E04B" w:rsidR="00EF3174" w:rsidRDefault="00EF3174">
      <w:pPr>
        <w:pStyle w:val="21"/>
        <w:rPr>
          <w:rFonts w:asciiTheme="minorHAnsi" w:eastAsiaTheme="minorEastAsia" w:hAnsiTheme="minorHAnsi" w:cstheme="minorBidi"/>
          <w:noProof/>
          <w:sz w:val="24"/>
          <w:szCs w:val="24"/>
          <w:lang w:eastAsia="ru-RU"/>
        </w:rPr>
      </w:pPr>
      <w:hyperlink w:anchor="_Toc103332096" w:history="1">
        <w:r w:rsidRPr="003C735E">
          <w:rPr>
            <w:rStyle w:val="affb"/>
            <w:noProof/>
          </w:rPr>
          <w:t>3.3 Лечение пациентов с распространенными (</w:t>
        </w:r>
        <w:r w:rsidRPr="003C735E">
          <w:rPr>
            <w:rStyle w:val="affb"/>
            <w:noProof/>
            <w:lang w:val="en-US"/>
          </w:rPr>
          <w:t>III</w:t>
        </w:r>
        <w:r w:rsidRPr="003C735E">
          <w:rPr>
            <w:rStyle w:val="affb"/>
            <w:noProof/>
          </w:rPr>
          <w:t>-</w:t>
        </w:r>
        <w:r w:rsidRPr="003C735E">
          <w:rPr>
            <w:rStyle w:val="affb"/>
            <w:noProof/>
            <w:lang w:val="en-US"/>
          </w:rPr>
          <w:t>IV</w:t>
        </w:r>
        <w:r w:rsidRPr="003C735E">
          <w:rPr>
            <w:rStyle w:val="affb"/>
            <w:noProof/>
          </w:rPr>
          <w:t xml:space="preserve">) стадиями </w:t>
        </w:r>
        <w:r w:rsidRPr="003C735E">
          <w:rPr>
            <w:rStyle w:val="affb"/>
            <w:noProof/>
            <w:lang w:val="en-US"/>
          </w:rPr>
          <w:t>MALT</w:t>
        </w:r>
        <w:r w:rsidRPr="003C735E">
          <w:rPr>
            <w:rStyle w:val="affb"/>
            <w:noProof/>
          </w:rPr>
          <w:t>-лимфомы</w:t>
        </w:r>
        <w:r>
          <w:rPr>
            <w:noProof/>
            <w:webHidden/>
          </w:rPr>
          <w:tab/>
        </w:r>
        <w:r>
          <w:rPr>
            <w:noProof/>
            <w:webHidden/>
          </w:rPr>
          <w:fldChar w:fldCharType="begin"/>
        </w:r>
        <w:r>
          <w:rPr>
            <w:noProof/>
            <w:webHidden/>
          </w:rPr>
          <w:instrText xml:space="preserve"> PAGEREF _Toc103332096 \h </w:instrText>
        </w:r>
        <w:r>
          <w:rPr>
            <w:noProof/>
            <w:webHidden/>
          </w:rPr>
        </w:r>
        <w:r>
          <w:rPr>
            <w:noProof/>
            <w:webHidden/>
          </w:rPr>
          <w:fldChar w:fldCharType="separate"/>
        </w:r>
        <w:r>
          <w:rPr>
            <w:noProof/>
            <w:webHidden/>
          </w:rPr>
          <w:t>24</w:t>
        </w:r>
        <w:r>
          <w:rPr>
            <w:noProof/>
            <w:webHidden/>
          </w:rPr>
          <w:fldChar w:fldCharType="end"/>
        </w:r>
      </w:hyperlink>
    </w:p>
    <w:p w14:paraId="397339E7" w14:textId="5CB77C59" w:rsidR="00EF3174" w:rsidRDefault="00EF3174">
      <w:pPr>
        <w:pStyle w:val="21"/>
        <w:rPr>
          <w:rFonts w:asciiTheme="minorHAnsi" w:eastAsiaTheme="minorEastAsia" w:hAnsiTheme="minorHAnsi" w:cstheme="minorBidi"/>
          <w:noProof/>
          <w:sz w:val="24"/>
          <w:szCs w:val="24"/>
          <w:lang w:eastAsia="ru-RU"/>
        </w:rPr>
      </w:pPr>
      <w:hyperlink w:anchor="_Toc103332097" w:history="1">
        <w:r w:rsidRPr="003C735E">
          <w:rPr>
            <w:rStyle w:val="affb"/>
            <w:noProof/>
          </w:rPr>
          <w:t>3.4 Лечение пациентов с нодальной лимфомой маргинальной зоны</w:t>
        </w:r>
        <w:r>
          <w:rPr>
            <w:noProof/>
            <w:webHidden/>
          </w:rPr>
          <w:tab/>
        </w:r>
        <w:r>
          <w:rPr>
            <w:noProof/>
            <w:webHidden/>
          </w:rPr>
          <w:fldChar w:fldCharType="begin"/>
        </w:r>
        <w:r>
          <w:rPr>
            <w:noProof/>
            <w:webHidden/>
          </w:rPr>
          <w:instrText xml:space="preserve"> PAGEREF _Toc103332097 \h </w:instrText>
        </w:r>
        <w:r>
          <w:rPr>
            <w:noProof/>
            <w:webHidden/>
          </w:rPr>
        </w:r>
        <w:r>
          <w:rPr>
            <w:noProof/>
            <w:webHidden/>
          </w:rPr>
          <w:fldChar w:fldCharType="separate"/>
        </w:r>
        <w:r>
          <w:rPr>
            <w:noProof/>
            <w:webHidden/>
          </w:rPr>
          <w:t>24</w:t>
        </w:r>
        <w:r>
          <w:rPr>
            <w:noProof/>
            <w:webHidden/>
          </w:rPr>
          <w:fldChar w:fldCharType="end"/>
        </w:r>
      </w:hyperlink>
    </w:p>
    <w:p w14:paraId="1481214C" w14:textId="6156B56F" w:rsidR="00EF3174" w:rsidRDefault="00EF3174">
      <w:pPr>
        <w:pStyle w:val="21"/>
        <w:rPr>
          <w:rFonts w:asciiTheme="minorHAnsi" w:eastAsiaTheme="minorEastAsia" w:hAnsiTheme="minorHAnsi" w:cstheme="minorBidi"/>
          <w:noProof/>
          <w:sz w:val="24"/>
          <w:szCs w:val="24"/>
          <w:lang w:eastAsia="ru-RU"/>
        </w:rPr>
      </w:pPr>
      <w:hyperlink w:anchor="_Toc103332098" w:history="1">
        <w:r w:rsidRPr="003C735E">
          <w:rPr>
            <w:rStyle w:val="affb"/>
            <w:noProof/>
          </w:rPr>
          <w:t>3.5 Лечение пациентов с лимфомой маргинальной зоны селезенки</w:t>
        </w:r>
        <w:r>
          <w:rPr>
            <w:noProof/>
            <w:webHidden/>
          </w:rPr>
          <w:tab/>
        </w:r>
        <w:r>
          <w:rPr>
            <w:noProof/>
            <w:webHidden/>
          </w:rPr>
          <w:fldChar w:fldCharType="begin"/>
        </w:r>
        <w:r>
          <w:rPr>
            <w:noProof/>
            <w:webHidden/>
          </w:rPr>
          <w:instrText xml:space="preserve"> PAGEREF _Toc103332098 \h </w:instrText>
        </w:r>
        <w:r>
          <w:rPr>
            <w:noProof/>
            <w:webHidden/>
          </w:rPr>
        </w:r>
        <w:r>
          <w:rPr>
            <w:noProof/>
            <w:webHidden/>
          </w:rPr>
          <w:fldChar w:fldCharType="separate"/>
        </w:r>
        <w:r>
          <w:rPr>
            <w:noProof/>
            <w:webHidden/>
          </w:rPr>
          <w:t>25</w:t>
        </w:r>
        <w:r>
          <w:rPr>
            <w:noProof/>
            <w:webHidden/>
          </w:rPr>
          <w:fldChar w:fldCharType="end"/>
        </w:r>
      </w:hyperlink>
    </w:p>
    <w:p w14:paraId="38E713F0" w14:textId="3044AA58" w:rsidR="00EF3174" w:rsidRDefault="00EF3174">
      <w:pPr>
        <w:pStyle w:val="21"/>
        <w:rPr>
          <w:rFonts w:asciiTheme="minorHAnsi" w:eastAsiaTheme="minorEastAsia" w:hAnsiTheme="minorHAnsi" w:cstheme="minorBidi"/>
          <w:noProof/>
          <w:sz w:val="24"/>
          <w:szCs w:val="24"/>
          <w:lang w:eastAsia="ru-RU"/>
        </w:rPr>
      </w:pPr>
      <w:hyperlink w:anchor="_Toc103332099" w:history="1">
        <w:r w:rsidRPr="003C735E">
          <w:rPr>
            <w:rStyle w:val="affb"/>
            <w:noProof/>
          </w:rPr>
          <w:t>3.6 Консолидация ремиссии ЛМЗ у пациентов старше 18 лет</w:t>
        </w:r>
        <w:r>
          <w:rPr>
            <w:noProof/>
            <w:webHidden/>
          </w:rPr>
          <w:tab/>
        </w:r>
        <w:r>
          <w:rPr>
            <w:noProof/>
            <w:webHidden/>
          </w:rPr>
          <w:fldChar w:fldCharType="begin"/>
        </w:r>
        <w:r>
          <w:rPr>
            <w:noProof/>
            <w:webHidden/>
          </w:rPr>
          <w:instrText xml:space="preserve"> PAGEREF _Toc103332099 \h </w:instrText>
        </w:r>
        <w:r>
          <w:rPr>
            <w:noProof/>
            <w:webHidden/>
          </w:rPr>
        </w:r>
        <w:r>
          <w:rPr>
            <w:noProof/>
            <w:webHidden/>
          </w:rPr>
          <w:fldChar w:fldCharType="separate"/>
        </w:r>
        <w:r>
          <w:rPr>
            <w:noProof/>
            <w:webHidden/>
          </w:rPr>
          <w:t>26</w:t>
        </w:r>
        <w:r>
          <w:rPr>
            <w:noProof/>
            <w:webHidden/>
          </w:rPr>
          <w:fldChar w:fldCharType="end"/>
        </w:r>
      </w:hyperlink>
    </w:p>
    <w:p w14:paraId="13F4A1ED" w14:textId="2D94D990" w:rsidR="00EF3174" w:rsidRDefault="00EF3174">
      <w:pPr>
        <w:pStyle w:val="21"/>
        <w:rPr>
          <w:rFonts w:asciiTheme="minorHAnsi" w:eastAsiaTheme="minorEastAsia" w:hAnsiTheme="minorHAnsi" w:cstheme="minorBidi"/>
          <w:noProof/>
          <w:sz w:val="24"/>
          <w:szCs w:val="24"/>
          <w:lang w:eastAsia="ru-RU"/>
        </w:rPr>
      </w:pPr>
      <w:hyperlink w:anchor="_Toc103332100" w:history="1">
        <w:r w:rsidRPr="003C735E">
          <w:rPr>
            <w:rStyle w:val="affb"/>
            <w:noProof/>
          </w:rPr>
          <w:t>3.7 Лечение рецидивов и рефрактерных форм ЛМЗ</w:t>
        </w:r>
        <w:r>
          <w:rPr>
            <w:noProof/>
            <w:webHidden/>
          </w:rPr>
          <w:tab/>
        </w:r>
        <w:r>
          <w:rPr>
            <w:noProof/>
            <w:webHidden/>
          </w:rPr>
          <w:fldChar w:fldCharType="begin"/>
        </w:r>
        <w:r>
          <w:rPr>
            <w:noProof/>
            <w:webHidden/>
          </w:rPr>
          <w:instrText xml:space="preserve"> PAGEREF _Toc103332100 \h </w:instrText>
        </w:r>
        <w:r>
          <w:rPr>
            <w:noProof/>
            <w:webHidden/>
          </w:rPr>
        </w:r>
        <w:r>
          <w:rPr>
            <w:noProof/>
            <w:webHidden/>
          </w:rPr>
          <w:fldChar w:fldCharType="separate"/>
        </w:r>
        <w:r>
          <w:rPr>
            <w:noProof/>
            <w:webHidden/>
          </w:rPr>
          <w:t>26</w:t>
        </w:r>
        <w:r>
          <w:rPr>
            <w:noProof/>
            <w:webHidden/>
          </w:rPr>
          <w:fldChar w:fldCharType="end"/>
        </w:r>
      </w:hyperlink>
    </w:p>
    <w:p w14:paraId="2AF4BC5E" w14:textId="06044775" w:rsidR="00EF3174" w:rsidRDefault="00EF3174">
      <w:pPr>
        <w:pStyle w:val="21"/>
        <w:rPr>
          <w:rFonts w:asciiTheme="minorHAnsi" w:eastAsiaTheme="minorEastAsia" w:hAnsiTheme="minorHAnsi" w:cstheme="minorBidi"/>
          <w:noProof/>
          <w:sz w:val="24"/>
          <w:szCs w:val="24"/>
          <w:lang w:eastAsia="ru-RU"/>
        </w:rPr>
      </w:pPr>
      <w:hyperlink w:anchor="_Toc103332101" w:history="1">
        <w:r w:rsidRPr="003C735E">
          <w:rPr>
            <w:rStyle w:val="affb"/>
            <w:noProof/>
          </w:rPr>
          <w:t>3.</w:t>
        </w:r>
        <w:r w:rsidRPr="003C735E">
          <w:rPr>
            <w:rStyle w:val="affb"/>
            <w:noProof/>
            <w:lang w:val="en-US"/>
          </w:rPr>
          <w:t>8</w:t>
        </w:r>
        <w:r w:rsidRPr="003C735E">
          <w:rPr>
            <w:rStyle w:val="affb"/>
            <w:noProof/>
          </w:rPr>
          <w:t xml:space="preserve"> Оценка ответа на лечение</w:t>
        </w:r>
        <w:r>
          <w:rPr>
            <w:noProof/>
            <w:webHidden/>
          </w:rPr>
          <w:tab/>
        </w:r>
        <w:r>
          <w:rPr>
            <w:noProof/>
            <w:webHidden/>
          </w:rPr>
          <w:fldChar w:fldCharType="begin"/>
        </w:r>
        <w:r>
          <w:rPr>
            <w:noProof/>
            <w:webHidden/>
          </w:rPr>
          <w:instrText xml:space="preserve"> PAGEREF _Toc103332101 \h </w:instrText>
        </w:r>
        <w:r>
          <w:rPr>
            <w:noProof/>
            <w:webHidden/>
          </w:rPr>
        </w:r>
        <w:r>
          <w:rPr>
            <w:noProof/>
            <w:webHidden/>
          </w:rPr>
          <w:fldChar w:fldCharType="separate"/>
        </w:r>
        <w:r>
          <w:rPr>
            <w:noProof/>
            <w:webHidden/>
          </w:rPr>
          <w:t>28</w:t>
        </w:r>
        <w:r>
          <w:rPr>
            <w:noProof/>
            <w:webHidden/>
          </w:rPr>
          <w:fldChar w:fldCharType="end"/>
        </w:r>
      </w:hyperlink>
    </w:p>
    <w:p w14:paraId="09EB2FA1" w14:textId="1AF0306A" w:rsidR="00EF3174" w:rsidRDefault="00EF3174">
      <w:pPr>
        <w:pStyle w:val="21"/>
        <w:rPr>
          <w:rFonts w:asciiTheme="minorHAnsi" w:eastAsiaTheme="minorEastAsia" w:hAnsiTheme="minorHAnsi" w:cstheme="minorBidi"/>
          <w:noProof/>
          <w:sz w:val="24"/>
          <w:szCs w:val="24"/>
          <w:lang w:eastAsia="ru-RU"/>
        </w:rPr>
      </w:pPr>
      <w:hyperlink w:anchor="_Toc103332102" w:history="1">
        <w:r w:rsidRPr="003C735E">
          <w:rPr>
            <w:rStyle w:val="affb"/>
            <w:noProof/>
          </w:rPr>
          <w:t>3.</w:t>
        </w:r>
        <w:r w:rsidRPr="003C735E">
          <w:rPr>
            <w:rStyle w:val="affb"/>
            <w:noProof/>
            <w:lang w:val="en-US"/>
          </w:rPr>
          <w:t>9</w:t>
        </w:r>
        <w:r w:rsidRPr="003C735E">
          <w:rPr>
            <w:rStyle w:val="affb"/>
            <w:noProof/>
          </w:rPr>
          <w:t xml:space="preserve"> Сопутствующая и сопр</w:t>
        </w:r>
        <w:r w:rsidRPr="003C735E">
          <w:rPr>
            <w:rStyle w:val="affb"/>
            <w:noProof/>
          </w:rPr>
          <w:t>о</w:t>
        </w:r>
        <w:r w:rsidRPr="003C735E">
          <w:rPr>
            <w:rStyle w:val="affb"/>
            <w:noProof/>
          </w:rPr>
          <w:t>водительная терапия</w:t>
        </w:r>
        <w:r>
          <w:rPr>
            <w:noProof/>
            <w:webHidden/>
          </w:rPr>
          <w:tab/>
        </w:r>
        <w:r>
          <w:rPr>
            <w:noProof/>
            <w:webHidden/>
          </w:rPr>
          <w:fldChar w:fldCharType="begin"/>
        </w:r>
        <w:r>
          <w:rPr>
            <w:noProof/>
            <w:webHidden/>
          </w:rPr>
          <w:instrText xml:space="preserve"> PAGEREF _Toc103332102 \h </w:instrText>
        </w:r>
        <w:r>
          <w:rPr>
            <w:noProof/>
            <w:webHidden/>
          </w:rPr>
        </w:r>
        <w:r>
          <w:rPr>
            <w:noProof/>
            <w:webHidden/>
          </w:rPr>
          <w:fldChar w:fldCharType="separate"/>
        </w:r>
        <w:r>
          <w:rPr>
            <w:noProof/>
            <w:webHidden/>
          </w:rPr>
          <w:t>28</w:t>
        </w:r>
        <w:r>
          <w:rPr>
            <w:noProof/>
            <w:webHidden/>
          </w:rPr>
          <w:fldChar w:fldCharType="end"/>
        </w:r>
      </w:hyperlink>
    </w:p>
    <w:p w14:paraId="1E8EDFEC" w14:textId="3C08A521" w:rsidR="00EF3174" w:rsidRDefault="00EF3174">
      <w:pPr>
        <w:pStyle w:val="19"/>
        <w:rPr>
          <w:rFonts w:asciiTheme="minorHAnsi" w:eastAsiaTheme="minorEastAsia" w:hAnsiTheme="minorHAnsi" w:cstheme="minorBidi"/>
          <w:noProof/>
          <w:szCs w:val="24"/>
          <w:lang w:eastAsia="ru-RU"/>
        </w:rPr>
      </w:pPr>
      <w:hyperlink w:anchor="_Toc103332103" w:history="1">
        <w:r w:rsidRPr="003C735E">
          <w:rPr>
            <w:rStyle w:val="affb"/>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Pr>
            <w:noProof/>
            <w:webHidden/>
          </w:rPr>
          <w:tab/>
        </w:r>
        <w:r>
          <w:rPr>
            <w:noProof/>
            <w:webHidden/>
          </w:rPr>
          <w:fldChar w:fldCharType="begin"/>
        </w:r>
        <w:r>
          <w:rPr>
            <w:noProof/>
            <w:webHidden/>
          </w:rPr>
          <w:instrText xml:space="preserve"> PAGEREF _Toc103332103 \h </w:instrText>
        </w:r>
        <w:r>
          <w:rPr>
            <w:noProof/>
            <w:webHidden/>
          </w:rPr>
        </w:r>
        <w:r>
          <w:rPr>
            <w:noProof/>
            <w:webHidden/>
          </w:rPr>
          <w:fldChar w:fldCharType="separate"/>
        </w:r>
        <w:r>
          <w:rPr>
            <w:noProof/>
            <w:webHidden/>
          </w:rPr>
          <w:t>32</w:t>
        </w:r>
        <w:r>
          <w:rPr>
            <w:noProof/>
            <w:webHidden/>
          </w:rPr>
          <w:fldChar w:fldCharType="end"/>
        </w:r>
      </w:hyperlink>
    </w:p>
    <w:p w14:paraId="6A312F8F" w14:textId="2D95EB6C" w:rsidR="00EF3174" w:rsidRDefault="00EF3174">
      <w:pPr>
        <w:pStyle w:val="19"/>
        <w:rPr>
          <w:rFonts w:asciiTheme="minorHAnsi" w:eastAsiaTheme="minorEastAsia" w:hAnsiTheme="minorHAnsi" w:cstheme="minorBidi"/>
          <w:noProof/>
          <w:szCs w:val="24"/>
          <w:lang w:eastAsia="ru-RU"/>
        </w:rPr>
      </w:pPr>
      <w:hyperlink w:anchor="_Toc103332104" w:history="1">
        <w:r w:rsidRPr="003C735E">
          <w:rPr>
            <w:rStyle w:val="affb"/>
            <w:noProof/>
          </w:rPr>
          <w:t>5. Профилактика и диспансерное наблюдение, медицинские показания и противопоказания к применению методов профилактики</w:t>
        </w:r>
        <w:r>
          <w:rPr>
            <w:noProof/>
            <w:webHidden/>
          </w:rPr>
          <w:tab/>
        </w:r>
        <w:r>
          <w:rPr>
            <w:noProof/>
            <w:webHidden/>
          </w:rPr>
          <w:fldChar w:fldCharType="begin"/>
        </w:r>
        <w:r>
          <w:rPr>
            <w:noProof/>
            <w:webHidden/>
          </w:rPr>
          <w:instrText xml:space="preserve"> PAGEREF _Toc103332104 \h </w:instrText>
        </w:r>
        <w:r>
          <w:rPr>
            <w:noProof/>
            <w:webHidden/>
          </w:rPr>
        </w:r>
        <w:r>
          <w:rPr>
            <w:noProof/>
            <w:webHidden/>
          </w:rPr>
          <w:fldChar w:fldCharType="separate"/>
        </w:r>
        <w:r>
          <w:rPr>
            <w:noProof/>
            <w:webHidden/>
          </w:rPr>
          <w:t>33</w:t>
        </w:r>
        <w:r>
          <w:rPr>
            <w:noProof/>
            <w:webHidden/>
          </w:rPr>
          <w:fldChar w:fldCharType="end"/>
        </w:r>
      </w:hyperlink>
    </w:p>
    <w:p w14:paraId="7BFA5E15" w14:textId="27E253EA" w:rsidR="00EF3174" w:rsidRDefault="00EF3174">
      <w:pPr>
        <w:pStyle w:val="19"/>
        <w:rPr>
          <w:rFonts w:asciiTheme="minorHAnsi" w:eastAsiaTheme="minorEastAsia" w:hAnsiTheme="minorHAnsi" w:cstheme="minorBidi"/>
          <w:noProof/>
          <w:szCs w:val="24"/>
          <w:lang w:eastAsia="ru-RU"/>
        </w:rPr>
      </w:pPr>
      <w:hyperlink w:anchor="_Toc103332105" w:history="1">
        <w:r w:rsidRPr="003C735E">
          <w:rPr>
            <w:rStyle w:val="affb"/>
            <w:noProof/>
          </w:rPr>
          <w:t>6. Организация оказания медицинской помощи</w:t>
        </w:r>
        <w:r>
          <w:rPr>
            <w:noProof/>
            <w:webHidden/>
          </w:rPr>
          <w:tab/>
        </w:r>
        <w:r>
          <w:rPr>
            <w:noProof/>
            <w:webHidden/>
          </w:rPr>
          <w:fldChar w:fldCharType="begin"/>
        </w:r>
        <w:r>
          <w:rPr>
            <w:noProof/>
            <w:webHidden/>
          </w:rPr>
          <w:instrText xml:space="preserve"> PAGEREF _Toc103332105 \h </w:instrText>
        </w:r>
        <w:r>
          <w:rPr>
            <w:noProof/>
            <w:webHidden/>
          </w:rPr>
        </w:r>
        <w:r>
          <w:rPr>
            <w:noProof/>
            <w:webHidden/>
          </w:rPr>
          <w:fldChar w:fldCharType="separate"/>
        </w:r>
        <w:r>
          <w:rPr>
            <w:noProof/>
            <w:webHidden/>
          </w:rPr>
          <w:t>34</w:t>
        </w:r>
        <w:r>
          <w:rPr>
            <w:noProof/>
            <w:webHidden/>
          </w:rPr>
          <w:fldChar w:fldCharType="end"/>
        </w:r>
      </w:hyperlink>
    </w:p>
    <w:p w14:paraId="4EF8435D" w14:textId="388CE2A5" w:rsidR="00EF3174" w:rsidRDefault="00EF3174">
      <w:pPr>
        <w:pStyle w:val="19"/>
        <w:rPr>
          <w:rFonts w:asciiTheme="minorHAnsi" w:eastAsiaTheme="minorEastAsia" w:hAnsiTheme="minorHAnsi" w:cstheme="minorBidi"/>
          <w:noProof/>
          <w:szCs w:val="24"/>
          <w:lang w:eastAsia="ru-RU"/>
        </w:rPr>
      </w:pPr>
      <w:hyperlink w:anchor="_Toc103332106" w:history="1">
        <w:r w:rsidRPr="003C735E">
          <w:rPr>
            <w:rStyle w:val="affb"/>
            <w:noProof/>
          </w:rPr>
          <w:t>7. Дополнительная информация (в том числе факторы, влияющие на исход заболеванияили состояния)</w:t>
        </w:r>
        <w:r>
          <w:rPr>
            <w:noProof/>
            <w:webHidden/>
          </w:rPr>
          <w:tab/>
        </w:r>
        <w:r>
          <w:rPr>
            <w:noProof/>
            <w:webHidden/>
          </w:rPr>
          <w:fldChar w:fldCharType="begin"/>
        </w:r>
        <w:r>
          <w:rPr>
            <w:noProof/>
            <w:webHidden/>
          </w:rPr>
          <w:instrText xml:space="preserve"> PAGEREF _Toc103332106 \h </w:instrText>
        </w:r>
        <w:r>
          <w:rPr>
            <w:noProof/>
            <w:webHidden/>
          </w:rPr>
        </w:r>
        <w:r>
          <w:rPr>
            <w:noProof/>
            <w:webHidden/>
          </w:rPr>
          <w:fldChar w:fldCharType="separate"/>
        </w:r>
        <w:r>
          <w:rPr>
            <w:noProof/>
            <w:webHidden/>
          </w:rPr>
          <w:t>38</w:t>
        </w:r>
        <w:r>
          <w:rPr>
            <w:noProof/>
            <w:webHidden/>
          </w:rPr>
          <w:fldChar w:fldCharType="end"/>
        </w:r>
      </w:hyperlink>
    </w:p>
    <w:p w14:paraId="253D2AD1" w14:textId="1161A33D" w:rsidR="00EF3174" w:rsidRDefault="00EF3174">
      <w:pPr>
        <w:pStyle w:val="21"/>
        <w:rPr>
          <w:rFonts w:asciiTheme="minorHAnsi" w:eastAsiaTheme="minorEastAsia" w:hAnsiTheme="minorHAnsi" w:cstheme="minorBidi"/>
          <w:noProof/>
          <w:sz w:val="24"/>
          <w:szCs w:val="24"/>
          <w:lang w:eastAsia="ru-RU"/>
        </w:rPr>
      </w:pPr>
      <w:hyperlink w:anchor="_Toc103332107" w:history="1">
        <w:r w:rsidRPr="003C735E">
          <w:rPr>
            <w:rStyle w:val="affb"/>
            <w:noProof/>
          </w:rPr>
          <w:t>7.1 Общие требования к морфологической диагностике лимфом</w:t>
        </w:r>
        <w:r>
          <w:rPr>
            <w:noProof/>
            <w:webHidden/>
          </w:rPr>
          <w:tab/>
        </w:r>
        <w:r>
          <w:rPr>
            <w:noProof/>
            <w:webHidden/>
          </w:rPr>
          <w:fldChar w:fldCharType="begin"/>
        </w:r>
        <w:r>
          <w:rPr>
            <w:noProof/>
            <w:webHidden/>
          </w:rPr>
          <w:instrText xml:space="preserve"> PAGEREF _Toc103332107 \h </w:instrText>
        </w:r>
        <w:r>
          <w:rPr>
            <w:noProof/>
            <w:webHidden/>
          </w:rPr>
        </w:r>
        <w:r>
          <w:rPr>
            <w:noProof/>
            <w:webHidden/>
          </w:rPr>
          <w:fldChar w:fldCharType="separate"/>
        </w:r>
        <w:r>
          <w:rPr>
            <w:noProof/>
            <w:webHidden/>
          </w:rPr>
          <w:t>38</w:t>
        </w:r>
        <w:r>
          <w:rPr>
            <w:noProof/>
            <w:webHidden/>
          </w:rPr>
          <w:fldChar w:fldCharType="end"/>
        </w:r>
      </w:hyperlink>
    </w:p>
    <w:p w14:paraId="36A05A36" w14:textId="0F846E52" w:rsidR="00EF3174" w:rsidRDefault="00EF3174">
      <w:pPr>
        <w:pStyle w:val="21"/>
        <w:rPr>
          <w:rFonts w:asciiTheme="minorHAnsi" w:eastAsiaTheme="minorEastAsia" w:hAnsiTheme="minorHAnsi" w:cstheme="minorBidi"/>
          <w:noProof/>
          <w:sz w:val="24"/>
          <w:szCs w:val="24"/>
          <w:lang w:eastAsia="ru-RU"/>
        </w:rPr>
      </w:pPr>
      <w:hyperlink w:anchor="_Toc103332108" w:history="1">
        <w:r w:rsidRPr="003C735E">
          <w:rPr>
            <w:rStyle w:val="affb"/>
            <w:noProof/>
          </w:rPr>
          <w:t>7.2 Патолого-анатомическая и иммуногистохимическая диагностика ЛМЗ</w:t>
        </w:r>
        <w:r>
          <w:rPr>
            <w:noProof/>
            <w:webHidden/>
          </w:rPr>
          <w:tab/>
        </w:r>
        <w:r>
          <w:rPr>
            <w:noProof/>
            <w:webHidden/>
          </w:rPr>
          <w:fldChar w:fldCharType="begin"/>
        </w:r>
        <w:r>
          <w:rPr>
            <w:noProof/>
            <w:webHidden/>
          </w:rPr>
          <w:instrText xml:space="preserve"> PAGEREF _Toc103332108 \h </w:instrText>
        </w:r>
        <w:r>
          <w:rPr>
            <w:noProof/>
            <w:webHidden/>
          </w:rPr>
        </w:r>
        <w:r>
          <w:rPr>
            <w:noProof/>
            <w:webHidden/>
          </w:rPr>
          <w:fldChar w:fldCharType="separate"/>
        </w:r>
        <w:r>
          <w:rPr>
            <w:noProof/>
            <w:webHidden/>
          </w:rPr>
          <w:t>40</w:t>
        </w:r>
        <w:r>
          <w:rPr>
            <w:noProof/>
            <w:webHidden/>
          </w:rPr>
          <w:fldChar w:fldCharType="end"/>
        </w:r>
      </w:hyperlink>
    </w:p>
    <w:p w14:paraId="40B18BA1" w14:textId="78B5DF43" w:rsidR="00EF3174" w:rsidRDefault="00EF3174">
      <w:pPr>
        <w:pStyle w:val="21"/>
        <w:rPr>
          <w:rFonts w:asciiTheme="minorHAnsi" w:eastAsiaTheme="minorEastAsia" w:hAnsiTheme="minorHAnsi" w:cstheme="minorBidi"/>
          <w:noProof/>
          <w:sz w:val="24"/>
          <w:szCs w:val="24"/>
          <w:lang w:eastAsia="ru-RU"/>
        </w:rPr>
      </w:pPr>
      <w:hyperlink w:anchor="_Toc103332109" w:history="1">
        <w:r w:rsidRPr="003C735E">
          <w:rPr>
            <w:rStyle w:val="affb"/>
            <w:noProof/>
          </w:rPr>
          <w:t>7.3 Стадирование ЛМЗ</w:t>
        </w:r>
        <w:r>
          <w:rPr>
            <w:noProof/>
            <w:webHidden/>
          </w:rPr>
          <w:tab/>
        </w:r>
        <w:r>
          <w:rPr>
            <w:noProof/>
            <w:webHidden/>
          </w:rPr>
          <w:fldChar w:fldCharType="begin"/>
        </w:r>
        <w:r>
          <w:rPr>
            <w:noProof/>
            <w:webHidden/>
          </w:rPr>
          <w:instrText xml:space="preserve"> PAGEREF _Toc103332109 \h </w:instrText>
        </w:r>
        <w:r>
          <w:rPr>
            <w:noProof/>
            <w:webHidden/>
          </w:rPr>
        </w:r>
        <w:r>
          <w:rPr>
            <w:noProof/>
            <w:webHidden/>
          </w:rPr>
          <w:fldChar w:fldCharType="separate"/>
        </w:r>
        <w:r>
          <w:rPr>
            <w:noProof/>
            <w:webHidden/>
          </w:rPr>
          <w:t>41</w:t>
        </w:r>
        <w:r>
          <w:rPr>
            <w:noProof/>
            <w:webHidden/>
          </w:rPr>
          <w:fldChar w:fldCharType="end"/>
        </w:r>
      </w:hyperlink>
    </w:p>
    <w:p w14:paraId="76467A4C" w14:textId="2C3B0B70" w:rsidR="00EF3174" w:rsidRDefault="00EF3174">
      <w:pPr>
        <w:pStyle w:val="21"/>
        <w:rPr>
          <w:rFonts w:asciiTheme="minorHAnsi" w:eastAsiaTheme="minorEastAsia" w:hAnsiTheme="minorHAnsi" w:cstheme="minorBidi"/>
          <w:noProof/>
          <w:sz w:val="24"/>
          <w:szCs w:val="24"/>
          <w:lang w:eastAsia="ru-RU"/>
        </w:rPr>
      </w:pPr>
      <w:hyperlink w:anchor="_Toc103332110" w:history="1">
        <w:r w:rsidRPr="003C735E">
          <w:rPr>
            <w:rStyle w:val="affb"/>
            <w:noProof/>
          </w:rPr>
          <w:t>7.4. Оценка ответа на лечение при лимфомах</w:t>
        </w:r>
        <w:r>
          <w:rPr>
            <w:noProof/>
            <w:webHidden/>
          </w:rPr>
          <w:tab/>
        </w:r>
        <w:r>
          <w:rPr>
            <w:noProof/>
            <w:webHidden/>
          </w:rPr>
          <w:fldChar w:fldCharType="begin"/>
        </w:r>
        <w:r>
          <w:rPr>
            <w:noProof/>
            <w:webHidden/>
          </w:rPr>
          <w:instrText xml:space="preserve"> PAGEREF _Toc103332110 \h </w:instrText>
        </w:r>
        <w:r>
          <w:rPr>
            <w:noProof/>
            <w:webHidden/>
          </w:rPr>
        </w:r>
        <w:r>
          <w:rPr>
            <w:noProof/>
            <w:webHidden/>
          </w:rPr>
          <w:fldChar w:fldCharType="separate"/>
        </w:r>
        <w:r>
          <w:rPr>
            <w:noProof/>
            <w:webHidden/>
          </w:rPr>
          <w:t>42</w:t>
        </w:r>
        <w:r>
          <w:rPr>
            <w:noProof/>
            <w:webHidden/>
          </w:rPr>
          <w:fldChar w:fldCharType="end"/>
        </w:r>
      </w:hyperlink>
    </w:p>
    <w:p w14:paraId="08CEBB83" w14:textId="255DECCB" w:rsidR="00EF3174" w:rsidRDefault="00EF3174">
      <w:pPr>
        <w:pStyle w:val="21"/>
        <w:rPr>
          <w:rFonts w:asciiTheme="minorHAnsi" w:eastAsiaTheme="minorEastAsia" w:hAnsiTheme="minorHAnsi" w:cstheme="minorBidi"/>
          <w:noProof/>
          <w:sz w:val="24"/>
          <w:szCs w:val="24"/>
          <w:lang w:eastAsia="ru-RU"/>
        </w:rPr>
      </w:pPr>
      <w:hyperlink w:anchor="_Toc103332111" w:history="1">
        <w:r w:rsidRPr="003C735E">
          <w:rPr>
            <w:rStyle w:val="affb"/>
            <w:noProof/>
          </w:rPr>
          <w:t>7.5. Профилактика тромботических осложнений</w:t>
        </w:r>
        <w:r>
          <w:rPr>
            <w:noProof/>
            <w:webHidden/>
          </w:rPr>
          <w:tab/>
        </w:r>
        <w:r>
          <w:rPr>
            <w:noProof/>
            <w:webHidden/>
          </w:rPr>
          <w:fldChar w:fldCharType="begin"/>
        </w:r>
        <w:r>
          <w:rPr>
            <w:noProof/>
            <w:webHidden/>
          </w:rPr>
          <w:instrText xml:space="preserve"> PAGEREF _Toc103332111 \h </w:instrText>
        </w:r>
        <w:r>
          <w:rPr>
            <w:noProof/>
            <w:webHidden/>
          </w:rPr>
        </w:r>
        <w:r>
          <w:rPr>
            <w:noProof/>
            <w:webHidden/>
          </w:rPr>
          <w:fldChar w:fldCharType="separate"/>
        </w:r>
        <w:r>
          <w:rPr>
            <w:noProof/>
            <w:webHidden/>
          </w:rPr>
          <w:t>44</w:t>
        </w:r>
        <w:r>
          <w:rPr>
            <w:noProof/>
            <w:webHidden/>
          </w:rPr>
          <w:fldChar w:fldCharType="end"/>
        </w:r>
      </w:hyperlink>
    </w:p>
    <w:p w14:paraId="7DFC347A" w14:textId="4D8BDB7C" w:rsidR="00EF3174" w:rsidRDefault="00EF3174">
      <w:pPr>
        <w:pStyle w:val="21"/>
        <w:rPr>
          <w:rFonts w:asciiTheme="minorHAnsi" w:eastAsiaTheme="minorEastAsia" w:hAnsiTheme="minorHAnsi" w:cstheme="minorBidi"/>
          <w:noProof/>
          <w:sz w:val="24"/>
          <w:szCs w:val="24"/>
          <w:lang w:eastAsia="ru-RU"/>
        </w:rPr>
      </w:pPr>
      <w:hyperlink w:anchor="_Toc103332112" w:history="1">
        <w:r w:rsidRPr="003C735E">
          <w:rPr>
            <w:rStyle w:val="affb"/>
            <w:noProof/>
          </w:rPr>
          <w:t xml:space="preserve">7.6. </w:t>
        </w:r>
        <w:r w:rsidRPr="003C735E">
          <w:rPr>
            <w:rStyle w:val="affb"/>
            <w:noProof/>
            <w:lang w:eastAsia="ru-RU"/>
          </w:rPr>
          <w:t>Профилактика и лечение тошноты и рвоты</w:t>
        </w:r>
        <w:r>
          <w:rPr>
            <w:noProof/>
            <w:webHidden/>
          </w:rPr>
          <w:tab/>
        </w:r>
        <w:r>
          <w:rPr>
            <w:noProof/>
            <w:webHidden/>
          </w:rPr>
          <w:fldChar w:fldCharType="begin"/>
        </w:r>
        <w:r>
          <w:rPr>
            <w:noProof/>
            <w:webHidden/>
          </w:rPr>
          <w:instrText xml:space="preserve"> PAGEREF _Toc103332112 \h </w:instrText>
        </w:r>
        <w:r>
          <w:rPr>
            <w:noProof/>
            <w:webHidden/>
          </w:rPr>
        </w:r>
        <w:r>
          <w:rPr>
            <w:noProof/>
            <w:webHidden/>
          </w:rPr>
          <w:fldChar w:fldCharType="separate"/>
        </w:r>
        <w:r>
          <w:rPr>
            <w:noProof/>
            <w:webHidden/>
          </w:rPr>
          <w:t>48</w:t>
        </w:r>
        <w:r>
          <w:rPr>
            <w:noProof/>
            <w:webHidden/>
          </w:rPr>
          <w:fldChar w:fldCharType="end"/>
        </w:r>
      </w:hyperlink>
    </w:p>
    <w:p w14:paraId="4F762CBF" w14:textId="50A74343" w:rsidR="00EF3174" w:rsidRDefault="00EF3174">
      <w:pPr>
        <w:pStyle w:val="21"/>
        <w:rPr>
          <w:rFonts w:asciiTheme="minorHAnsi" w:eastAsiaTheme="minorEastAsia" w:hAnsiTheme="minorHAnsi" w:cstheme="minorBidi"/>
          <w:noProof/>
          <w:sz w:val="24"/>
          <w:szCs w:val="24"/>
          <w:lang w:eastAsia="ru-RU"/>
        </w:rPr>
      </w:pPr>
      <w:hyperlink w:anchor="_Toc103332113" w:history="1">
        <w:r w:rsidRPr="003C735E">
          <w:rPr>
            <w:rStyle w:val="affb"/>
            <w:noProof/>
          </w:rPr>
          <w:t xml:space="preserve">7.7. </w:t>
        </w:r>
        <w:r w:rsidRPr="003C735E">
          <w:rPr>
            <w:rStyle w:val="affb"/>
            <w:noProof/>
            <w:lang w:eastAsia="ru-RU"/>
          </w:rPr>
          <w:t>Профилактика язвенной болезни желудка и 12-перстной кишки на фоне терапии глюкокортикостероидами</w:t>
        </w:r>
        <w:r>
          <w:rPr>
            <w:noProof/>
            <w:webHidden/>
          </w:rPr>
          <w:tab/>
        </w:r>
        <w:r>
          <w:rPr>
            <w:noProof/>
            <w:webHidden/>
          </w:rPr>
          <w:fldChar w:fldCharType="begin"/>
        </w:r>
        <w:r>
          <w:rPr>
            <w:noProof/>
            <w:webHidden/>
          </w:rPr>
          <w:instrText xml:space="preserve"> PAGEREF _Toc103332113 \h </w:instrText>
        </w:r>
        <w:r>
          <w:rPr>
            <w:noProof/>
            <w:webHidden/>
          </w:rPr>
        </w:r>
        <w:r>
          <w:rPr>
            <w:noProof/>
            <w:webHidden/>
          </w:rPr>
          <w:fldChar w:fldCharType="separate"/>
        </w:r>
        <w:r>
          <w:rPr>
            <w:noProof/>
            <w:webHidden/>
          </w:rPr>
          <w:t>58</w:t>
        </w:r>
        <w:r>
          <w:rPr>
            <w:noProof/>
            <w:webHidden/>
          </w:rPr>
          <w:fldChar w:fldCharType="end"/>
        </w:r>
      </w:hyperlink>
    </w:p>
    <w:p w14:paraId="039F821E" w14:textId="0C352181" w:rsidR="00EF3174" w:rsidRDefault="00EF3174">
      <w:pPr>
        <w:pStyle w:val="19"/>
        <w:rPr>
          <w:rFonts w:asciiTheme="minorHAnsi" w:eastAsiaTheme="minorEastAsia" w:hAnsiTheme="minorHAnsi" w:cstheme="minorBidi"/>
          <w:noProof/>
          <w:szCs w:val="24"/>
          <w:lang w:eastAsia="ru-RU"/>
        </w:rPr>
      </w:pPr>
      <w:hyperlink w:anchor="_Toc103332114" w:history="1">
        <w:r w:rsidRPr="003C735E">
          <w:rPr>
            <w:rStyle w:val="affb"/>
            <w:noProof/>
          </w:rPr>
          <w:t>Критерии оценки качества медицинской помощи</w:t>
        </w:r>
        <w:r>
          <w:rPr>
            <w:noProof/>
            <w:webHidden/>
          </w:rPr>
          <w:tab/>
        </w:r>
        <w:r>
          <w:rPr>
            <w:noProof/>
            <w:webHidden/>
          </w:rPr>
          <w:fldChar w:fldCharType="begin"/>
        </w:r>
        <w:r>
          <w:rPr>
            <w:noProof/>
            <w:webHidden/>
          </w:rPr>
          <w:instrText xml:space="preserve"> PAGEREF _Toc103332114 \h </w:instrText>
        </w:r>
        <w:r>
          <w:rPr>
            <w:noProof/>
            <w:webHidden/>
          </w:rPr>
        </w:r>
        <w:r>
          <w:rPr>
            <w:noProof/>
            <w:webHidden/>
          </w:rPr>
          <w:fldChar w:fldCharType="separate"/>
        </w:r>
        <w:r>
          <w:rPr>
            <w:noProof/>
            <w:webHidden/>
          </w:rPr>
          <w:t>61</w:t>
        </w:r>
        <w:r>
          <w:rPr>
            <w:noProof/>
            <w:webHidden/>
          </w:rPr>
          <w:fldChar w:fldCharType="end"/>
        </w:r>
      </w:hyperlink>
    </w:p>
    <w:p w14:paraId="194F6D80" w14:textId="228BDC17" w:rsidR="00EF3174" w:rsidRDefault="00EF3174">
      <w:pPr>
        <w:pStyle w:val="19"/>
        <w:rPr>
          <w:rFonts w:asciiTheme="minorHAnsi" w:eastAsiaTheme="minorEastAsia" w:hAnsiTheme="minorHAnsi" w:cstheme="minorBidi"/>
          <w:noProof/>
          <w:szCs w:val="24"/>
          <w:lang w:eastAsia="ru-RU"/>
        </w:rPr>
      </w:pPr>
      <w:hyperlink w:anchor="_Toc103332115" w:history="1">
        <w:r w:rsidRPr="003C735E">
          <w:rPr>
            <w:rStyle w:val="affb"/>
            <w:noProof/>
          </w:rPr>
          <w:t>Список литературы</w:t>
        </w:r>
        <w:r>
          <w:rPr>
            <w:noProof/>
            <w:webHidden/>
          </w:rPr>
          <w:tab/>
        </w:r>
        <w:r>
          <w:rPr>
            <w:noProof/>
            <w:webHidden/>
          </w:rPr>
          <w:fldChar w:fldCharType="begin"/>
        </w:r>
        <w:r>
          <w:rPr>
            <w:noProof/>
            <w:webHidden/>
          </w:rPr>
          <w:instrText xml:space="preserve"> PAGEREF _Toc103332115 \h </w:instrText>
        </w:r>
        <w:r>
          <w:rPr>
            <w:noProof/>
            <w:webHidden/>
          </w:rPr>
        </w:r>
        <w:r>
          <w:rPr>
            <w:noProof/>
            <w:webHidden/>
          </w:rPr>
          <w:fldChar w:fldCharType="separate"/>
        </w:r>
        <w:r>
          <w:rPr>
            <w:noProof/>
            <w:webHidden/>
          </w:rPr>
          <w:t>63</w:t>
        </w:r>
        <w:r>
          <w:rPr>
            <w:noProof/>
            <w:webHidden/>
          </w:rPr>
          <w:fldChar w:fldCharType="end"/>
        </w:r>
      </w:hyperlink>
    </w:p>
    <w:p w14:paraId="17288E9C" w14:textId="32DDF709" w:rsidR="00EF3174" w:rsidRDefault="00EF3174">
      <w:pPr>
        <w:pStyle w:val="19"/>
        <w:rPr>
          <w:rFonts w:asciiTheme="minorHAnsi" w:eastAsiaTheme="minorEastAsia" w:hAnsiTheme="minorHAnsi" w:cstheme="minorBidi"/>
          <w:noProof/>
          <w:szCs w:val="24"/>
          <w:lang w:eastAsia="ru-RU"/>
        </w:rPr>
      </w:pPr>
      <w:hyperlink w:anchor="_Toc103332116" w:history="1">
        <w:r w:rsidRPr="003C735E">
          <w:rPr>
            <w:rStyle w:val="affb"/>
            <w:noProof/>
          </w:rPr>
          <w:t>Приложение А1. Состав рабочей группы по разработке и пересмотру клинических рекомендаций</w:t>
        </w:r>
        <w:r>
          <w:rPr>
            <w:noProof/>
            <w:webHidden/>
          </w:rPr>
          <w:tab/>
        </w:r>
        <w:r>
          <w:rPr>
            <w:noProof/>
            <w:webHidden/>
          </w:rPr>
          <w:fldChar w:fldCharType="begin"/>
        </w:r>
        <w:r>
          <w:rPr>
            <w:noProof/>
            <w:webHidden/>
          </w:rPr>
          <w:instrText xml:space="preserve"> PAGEREF _Toc103332116 \h </w:instrText>
        </w:r>
        <w:r>
          <w:rPr>
            <w:noProof/>
            <w:webHidden/>
          </w:rPr>
        </w:r>
        <w:r>
          <w:rPr>
            <w:noProof/>
            <w:webHidden/>
          </w:rPr>
          <w:fldChar w:fldCharType="separate"/>
        </w:r>
        <w:r>
          <w:rPr>
            <w:noProof/>
            <w:webHidden/>
          </w:rPr>
          <w:t>71</w:t>
        </w:r>
        <w:r>
          <w:rPr>
            <w:noProof/>
            <w:webHidden/>
          </w:rPr>
          <w:fldChar w:fldCharType="end"/>
        </w:r>
      </w:hyperlink>
    </w:p>
    <w:p w14:paraId="09F3B89D" w14:textId="055C78B1" w:rsidR="00EF3174" w:rsidRDefault="00EF3174">
      <w:pPr>
        <w:pStyle w:val="19"/>
        <w:rPr>
          <w:rFonts w:asciiTheme="minorHAnsi" w:eastAsiaTheme="minorEastAsia" w:hAnsiTheme="minorHAnsi" w:cstheme="minorBidi"/>
          <w:noProof/>
          <w:szCs w:val="24"/>
          <w:lang w:eastAsia="ru-RU"/>
        </w:rPr>
      </w:pPr>
      <w:hyperlink w:anchor="_Toc103332117" w:history="1">
        <w:r w:rsidRPr="003C735E">
          <w:rPr>
            <w:rStyle w:val="affb"/>
            <w:noProof/>
          </w:rPr>
          <w:t>Приложение А2. Методология разработки клинических рекомендаций</w:t>
        </w:r>
        <w:r>
          <w:rPr>
            <w:noProof/>
            <w:webHidden/>
          </w:rPr>
          <w:tab/>
        </w:r>
        <w:r>
          <w:rPr>
            <w:noProof/>
            <w:webHidden/>
          </w:rPr>
          <w:fldChar w:fldCharType="begin"/>
        </w:r>
        <w:r>
          <w:rPr>
            <w:noProof/>
            <w:webHidden/>
          </w:rPr>
          <w:instrText xml:space="preserve"> PAGEREF _Toc103332117 \h </w:instrText>
        </w:r>
        <w:r>
          <w:rPr>
            <w:noProof/>
            <w:webHidden/>
          </w:rPr>
        </w:r>
        <w:r>
          <w:rPr>
            <w:noProof/>
            <w:webHidden/>
          </w:rPr>
          <w:fldChar w:fldCharType="separate"/>
        </w:r>
        <w:r>
          <w:rPr>
            <w:noProof/>
            <w:webHidden/>
          </w:rPr>
          <w:t>73</w:t>
        </w:r>
        <w:r>
          <w:rPr>
            <w:noProof/>
            <w:webHidden/>
          </w:rPr>
          <w:fldChar w:fldCharType="end"/>
        </w:r>
      </w:hyperlink>
    </w:p>
    <w:p w14:paraId="65FE0C84" w14:textId="149F8302" w:rsidR="00EF3174" w:rsidRDefault="00EF3174">
      <w:pPr>
        <w:pStyle w:val="19"/>
        <w:rPr>
          <w:rFonts w:asciiTheme="minorHAnsi" w:eastAsiaTheme="minorEastAsia" w:hAnsiTheme="minorHAnsi" w:cstheme="minorBidi"/>
          <w:noProof/>
          <w:szCs w:val="24"/>
          <w:lang w:eastAsia="ru-RU"/>
        </w:rPr>
      </w:pPr>
      <w:hyperlink w:anchor="_Toc103332118" w:history="1">
        <w:r w:rsidRPr="003C735E">
          <w:rPr>
            <w:rStyle w:val="affb"/>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Pr>
            <w:noProof/>
            <w:webHidden/>
          </w:rPr>
          <w:tab/>
        </w:r>
        <w:r>
          <w:rPr>
            <w:noProof/>
            <w:webHidden/>
          </w:rPr>
          <w:fldChar w:fldCharType="begin"/>
        </w:r>
        <w:r>
          <w:rPr>
            <w:noProof/>
            <w:webHidden/>
          </w:rPr>
          <w:instrText xml:space="preserve"> PAGEREF _Toc103332118 \h </w:instrText>
        </w:r>
        <w:r>
          <w:rPr>
            <w:noProof/>
            <w:webHidden/>
          </w:rPr>
        </w:r>
        <w:r>
          <w:rPr>
            <w:noProof/>
            <w:webHidden/>
          </w:rPr>
          <w:fldChar w:fldCharType="separate"/>
        </w:r>
        <w:r>
          <w:rPr>
            <w:noProof/>
            <w:webHidden/>
          </w:rPr>
          <w:t>75</w:t>
        </w:r>
        <w:r>
          <w:rPr>
            <w:noProof/>
            <w:webHidden/>
          </w:rPr>
          <w:fldChar w:fldCharType="end"/>
        </w:r>
      </w:hyperlink>
    </w:p>
    <w:p w14:paraId="5E33079B" w14:textId="0AA00129" w:rsidR="00EF3174" w:rsidRDefault="00EF3174">
      <w:pPr>
        <w:pStyle w:val="21"/>
        <w:rPr>
          <w:rFonts w:asciiTheme="minorHAnsi" w:eastAsiaTheme="minorEastAsia" w:hAnsiTheme="minorHAnsi" w:cstheme="minorBidi"/>
          <w:noProof/>
          <w:sz w:val="24"/>
          <w:szCs w:val="24"/>
          <w:lang w:eastAsia="ru-RU"/>
        </w:rPr>
      </w:pPr>
      <w:hyperlink w:anchor="_Toc103332119" w:history="1">
        <w:r w:rsidRPr="003C735E">
          <w:rPr>
            <w:rStyle w:val="affb"/>
            <w:noProof/>
          </w:rPr>
          <w:t>Приложение А3.1. Режимы лекарственного лечения ЛМЗ</w:t>
        </w:r>
        <w:r>
          <w:rPr>
            <w:noProof/>
            <w:webHidden/>
          </w:rPr>
          <w:tab/>
        </w:r>
        <w:r>
          <w:rPr>
            <w:noProof/>
            <w:webHidden/>
          </w:rPr>
          <w:fldChar w:fldCharType="begin"/>
        </w:r>
        <w:r>
          <w:rPr>
            <w:noProof/>
            <w:webHidden/>
          </w:rPr>
          <w:instrText xml:space="preserve"> PAGEREF _Toc103332119 \h </w:instrText>
        </w:r>
        <w:r>
          <w:rPr>
            <w:noProof/>
            <w:webHidden/>
          </w:rPr>
        </w:r>
        <w:r>
          <w:rPr>
            <w:noProof/>
            <w:webHidden/>
          </w:rPr>
          <w:fldChar w:fldCharType="separate"/>
        </w:r>
        <w:r>
          <w:rPr>
            <w:noProof/>
            <w:webHidden/>
          </w:rPr>
          <w:t>75</w:t>
        </w:r>
        <w:r>
          <w:rPr>
            <w:noProof/>
            <w:webHidden/>
          </w:rPr>
          <w:fldChar w:fldCharType="end"/>
        </w:r>
      </w:hyperlink>
    </w:p>
    <w:p w14:paraId="66B7B579" w14:textId="421CA85F" w:rsidR="00EF3174" w:rsidRDefault="00EF3174">
      <w:pPr>
        <w:pStyle w:val="21"/>
        <w:rPr>
          <w:rFonts w:asciiTheme="minorHAnsi" w:eastAsiaTheme="minorEastAsia" w:hAnsiTheme="minorHAnsi" w:cstheme="minorBidi"/>
          <w:noProof/>
          <w:sz w:val="24"/>
          <w:szCs w:val="24"/>
          <w:lang w:eastAsia="ru-RU"/>
        </w:rPr>
      </w:pPr>
      <w:hyperlink w:anchor="_Toc103332120" w:history="1">
        <w:r w:rsidRPr="003C735E">
          <w:rPr>
            <w:rStyle w:val="affb"/>
            <w:noProof/>
          </w:rPr>
          <w:t>Приложение А3.2. Значение маркеров вируса гепатита В при ЛМЗ</w:t>
        </w:r>
        <w:r>
          <w:rPr>
            <w:noProof/>
            <w:webHidden/>
          </w:rPr>
          <w:tab/>
        </w:r>
        <w:r>
          <w:rPr>
            <w:noProof/>
            <w:webHidden/>
          </w:rPr>
          <w:fldChar w:fldCharType="begin"/>
        </w:r>
        <w:r>
          <w:rPr>
            <w:noProof/>
            <w:webHidden/>
          </w:rPr>
          <w:instrText xml:space="preserve"> PAGEREF _Toc103332120 \h </w:instrText>
        </w:r>
        <w:r>
          <w:rPr>
            <w:noProof/>
            <w:webHidden/>
          </w:rPr>
        </w:r>
        <w:r>
          <w:rPr>
            <w:noProof/>
            <w:webHidden/>
          </w:rPr>
          <w:fldChar w:fldCharType="separate"/>
        </w:r>
        <w:r>
          <w:rPr>
            <w:noProof/>
            <w:webHidden/>
          </w:rPr>
          <w:t>77</w:t>
        </w:r>
        <w:r>
          <w:rPr>
            <w:noProof/>
            <w:webHidden/>
          </w:rPr>
          <w:fldChar w:fldCharType="end"/>
        </w:r>
      </w:hyperlink>
    </w:p>
    <w:p w14:paraId="30B9DFF0" w14:textId="42508144" w:rsidR="00EF3174" w:rsidRDefault="00EF3174">
      <w:pPr>
        <w:pStyle w:val="21"/>
        <w:rPr>
          <w:rFonts w:asciiTheme="minorHAnsi" w:eastAsiaTheme="minorEastAsia" w:hAnsiTheme="minorHAnsi" w:cstheme="minorBidi"/>
          <w:noProof/>
          <w:sz w:val="24"/>
          <w:szCs w:val="24"/>
          <w:lang w:eastAsia="ru-RU"/>
        </w:rPr>
      </w:pPr>
      <w:hyperlink w:anchor="_Toc103332121" w:history="1">
        <w:r w:rsidRPr="003C735E">
          <w:rPr>
            <w:rStyle w:val="affb"/>
            <w:noProof/>
          </w:rPr>
          <w:t>Приложени</w:t>
        </w:r>
        <w:r w:rsidRPr="003C735E">
          <w:rPr>
            <w:rStyle w:val="affb"/>
            <w:noProof/>
          </w:rPr>
          <w:t>е</w:t>
        </w:r>
        <w:r w:rsidRPr="003C735E">
          <w:rPr>
            <w:rStyle w:val="affb"/>
            <w:noProof/>
          </w:rPr>
          <w:t xml:space="preserve"> А3.3. </w:t>
        </w:r>
        <w:r w:rsidRPr="003C735E">
          <w:rPr>
            <w:rStyle w:val="affb"/>
            <w:rFonts w:eastAsia="Arial Unicode MS"/>
            <w:noProof/>
          </w:rPr>
          <w:t xml:space="preserve">Сопроводительная терапия при введении ритуксимаба** </w:t>
        </w:r>
        <w:r w:rsidRPr="003C735E">
          <w:rPr>
            <w:rStyle w:val="affb"/>
            <w:noProof/>
          </w:rPr>
          <w:t>[74,75]</w:t>
        </w:r>
        <w:r>
          <w:rPr>
            <w:noProof/>
            <w:webHidden/>
          </w:rPr>
          <w:tab/>
        </w:r>
        <w:r>
          <w:rPr>
            <w:noProof/>
            <w:webHidden/>
          </w:rPr>
          <w:fldChar w:fldCharType="begin"/>
        </w:r>
        <w:r>
          <w:rPr>
            <w:noProof/>
            <w:webHidden/>
          </w:rPr>
          <w:instrText xml:space="preserve"> PAGEREF _Toc103332121 \h </w:instrText>
        </w:r>
        <w:r>
          <w:rPr>
            <w:noProof/>
            <w:webHidden/>
          </w:rPr>
        </w:r>
        <w:r>
          <w:rPr>
            <w:noProof/>
            <w:webHidden/>
          </w:rPr>
          <w:fldChar w:fldCharType="separate"/>
        </w:r>
        <w:r>
          <w:rPr>
            <w:noProof/>
            <w:webHidden/>
          </w:rPr>
          <w:t>77</w:t>
        </w:r>
        <w:r>
          <w:rPr>
            <w:noProof/>
            <w:webHidden/>
          </w:rPr>
          <w:fldChar w:fldCharType="end"/>
        </w:r>
      </w:hyperlink>
    </w:p>
    <w:p w14:paraId="65D0D320" w14:textId="5A96E6F3" w:rsidR="00EF3174" w:rsidRDefault="00EF3174">
      <w:pPr>
        <w:pStyle w:val="19"/>
        <w:rPr>
          <w:rFonts w:asciiTheme="minorHAnsi" w:eastAsiaTheme="minorEastAsia" w:hAnsiTheme="minorHAnsi" w:cstheme="minorBidi"/>
          <w:noProof/>
          <w:szCs w:val="24"/>
          <w:lang w:eastAsia="ru-RU"/>
        </w:rPr>
      </w:pPr>
      <w:hyperlink w:anchor="_Toc103332122" w:history="1">
        <w:r w:rsidRPr="003C735E">
          <w:rPr>
            <w:rStyle w:val="affb"/>
            <w:noProof/>
          </w:rPr>
          <w:t>Приложение Б. Алгоритмы действий врача</w:t>
        </w:r>
        <w:r>
          <w:rPr>
            <w:noProof/>
            <w:webHidden/>
          </w:rPr>
          <w:tab/>
        </w:r>
        <w:r>
          <w:rPr>
            <w:noProof/>
            <w:webHidden/>
          </w:rPr>
          <w:fldChar w:fldCharType="begin"/>
        </w:r>
        <w:r>
          <w:rPr>
            <w:noProof/>
            <w:webHidden/>
          </w:rPr>
          <w:instrText xml:space="preserve"> PAGEREF _Toc103332122 \h </w:instrText>
        </w:r>
        <w:r>
          <w:rPr>
            <w:noProof/>
            <w:webHidden/>
          </w:rPr>
        </w:r>
        <w:r>
          <w:rPr>
            <w:noProof/>
            <w:webHidden/>
          </w:rPr>
          <w:fldChar w:fldCharType="separate"/>
        </w:r>
        <w:r>
          <w:rPr>
            <w:noProof/>
            <w:webHidden/>
          </w:rPr>
          <w:t>80</w:t>
        </w:r>
        <w:r>
          <w:rPr>
            <w:noProof/>
            <w:webHidden/>
          </w:rPr>
          <w:fldChar w:fldCharType="end"/>
        </w:r>
      </w:hyperlink>
    </w:p>
    <w:p w14:paraId="174063C5" w14:textId="6C3E9A34" w:rsidR="00EF3174" w:rsidRDefault="00EF3174">
      <w:pPr>
        <w:pStyle w:val="19"/>
        <w:rPr>
          <w:rFonts w:asciiTheme="minorHAnsi" w:eastAsiaTheme="minorEastAsia" w:hAnsiTheme="minorHAnsi" w:cstheme="minorBidi"/>
          <w:noProof/>
          <w:szCs w:val="24"/>
          <w:lang w:eastAsia="ru-RU"/>
        </w:rPr>
      </w:pPr>
      <w:hyperlink w:anchor="_Toc103332123" w:history="1">
        <w:r w:rsidRPr="003C735E">
          <w:rPr>
            <w:rStyle w:val="affb"/>
            <w:noProof/>
          </w:rPr>
          <w:t>Приложение В. Информация для пациента</w:t>
        </w:r>
        <w:r>
          <w:rPr>
            <w:noProof/>
            <w:webHidden/>
          </w:rPr>
          <w:tab/>
        </w:r>
        <w:r>
          <w:rPr>
            <w:noProof/>
            <w:webHidden/>
          </w:rPr>
          <w:fldChar w:fldCharType="begin"/>
        </w:r>
        <w:r>
          <w:rPr>
            <w:noProof/>
            <w:webHidden/>
          </w:rPr>
          <w:instrText xml:space="preserve"> PAGEREF _Toc103332123 \h </w:instrText>
        </w:r>
        <w:r>
          <w:rPr>
            <w:noProof/>
            <w:webHidden/>
          </w:rPr>
        </w:r>
        <w:r>
          <w:rPr>
            <w:noProof/>
            <w:webHidden/>
          </w:rPr>
          <w:fldChar w:fldCharType="separate"/>
        </w:r>
        <w:r>
          <w:rPr>
            <w:noProof/>
            <w:webHidden/>
          </w:rPr>
          <w:t>82</w:t>
        </w:r>
        <w:r>
          <w:rPr>
            <w:noProof/>
            <w:webHidden/>
          </w:rPr>
          <w:fldChar w:fldCharType="end"/>
        </w:r>
      </w:hyperlink>
    </w:p>
    <w:p w14:paraId="1C403AAF" w14:textId="7D64A245" w:rsidR="00EF3174" w:rsidRDefault="00EF3174">
      <w:pPr>
        <w:pStyle w:val="19"/>
        <w:rPr>
          <w:rFonts w:asciiTheme="minorHAnsi" w:eastAsiaTheme="minorEastAsia" w:hAnsiTheme="minorHAnsi" w:cstheme="minorBidi"/>
          <w:noProof/>
          <w:szCs w:val="24"/>
          <w:lang w:eastAsia="ru-RU"/>
        </w:rPr>
      </w:pPr>
      <w:hyperlink w:anchor="_Toc103332124" w:history="1">
        <w:r w:rsidRPr="003C735E">
          <w:rPr>
            <w:rStyle w:val="affb"/>
            <w:noProof/>
          </w:rPr>
          <w:t>Приложение Г1-Г</w:t>
        </w:r>
        <w:r w:rsidRPr="003C735E">
          <w:rPr>
            <w:rStyle w:val="affb"/>
            <w:noProof/>
            <w:lang w:val="en-US"/>
          </w:rPr>
          <w:t>N</w:t>
        </w:r>
        <w:r w:rsidRPr="003C735E">
          <w:rPr>
            <w:rStyle w:val="affb"/>
            <w:noProof/>
          </w:rPr>
          <w:t>. Шкалы оценки, вопросники и другие оценочные инструменты состояния пациента, приведенные в клинических рекомендациях</w:t>
        </w:r>
        <w:r>
          <w:rPr>
            <w:noProof/>
            <w:webHidden/>
          </w:rPr>
          <w:tab/>
        </w:r>
        <w:r>
          <w:rPr>
            <w:noProof/>
            <w:webHidden/>
          </w:rPr>
          <w:fldChar w:fldCharType="begin"/>
        </w:r>
        <w:r>
          <w:rPr>
            <w:noProof/>
            <w:webHidden/>
          </w:rPr>
          <w:instrText xml:space="preserve"> PAGEREF _Toc103332124 \h </w:instrText>
        </w:r>
        <w:r>
          <w:rPr>
            <w:noProof/>
            <w:webHidden/>
          </w:rPr>
        </w:r>
        <w:r>
          <w:rPr>
            <w:noProof/>
            <w:webHidden/>
          </w:rPr>
          <w:fldChar w:fldCharType="separate"/>
        </w:r>
        <w:r>
          <w:rPr>
            <w:noProof/>
            <w:webHidden/>
          </w:rPr>
          <w:t>84</w:t>
        </w:r>
        <w:r>
          <w:rPr>
            <w:noProof/>
            <w:webHidden/>
          </w:rPr>
          <w:fldChar w:fldCharType="end"/>
        </w:r>
      </w:hyperlink>
    </w:p>
    <w:p w14:paraId="6718154D" w14:textId="0B43B2AE" w:rsidR="00EF3174" w:rsidRDefault="00EF3174">
      <w:pPr>
        <w:pStyle w:val="21"/>
        <w:rPr>
          <w:rFonts w:asciiTheme="minorHAnsi" w:eastAsiaTheme="minorEastAsia" w:hAnsiTheme="minorHAnsi" w:cstheme="minorBidi"/>
          <w:noProof/>
          <w:sz w:val="24"/>
          <w:szCs w:val="24"/>
          <w:lang w:eastAsia="ru-RU"/>
        </w:rPr>
      </w:pPr>
      <w:hyperlink w:anchor="_Toc103332125" w:history="1">
        <w:r w:rsidRPr="003C735E">
          <w:rPr>
            <w:rStyle w:val="affb"/>
            <w:noProof/>
          </w:rPr>
          <w:t>Приложение Г1. Шкала оценки общего состояния пациента Восточной объединенной онкологической группы (ECOG)</w:t>
        </w:r>
        <w:r>
          <w:rPr>
            <w:noProof/>
            <w:webHidden/>
          </w:rPr>
          <w:tab/>
        </w:r>
        <w:r>
          <w:rPr>
            <w:noProof/>
            <w:webHidden/>
          </w:rPr>
          <w:fldChar w:fldCharType="begin"/>
        </w:r>
        <w:r>
          <w:rPr>
            <w:noProof/>
            <w:webHidden/>
          </w:rPr>
          <w:instrText xml:space="preserve"> PAGEREF _Toc103332125 \h </w:instrText>
        </w:r>
        <w:r>
          <w:rPr>
            <w:noProof/>
            <w:webHidden/>
          </w:rPr>
        </w:r>
        <w:r>
          <w:rPr>
            <w:noProof/>
            <w:webHidden/>
          </w:rPr>
          <w:fldChar w:fldCharType="separate"/>
        </w:r>
        <w:r>
          <w:rPr>
            <w:noProof/>
            <w:webHidden/>
          </w:rPr>
          <w:t>84</w:t>
        </w:r>
        <w:r>
          <w:rPr>
            <w:noProof/>
            <w:webHidden/>
          </w:rPr>
          <w:fldChar w:fldCharType="end"/>
        </w:r>
      </w:hyperlink>
    </w:p>
    <w:p w14:paraId="21F620FD" w14:textId="69864685" w:rsidR="00EF3174" w:rsidRDefault="00EF3174">
      <w:pPr>
        <w:pStyle w:val="21"/>
        <w:rPr>
          <w:rFonts w:asciiTheme="minorHAnsi" w:eastAsiaTheme="minorEastAsia" w:hAnsiTheme="minorHAnsi" w:cstheme="minorBidi"/>
          <w:noProof/>
          <w:sz w:val="24"/>
          <w:szCs w:val="24"/>
          <w:lang w:eastAsia="ru-RU"/>
        </w:rPr>
      </w:pPr>
      <w:hyperlink w:anchor="_Toc103332126" w:history="1">
        <w:r w:rsidRPr="003C735E">
          <w:rPr>
            <w:rStyle w:val="affb"/>
            <w:noProof/>
          </w:rPr>
          <w:t>Приложение Г2. Шкала Khorana для оценки риска ВТЭО у пациентов, получающих химиотерапию</w:t>
        </w:r>
        <w:r>
          <w:rPr>
            <w:noProof/>
            <w:webHidden/>
          </w:rPr>
          <w:tab/>
        </w:r>
        <w:r>
          <w:rPr>
            <w:noProof/>
            <w:webHidden/>
          </w:rPr>
          <w:fldChar w:fldCharType="begin"/>
        </w:r>
        <w:r>
          <w:rPr>
            <w:noProof/>
            <w:webHidden/>
          </w:rPr>
          <w:instrText xml:space="preserve"> PAGEREF _Toc103332126 \h </w:instrText>
        </w:r>
        <w:r>
          <w:rPr>
            <w:noProof/>
            <w:webHidden/>
          </w:rPr>
        </w:r>
        <w:r>
          <w:rPr>
            <w:noProof/>
            <w:webHidden/>
          </w:rPr>
          <w:fldChar w:fldCharType="separate"/>
        </w:r>
        <w:r>
          <w:rPr>
            <w:noProof/>
            <w:webHidden/>
          </w:rPr>
          <w:t>84</w:t>
        </w:r>
        <w:r>
          <w:rPr>
            <w:noProof/>
            <w:webHidden/>
          </w:rPr>
          <w:fldChar w:fldCharType="end"/>
        </w:r>
      </w:hyperlink>
    </w:p>
    <w:p w14:paraId="3EB62C7E" w14:textId="7A5C409B" w:rsidR="00172112" w:rsidRPr="00C81573" w:rsidRDefault="005653DE" w:rsidP="00A86E5F">
      <w:pPr>
        <w:rPr>
          <w:szCs w:val="24"/>
        </w:rPr>
      </w:pPr>
      <w:r w:rsidRPr="00C81573">
        <w:rPr>
          <w:b/>
          <w:bCs/>
          <w:szCs w:val="24"/>
        </w:rPr>
        <w:fldChar w:fldCharType="end"/>
      </w:r>
    </w:p>
    <w:p w14:paraId="6DD5BE81" w14:textId="77777777" w:rsidR="00172112" w:rsidRPr="00C81573" w:rsidRDefault="00172112" w:rsidP="00172112"/>
    <w:p w14:paraId="3BFA47CF" w14:textId="77777777" w:rsidR="00172112" w:rsidRPr="00C81573" w:rsidRDefault="00172112" w:rsidP="00FF5AFB">
      <w:pPr>
        <w:pStyle w:val="1f"/>
        <w:rPr>
          <w:sz w:val="28"/>
        </w:rPr>
      </w:pPr>
      <w:r w:rsidRPr="00C81573">
        <w:br w:type="page"/>
      </w:r>
    </w:p>
    <w:p w14:paraId="0BA1AE3D" w14:textId="77777777" w:rsidR="000414F6" w:rsidRPr="00F05351" w:rsidRDefault="00CB71DA" w:rsidP="00F05351">
      <w:pPr>
        <w:pStyle w:val="afff1"/>
      </w:pPr>
      <w:bookmarkStart w:id="3" w:name="__RefHeading___doc_abbreviation"/>
      <w:bookmarkStart w:id="4" w:name="_Toc11747727"/>
      <w:bookmarkStart w:id="5" w:name="_Toc103332079"/>
      <w:r w:rsidRPr="00F05351">
        <w:lastRenderedPageBreak/>
        <w:t>Список сокращений</w:t>
      </w:r>
      <w:bookmarkEnd w:id="3"/>
      <w:bookmarkEnd w:id="4"/>
      <w:bookmarkEnd w:id="5"/>
    </w:p>
    <w:p w14:paraId="71DE1DD6" w14:textId="77777777" w:rsidR="004F09AF" w:rsidRDefault="004F09AF" w:rsidP="004F09AF">
      <w:pPr>
        <w:pStyle w:val="affff"/>
        <w:spacing w:beforeAutospacing="0" w:afterAutospacing="0" w:line="360" w:lineRule="auto"/>
        <w:divId w:val="1653948401"/>
      </w:pPr>
      <w:r>
        <w:t>ЛМЗ – лимфомы маргинальной зоны</w:t>
      </w:r>
    </w:p>
    <w:p w14:paraId="712B8CC8" w14:textId="77777777" w:rsidR="004F09AF" w:rsidRDefault="004F09AF" w:rsidP="004F09AF">
      <w:pPr>
        <w:pStyle w:val="affff"/>
        <w:spacing w:beforeAutospacing="0" w:afterAutospacing="0" w:line="360" w:lineRule="auto"/>
        <w:divId w:val="1653948401"/>
      </w:pPr>
      <w:r>
        <w:t>MALT – мукозассоциированнаялимфома</w:t>
      </w:r>
    </w:p>
    <w:p w14:paraId="2EC4C02E" w14:textId="77777777" w:rsidR="004F09AF" w:rsidRDefault="004F09AF" w:rsidP="004F09AF">
      <w:pPr>
        <w:pStyle w:val="affff"/>
        <w:spacing w:beforeAutospacing="0" w:afterAutospacing="0" w:line="360" w:lineRule="auto"/>
        <w:divId w:val="1653948401"/>
      </w:pPr>
      <w:r>
        <w:t>НХЛ – неходжкинскиелимфомы</w:t>
      </w:r>
    </w:p>
    <w:p w14:paraId="4D0D715D" w14:textId="77777777" w:rsidR="004F09AF" w:rsidRDefault="004F09AF" w:rsidP="004F09AF">
      <w:pPr>
        <w:pStyle w:val="affff"/>
        <w:spacing w:beforeAutospacing="0" w:afterAutospacing="0" w:line="360" w:lineRule="auto"/>
        <w:divId w:val="1653948401"/>
      </w:pPr>
      <w:r>
        <w:t>ИФТ – иммунофенотипирование методом проточной цитометрии</w:t>
      </w:r>
    </w:p>
    <w:p w14:paraId="17C2CFA9" w14:textId="77777777" w:rsidR="004F09AF" w:rsidRDefault="004F09AF" w:rsidP="004F09AF">
      <w:pPr>
        <w:pStyle w:val="affff"/>
        <w:spacing w:beforeAutospacing="0" w:afterAutospacing="0" w:line="360" w:lineRule="auto"/>
        <w:divId w:val="1653948401"/>
      </w:pPr>
      <w:r>
        <w:t>КМ – костный мозг</w:t>
      </w:r>
    </w:p>
    <w:p w14:paraId="27A535D3" w14:textId="77777777" w:rsidR="004F09AF" w:rsidRDefault="004F09AF" w:rsidP="004F09AF">
      <w:pPr>
        <w:pStyle w:val="affff"/>
        <w:spacing w:beforeAutospacing="0" w:afterAutospacing="0" w:line="360" w:lineRule="auto"/>
        <w:divId w:val="1653948401"/>
      </w:pPr>
      <w:r>
        <w:t>КТ – компьютерная томография</w:t>
      </w:r>
    </w:p>
    <w:p w14:paraId="080EB8AC" w14:textId="77777777" w:rsidR="004F09AF" w:rsidRDefault="004F09AF" w:rsidP="004F09AF">
      <w:pPr>
        <w:pStyle w:val="affff"/>
        <w:spacing w:beforeAutospacing="0" w:afterAutospacing="0" w:line="360" w:lineRule="auto"/>
        <w:divId w:val="1653948401"/>
      </w:pPr>
      <w:r>
        <w:t>ЛТ – лучевая терапия</w:t>
      </w:r>
    </w:p>
    <w:p w14:paraId="37CF49DE" w14:textId="77777777" w:rsidR="004F09AF" w:rsidRDefault="004F09AF" w:rsidP="004F09AF">
      <w:pPr>
        <w:pStyle w:val="affff"/>
        <w:spacing w:beforeAutospacing="0" w:afterAutospacing="0" w:line="360" w:lineRule="auto"/>
        <w:divId w:val="1653948401"/>
      </w:pPr>
      <w:r>
        <w:t>МРТ – магниторезонансная томография</w:t>
      </w:r>
    </w:p>
    <w:p w14:paraId="2651AA02" w14:textId="77777777" w:rsidR="004F09AF" w:rsidRDefault="004F09AF" w:rsidP="004F09AF">
      <w:pPr>
        <w:pStyle w:val="affff"/>
        <w:spacing w:beforeAutospacing="0" w:afterAutospacing="0" w:line="360" w:lineRule="auto"/>
        <w:divId w:val="1653948401"/>
      </w:pPr>
      <w:r>
        <w:t>ПР – полная ремиссия</w:t>
      </w:r>
    </w:p>
    <w:p w14:paraId="25F3D8D5" w14:textId="77777777" w:rsidR="004F09AF" w:rsidRDefault="004F09AF" w:rsidP="004F09AF">
      <w:pPr>
        <w:pStyle w:val="affff"/>
        <w:spacing w:beforeAutospacing="0" w:afterAutospacing="0" w:line="360" w:lineRule="auto"/>
        <w:divId w:val="1653948401"/>
      </w:pPr>
      <w:r>
        <w:t>РОД – разовая доза облучения</w:t>
      </w:r>
    </w:p>
    <w:p w14:paraId="16D22F82" w14:textId="77777777" w:rsidR="004F09AF" w:rsidRDefault="004F09AF" w:rsidP="004F09AF">
      <w:pPr>
        <w:pStyle w:val="affff"/>
        <w:spacing w:beforeAutospacing="0" w:afterAutospacing="0" w:line="360" w:lineRule="auto"/>
        <w:divId w:val="1653948401"/>
      </w:pPr>
      <w:r>
        <w:t>СОД – суммарная доза облучения</w:t>
      </w:r>
    </w:p>
    <w:p w14:paraId="187556AF" w14:textId="77777777" w:rsidR="004F09AF" w:rsidRDefault="004F09AF" w:rsidP="004F09AF">
      <w:pPr>
        <w:pStyle w:val="affff"/>
        <w:spacing w:beforeAutospacing="0" w:afterAutospacing="0" w:line="360" w:lineRule="auto"/>
        <w:divId w:val="1653948401"/>
      </w:pPr>
      <w:r>
        <w:t>УЗИ – ультразвуковое исследование</w:t>
      </w:r>
    </w:p>
    <w:p w14:paraId="688B43D9" w14:textId="77777777" w:rsidR="004F09AF" w:rsidRDefault="004F09AF" w:rsidP="004F09AF">
      <w:pPr>
        <w:pStyle w:val="affff"/>
        <w:spacing w:beforeAutospacing="0" w:afterAutospacing="0" w:line="360" w:lineRule="auto"/>
        <w:divId w:val="1653948401"/>
      </w:pPr>
      <w:r>
        <w:t>ФЛ – фолликулярная лимфома</w:t>
      </w:r>
    </w:p>
    <w:p w14:paraId="41B6D896" w14:textId="77777777" w:rsidR="004F09AF" w:rsidRDefault="004F09AF" w:rsidP="004F09AF">
      <w:pPr>
        <w:pStyle w:val="affff"/>
        <w:spacing w:beforeAutospacing="0" w:afterAutospacing="0" w:line="360" w:lineRule="auto"/>
        <w:divId w:val="1653948401"/>
      </w:pPr>
      <w:r>
        <w:t>ЭКГ – электрокардиография</w:t>
      </w:r>
    </w:p>
    <w:p w14:paraId="1E9FDCE5" w14:textId="77777777" w:rsidR="004F09AF" w:rsidRDefault="004F09AF" w:rsidP="004F09AF">
      <w:pPr>
        <w:pStyle w:val="affff"/>
        <w:spacing w:beforeAutospacing="0" w:afterAutospacing="0" w:line="360" w:lineRule="auto"/>
        <w:divId w:val="1653948401"/>
      </w:pPr>
      <w:r>
        <w:t>Эхо-КГ – эхокардиография</w:t>
      </w:r>
    </w:p>
    <w:p w14:paraId="75E9EDF7" w14:textId="77777777" w:rsidR="004F09AF" w:rsidRPr="00423B24" w:rsidRDefault="004F09AF" w:rsidP="004F09AF">
      <w:pPr>
        <w:contextualSpacing/>
        <w:divId w:val="1653948401"/>
        <w:rPr>
          <w:rFonts w:eastAsia="Times New Roman"/>
          <w:szCs w:val="24"/>
          <w:lang w:eastAsia="ru-RU"/>
        </w:rPr>
      </w:pPr>
      <w:r>
        <w:t>IPSID – иммунопролиферативное заболевание тонкой кишки</w:t>
      </w:r>
    </w:p>
    <w:p w14:paraId="2A5B2673" w14:textId="77777777" w:rsidR="004F09AF" w:rsidRDefault="004F09AF" w:rsidP="004F09AF">
      <w:pPr>
        <w:contextualSpacing/>
        <w:divId w:val="1653948401"/>
      </w:pPr>
      <w:r>
        <w:t>** – жизненно необходимые и важнейшие лекарственные препараты</w:t>
      </w:r>
    </w:p>
    <w:p w14:paraId="4E106686" w14:textId="05DEDE3A" w:rsidR="008A24EB" w:rsidRPr="00C81573" w:rsidRDefault="004F09AF" w:rsidP="004F09AF">
      <w:pPr>
        <w:pStyle w:val="afff"/>
        <w:divId w:val="1653948401"/>
      </w:pPr>
      <w:r>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5B584641" w14:textId="77777777" w:rsidR="00F05351" w:rsidRDefault="00F05351" w:rsidP="00F05351">
      <w:pPr>
        <w:pStyle w:val="afff"/>
        <w:jc w:val="center"/>
      </w:pPr>
    </w:p>
    <w:p w14:paraId="5B511833" w14:textId="36544E9A" w:rsidR="000414F6" w:rsidRPr="00F05351" w:rsidRDefault="00CB71DA" w:rsidP="00F05351">
      <w:pPr>
        <w:pStyle w:val="afff"/>
        <w:jc w:val="center"/>
        <w:rPr>
          <w:rStyle w:val="afff2"/>
        </w:rPr>
      </w:pPr>
      <w:r w:rsidRPr="00C81573">
        <w:br w:type="page"/>
      </w:r>
      <w:bookmarkStart w:id="6" w:name="__RefHeading___doc_terms"/>
      <w:bookmarkStart w:id="7" w:name="_Toc11747728"/>
      <w:bookmarkStart w:id="8" w:name="_Toc103332080"/>
      <w:r w:rsidRPr="00F05351">
        <w:rPr>
          <w:rStyle w:val="afff2"/>
        </w:rPr>
        <w:lastRenderedPageBreak/>
        <w:t>Термины и определения</w:t>
      </w:r>
      <w:bookmarkEnd w:id="6"/>
      <w:bookmarkEnd w:id="7"/>
      <w:bookmarkEnd w:id="8"/>
    </w:p>
    <w:p w14:paraId="55D9C3A1" w14:textId="2B77E41C" w:rsidR="004F09AF" w:rsidRDefault="004F09AF" w:rsidP="004F09AF">
      <w:pPr>
        <w:contextualSpacing/>
      </w:pPr>
      <w:r w:rsidRPr="004D7374">
        <w:rPr>
          <w:b/>
        </w:rPr>
        <w:t>ECOG</w:t>
      </w:r>
      <w:r>
        <w:t xml:space="preserve"> – оценка общего состояния пациента по шкале, разработанной Восточной </w:t>
      </w:r>
      <w:r w:rsidRPr="00E67C8E">
        <w:t>объединенной онкологической группой (Eastern</w:t>
      </w:r>
      <w:r>
        <w:t xml:space="preserve"> </w:t>
      </w:r>
      <w:r w:rsidRPr="00E67C8E">
        <w:t>Cooperative</w:t>
      </w:r>
      <w:r>
        <w:t xml:space="preserve"> </w:t>
      </w:r>
      <w:r w:rsidRPr="00E67C8E">
        <w:t>Oncology</w:t>
      </w:r>
      <w:r>
        <w:t xml:space="preserve"> </w:t>
      </w:r>
      <w:r w:rsidRPr="00E67C8E">
        <w:t>Group) – см. приложение Г1.</w:t>
      </w:r>
    </w:p>
    <w:p w14:paraId="1E32CA96" w14:textId="77777777" w:rsidR="004F09AF" w:rsidRDefault="004F09AF" w:rsidP="004F09AF">
      <w:pPr>
        <w:contextualSpacing/>
      </w:pPr>
      <w:r>
        <w:rPr>
          <w:b/>
        </w:rPr>
        <w:t xml:space="preserve">В-симптомы </w:t>
      </w:r>
      <w:r w:rsidRPr="003147A2">
        <w:t>– неспецифические симптомы опухолевой интоксикации, включающие лихорадку выше 38°С не менее трех дней подряд без признаков воспаления; ночные профузные поты; похудание на 10% массы тела за последние 6 месяцев.</w:t>
      </w:r>
    </w:p>
    <w:p w14:paraId="1D92A0D4" w14:textId="77777777" w:rsidR="004F09AF" w:rsidRDefault="004F09AF" w:rsidP="004F09AF">
      <w:pPr>
        <w:pStyle w:val="affff"/>
        <w:spacing w:beforeAutospacing="0" w:afterAutospacing="0" w:line="360" w:lineRule="auto"/>
      </w:pPr>
      <w:r>
        <w:rPr>
          <w:rStyle w:val="aff9"/>
        </w:rPr>
        <w:t>Доказательная медицина</w:t>
      </w:r>
      <w:r>
        <w:t xml:space="preserve"> – подход к медицинской практике, при котором решения о применении профилактических, диагностических и лечебных мероприятий принимаются исходя из имеющихся доказательств их эффективности и безопасности, а такие доказательства подвергаются поиску, сравнению, обобщению и широкому распространению для использования в интересах пациентов.</w:t>
      </w:r>
    </w:p>
    <w:p w14:paraId="452868C1" w14:textId="4096020F" w:rsidR="00F05351" w:rsidRDefault="00F05351" w:rsidP="00F05351"/>
    <w:p w14:paraId="68D25C25" w14:textId="77777777" w:rsidR="00F05351" w:rsidRDefault="00F05351" w:rsidP="00F05351"/>
    <w:p w14:paraId="1A552324" w14:textId="3A47A003" w:rsidR="00B8195D" w:rsidRPr="00C81573" w:rsidRDefault="00CB71DA" w:rsidP="00F05351">
      <w:r w:rsidRPr="00C81573">
        <w:br w:type="page"/>
      </w:r>
      <w:bookmarkStart w:id="9" w:name="__RefHeading___doc_1"/>
    </w:p>
    <w:p w14:paraId="4F31D9DB" w14:textId="77777777" w:rsidR="000414F6" w:rsidRPr="00C81573" w:rsidRDefault="00CB71DA" w:rsidP="00C4630C">
      <w:pPr>
        <w:pStyle w:val="afff1"/>
      </w:pPr>
      <w:bookmarkStart w:id="10" w:name="_Toc11747729"/>
      <w:bookmarkStart w:id="11" w:name="_Toc103332081"/>
      <w:r w:rsidRPr="00C81573">
        <w:lastRenderedPageBreak/>
        <w:t>1. Краткая информация</w:t>
      </w:r>
      <w:bookmarkEnd w:id="9"/>
      <w:r w:rsidR="00384B6A" w:rsidRPr="00C81573">
        <w:t xml:space="preserve"> по заболеванию или состоянию (группе заболеваний или состояний)</w:t>
      </w:r>
      <w:bookmarkEnd w:id="10"/>
      <w:bookmarkEnd w:id="11"/>
    </w:p>
    <w:p w14:paraId="467F8A7A" w14:textId="77777777" w:rsidR="00B46390" w:rsidRPr="00C81573" w:rsidRDefault="00B46390" w:rsidP="0021676E">
      <w:pPr>
        <w:pStyle w:val="2"/>
      </w:pPr>
      <w:bookmarkStart w:id="12" w:name="_Toc469402330"/>
      <w:bookmarkStart w:id="13" w:name="_Toc468273527"/>
      <w:bookmarkStart w:id="14" w:name="_Toc468273445"/>
      <w:bookmarkStart w:id="15" w:name="_Toc11747730"/>
      <w:bookmarkStart w:id="16" w:name="__RefHeading___doc_2"/>
      <w:bookmarkStart w:id="17" w:name="_Toc103332082"/>
      <w:bookmarkEnd w:id="12"/>
      <w:bookmarkEnd w:id="13"/>
      <w:bookmarkEnd w:id="14"/>
      <w:r w:rsidRPr="00C81573">
        <w:t>1.1 Определение</w:t>
      </w:r>
      <w:bookmarkEnd w:id="15"/>
      <w:r w:rsidR="00C81573" w:rsidRPr="00C81573">
        <w:t xml:space="preserve"> </w:t>
      </w:r>
      <w:r w:rsidR="00311757" w:rsidRPr="00C81573">
        <w:rPr>
          <w:color w:val="333333"/>
          <w:shd w:val="clear" w:color="auto" w:fill="FFFFFF"/>
        </w:rPr>
        <w:t>заболевания или состояния (группы заболеваний или состояний)</w:t>
      </w:r>
      <w:bookmarkEnd w:id="17"/>
    </w:p>
    <w:p w14:paraId="33815BEC" w14:textId="72B1B570" w:rsidR="00EE59C2" w:rsidRPr="00C81573" w:rsidRDefault="00B33232" w:rsidP="0021676E">
      <w:pPr>
        <w:pStyle w:val="1f0"/>
      </w:pPr>
      <w:r w:rsidRPr="00463D76">
        <w:rPr>
          <w:bCs/>
        </w:rPr>
        <w:t>Лимфомы маргинальной зоны (ЛМЗ) представляют собой группу злокачественных В-клеточных новообразований, происходящих из В-лимфоцитов, которые в норме встречаются в маргинальной зоне лимфоидных фолликулов лимфатических узлов (л/у), селезенки и лимфатических тканей</w:t>
      </w:r>
      <w:r>
        <w:rPr>
          <w:bCs/>
        </w:rPr>
        <w:t xml:space="preserve"> </w:t>
      </w:r>
      <w:r>
        <w:fldChar w:fldCharType="begin" w:fldLock="1"/>
      </w:r>
      <w:r>
        <w:instrText>ADDIN CSL_CITATION {"citationItems":[{"id":"ITEM-1","itemData":{"ISBN":"9789283244943","abstract":"Revised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J","non-dropping-particle":"","parse-names":false,"suffix":""}],"id":"ITEM-1","issued":{"date-parts":[["2017"]]},"number-of-pages":"585","title":"WHO classification of tumours of haematopoietic and lymphoid tissues. Revised 4th ed. Lyon, France: International Agency for Research in Cancer (IARC)","type":"book"},"uris":["http://www.mendeley.com/documents/?uuid=b06b14d2-e846-3ead-b23a-17e93b076e13"]},{"id":"ITEM-2","itemData":{"ISSN":"00064971","PMID":"9166827","abstract":"The recognition of several new types of non-Hodgkin's lymphoma (NHL) in recent years has led to proposals for changing lymphoma classifications, including a new proposal put forth by the International Lymphoma Study Group (ILSG). However, the clinical significance of the new entities and the practical utility of this new proposal have not been studied. Therefore, we performed a clinical evaluation of the ILSG classification. A cohort of 1,403 cases of NHL was organized at nine study sites around the world and consisted of consecutive patients seen between 1988 and 1990 who were previously untreated. A detailed protocol for histologic and clinical analysis was followed at each site, and immunologic characterization as to T- or B-cell phenotype was required. Five expert hematopathologists visited the sites and each classified each case using the ILSG classification. A consensus diagnosis was also reached in each case, and each expert rereviewed a 20% random sample of the cases. Clinical correlations and survival analyses were then performed. A diagnosis of NHL was confirmed in 1,378 (98.2%) of the cases. The most common lymphoma types were diffuse large B-cell lymphoma (31%) and follicular lymphoma (22%), whereas the new entities comprised 21% of the cases. Diagnostic accuracy was at least 85% for most of the major lymphoma types, and reproducibility of the diagnosis was 85%. Immunophenotyping improved the diagnostic accuracy by 10% to 45% for a number of the major types. The clinical features of the new entities were distinctive. Both the histologic types and the patient characteristics as defined by the International Prognostic Index predicted for patient survival. In conclusion we found that the ILSG classification can be readily applied and identifies clinically distinctive types of NHL. However, for clinical application, prognostic factors as defined by the International Prognostic Index must be combined with the histologic diagnosis for appropriate clinical decisions.","author":[{"dropping-particle":"","family":"Armitage","given":"James O.","non-dropping-particle":"","parse-names":false,"suffix":""}],"container-title":"Blood","id":"ITEM-2","issue":"11","issued":{"date-parts":[["1997","6","1"]]},"page":"3909-3918","title":"A clinical evaluation of the International Lymphoma Study Group classification of non-Hodgkin's lymphoma","type":"article-journal","volume":"89"},"uris":["http://www.mendeley.com/documents/?uuid=15d02efc-f5f0-4aff-912b-570f424039f3"]},{"id":"ITEM-3","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Савченко.","id":"ITEM-3","issued":{"date-parts":[["2018"]]},"page":"52-58","title":"Лимфома маргинальной зоны","type":"chapter"},"uris":["http://www.mendeley.com/documents/?uuid=041f4bbf-3ac6-4dfd-84b7-b81c4236a79d"]}],"mendeley":{"formattedCitation":"[1–3]","plainTextFormattedCitation":"[1–3]","previouslyFormattedCitation":"[1–3]"},"properties":{"noteIndex":0},"schema":"https://github.com/citation-style-language/schema/raw/master/csl-citation.json"}</w:instrText>
      </w:r>
      <w:r>
        <w:fldChar w:fldCharType="separate"/>
      </w:r>
      <w:r w:rsidRPr="00463D76">
        <w:rPr>
          <w:noProof/>
        </w:rPr>
        <w:t>[1–3]</w:t>
      </w:r>
      <w:r>
        <w:fldChar w:fldCharType="end"/>
      </w:r>
      <w:r w:rsidRPr="003937E8">
        <w:t>.</w:t>
      </w:r>
    </w:p>
    <w:p w14:paraId="04B02B01" w14:textId="77777777" w:rsidR="00B46390" w:rsidRPr="00C81573" w:rsidRDefault="00B46390" w:rsidP="00172112">
      <w:pPr>
        <w:pStyle w:val="2"/>
      </w:pPr>
      <w:bookmarkStart w:id="18" w:name="_Toc11747731"/>
      <w:bookmarkStart w:id="19" w:name="_Toc103332083"/>
      <w:r w:rsidRPr="00C81573">
        <w:t>1.2 Этиология и патогенез</w:t>
      </w:r>
      <w:bookmarkEnd w:id="18"/>
      <w:r w:rsidR="00F0321D">
        <w:t xml:space="preserve"> </w:t>
      </w:r>
      <w:r w:rsidR="00311757" w:rsidRPr="00C81573">
        <w:rPr>
          <w:color w:val="333333"/>
          <w:shd w:val="clear" w:color="auto" w:fill="FFFFFF"/>
        </w:rPr>
        <w:t>заболевания или состояния (группы заболеваний или состояний)</w:t>
      </w:r>
      <w:bookmarkEnd w:id="19"/>
    </w:p>
    <w:p w14:paraId="756E76AA" w14:textId="79BE66DB" w:rsidR="00E0145A" w:rsidRPr="00C81573" w:rsidRDefault="00B33232" w:rsidP="0021676E">
      <w:pPr>
        <w:pStyle w:val="1f0"/>
      </w:pPr>
      <w:r w:rsidRPr="00463D76">
        <w:t>Согласно современным представлениям, основным этиологическим фактором ЛМЗ является хроническая иммунная стимуляция (инфекция, аутоиммунные заболевания). Существует доказанная связь между инфицированностью Helicobacter</w:t>
      </w:r>
      <w:r>
        <w:t xml:space="preserve"> </w:t>
      </w:r>
      <w:r w:rsidRPr="00463D76">
        <w:t>pylori и MALT-лимфомой желудка, Borrelia</w:t>
      </w:r>
      <w:r>
        <w:t xml:space="preserve"> </w:t>
      </w:r>
      <w:r w:rsidRPr="00463D76">
        <w:t>burgdorferi и ЛМЗ кожи, Chlamydophila</w:t>
      </w:r>
      <w:r>
        <w:t xml:space="preserve"> </w:t>
      </w:r>
      <w:r w:rsidRPr="00463D76">
        <w:t>psittaci и ЛМЗ орбиты, Campylobacter</w:t>
      </w:r>
      <w:r>
        <w:t xml:space="preserve"> </w:t>
      </w:r>
      <w:r w:rsidRPr="00463D76">
        <w:t>jejuni и иммунопролиферативным заболеванием тонкой кишки, вирусом гепатита С и ЛМЗ селезенки, а также MALT-лимфомами других локализаций</w:t>
      </w:r>
      <w:r w:rsidRPr="00502DF4">
        <w:t>.</w:t>
      </w:r>
    </w:p>
    <w:p w14:paraId="29CB4588" w14:textId="77777777" w:rsidR="00B46390" w:rsidRPr="00C81573" w:rsidRDefault="00B46390" w:rsidP="00172112">
      <w:pPr>
        <w:pStyle w:val="2"/>
      </w:pPr>
      <w:bookmarkStart w:id="20" w:name="_Toc11747732"/>
      <w:bookmarkStart w:id="21" w:name="_Toc103332084"/>
      <w:r w:rsidRPr="00C81573">
        <w:t>1.3 Эпидемиология</w:t>
      </w:r>
      <w:bookmarkEnd w:id="20"/>
      <w:r w:rsidR="00F0321D">
        <w:t xml:space="preserve"> </w:t>
      </w:r>
      <w:r w:rsidR="00311757" w:rsidRPr="00C81573">
        <w:rPr>
          <w:color w:val="333333"/>
          <w:shd w:val="clear" w:color="auto" w:fill="FFFFFF"/>
        </w:rPr>
        <w:t>заболевания или состояния (группы заболеваний или состояний)</w:t>
      </w:r>
      <w:bookmarkEnd w:id="21"/>
    </w:p>
    <w:p w14:paraId="4E917B6A" w14:textId="73CBAACA" w:rsidR="00094ED6" w:rsidRPr="00C81573" w:rsidRDefault="00B33232" w:rsidP="00094ED6">
      <w:pPr>
        <w:pStyle w:val="1f0"/>
      </w:pPr>
      <w:r w:rsidRPr="00463D76">
        <w:rPr>
          <w:rFonts w:eastAsia="Calibri" w:cstheme="minorHAnsi"/>
        </w:rPr>
        <w:t>Частота лимфом маргинальной зоны составляет 6,7%. Однако она неодинакова в различных регионах земного шара: например, в Японии - 11,5%, а в Великобритании - 6%. Наиболее распространены ЛМЗ слизистых (MALT-лимфомы) – составляют до 50-70% всех ЛМЗ</w:t>
      </w:r>
      <w:r w:rsidRPr="00EF1A51">
        <w:rPr>
          <w:rFonts w:eastAsia="Calibri" w:cstheme="minorHAnsi"/>
        </w:rPr>
        <w:t>.</w:t>
      </w:r>
    </w:p>
    <w:p w14:paraId="3E3873F7" w14:textId="77777777" w:rsidR="00311757" w:rsidRPr="00C81573" w:rsidRDefault="00B46390" w:rsidP="00311757">
      <w:pPr>
        <w:pStyle w:val="2"/>
      </w:pPr>
      <w:bookmarkStart w:id="22" w:name="_Toc103332085"/>
      <w:r w:rsidRPr="00C81573">
        <w:t xml:space="preserve">1.4 </w:t>
      </w:r>
      <w:r w:rsidR="00311757" w:rsidRPr="00C81573">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2"/>
    </w:p>
    <w:p w14:paraId="16C59822" w14:textId="02BACC55" w:rsidR="00315A5D" w:rsidRPr="00C81573" w:rsidRDefault="00B33232" w:rsidP="00FF5AFB">
      <w:r w:rsidRPr="00463D76">
        <w:rPr>
          <w:rStyle w:val="aff9"/>
        </w:rPr>
        <w:t xml:space="preserve">С83.0 </w:t>
      </w:r>
      <w:r>
        <w:rPr>
          <w:rStyle w:val="aff9"/>
          <w:b w:val="0"/>
          <w:bCs w:val="0"/>
        </w:rPr>
        <w:t>– лимфома маргинальной зоны</w:t>
      </w:r>
    </w:p>
    <w:p w14:paraId="356A1C2E" w14:textId="77777777" w:rsidR="00B46390" w:rsidRPr="00C81573" w:rsidRDefault="00B46390" w:rsidP="00311757">
      <w:pPr>
        <w:pStyle w:val="2"/>
      </w:pPr>
      <w:bookmarkStart w:id="23" w:name="_Toc11747734"/>
      <w:bookmarkStart w:id="24" w:name="_Toc103332086"/>
      <w:r w:rsidRPr="00C81573">
        <w:t>1.5 Классификация</w:t>
      </w:r>
      <w:bookmarkEnd w:id="23"/>
      <w:r w:rsidR="00F0321D">
        <w:t xml:space="preserve"> </w:t>
      </w:r>
      <w:r w:rsidR="00311757" w:rsidRPr="00C81573">
        <w:rPr>
          <w:color w:val="333333"/>
          <w:shd w:val="clear" w:color="auto" w:fill="FFFFFF"/>
        </w:rPr>
        <w:t>заболевания или состояния (группы заболеваний или состояний)</w:t>
      </w:r>
      <w:bookmarkEnd w:id="24"/>
    </w:p>
    <w:p w14:paraId="1F489F31" w14:textId="77777777" w:rsidR="00B33232" w:rsidRDefault="00B33232" w:rsidP="00B33232">
      <w:r>
        <w:t>Выделяют три типа ЛМЗ:</w:t>
      </w:r>
    </w:p>
    <w:p w14:paraId="400FEA9A" w14:textId="62F3C306" w:rsidR="00B33232" w:rsidRDefault="00B33232" w:rsidP="00A72B1B">
      <w:pPr>
        <w:pStyle w:val="afd"/>
        <w:numPr>
          <w:ilvl w:val="0"/>
          <w:numId w:val="4"/>
        </w:numPr>
      </w:pPr>
      <w:r>
        <w:t>Нодальная – 2% от неходжкинских лимфом (НХЛ)</w:t>
      </w:r>
    </w:p>
    <w:p w14:paraId="1E314369" w14:textId="3C8D99A4" w:rsidR="00B33232" w:rsidRDefault="00B33232" w:rsidP="00A72B1B">
      <w:pPr>
        <w:pStyle w:val="afd"/>
        <w:numPr>
          <w:ilvl w:val="0"/>
          <w:numId w:val="4"/>
        </w:numPr>
      </w:pPr>
      <w:r>
        <w:t>Экстранодальная мукозо-ассоциированная (MALT) – 8% НХЛ</w:t>
      </w:r>
    </w:p>
    <w:p w14:paraId="121D25B4" w14:textId="7A40ACC7" w:rsidR="00364741" w:rsidRPr="00C81573" w:rsidRDefault="00B33232" w:rsidP="00A72B1B">
      <w:pPr>
        <w:pStyle w:val="afd"/>
        <w:numPr>
          <w:ilvl w:val="0"/>
          <w:numId w:val="4"/>
        </w:numPr>
      </w:pPr>
      <w:r>
        <w:lastRenderedPageBreak/>
        <w:t>Селезенки – 1% НХЛ</w:t>
      </w:r>
    </w:p>
    <w:p w14:paraId="033C20DE" w14:textId="77777777" w:rsidR="00A70F44" w:rsidRPr="00C81573" w:rsidRDefault="00B46390" w:rsidP="00A70F44">
      <w:pPr>
        <w:pStyle w:val="2"/>
      </w:pPr>
      <w:bookmarkStart w:id="25" w:name="_Toc11747735"/>
      <w:bookmarkStart w:id="26" w:name="_Toc103332087"/>
      <w:r w:rsidRPr="00C81573">
        <w:t>1.6 Клиническая картина</w:t>
      </w:r>
      <w:bookmarkEnd w:id="25"/>
      <w:r w:rsidR="00F0321D">
        <w:t xml:space="preserve"> </w:t>
      </w:r>
      <w:r w:rsidR="00A70F44" w:rsidRPr="00C81573">
        <w:rPr>
          <w:color w:val="333333"/>
          <w:shd w:val="clear" w:color="auto" w:fill="FFFFFF"/>
        </w:rPr>
        <w:t>заболевания или состояния (группы заболеваний или состояний)</w:t>
      </w:r>
      <w:bookmarkEnd w:id="26"/>
    </w:p>
    <w:p w14:paraId="7BC121FE" w14:textId="03761DF9" w:rsidR="00562845" w:rsidRPr="00C81573" w:rsidRDefault="00B33232" w:rsidP="0021676E">
      <w:pPr>
        <w:pStyle w:val="1f0"/>
      </w:pPr>
      <w:r>
        <w:t xml:space="preserve">Клиническая картина ЛМЗ зависит от локализации поражения. </w:t>
      </w:r>
      <w:r w:rsidRPr="00090D97">
        <w:t>Наиболее часто при экстранодальных MALT-лимфомах поражается желудочно-кишечный тракт (ЖКТ) – около 50%. Среди органов ЖКТ на долю MALT-лимфомы желудка приходится до 80%. Кроме того, часто встречается поражение орбиты, легкого, кожи.</w:t>
      </w:r>
      <w:r>
        <w:t xml:space="preserve"> При нодальных ЛМЗ отмечается увеличение периферических лимфоузлов. При лимфоме маргинальной зоны селезенки основным симптомом является спленомегалия. Других клинических симптомов может долго не быть. Со временем могут присоединяться симптомы интоксикации – слабость, потливость, снижение веса, зуд кожных покровов. Заболевание в основном характеризуется длительным индолентным течением, однако в некоторых случаях возможно агрессивное течение лимфомы </w:t>
      </w:r>
      <w:r w:rsidRPr="000E7A74">
        <w:rPr>
          <w:lang w:eastAsia="ru-RU"/>
        </w:rPr>
        <w:t>(</w:t>
      </w:r>
      <w:r>
        <w:t>особенно в случае трансформации ЛМЗ в ДВКЛ</w:t>
      </w:r>
      <w:r w:rsidRPr="000E7A74">
        <w:rPr>
          <w:lang w:eastAsia="ru-RU"/>
        </w:rPr>
        <w:t>)</w:t>
      </w:r>
      <w:r>
        <w:t>.</w:t>
      </w:r>
    </w:p>
    <w:p w14:paraId="3B421438" w14:textId="77777777" w:rsidR="000414F6" w:rsidRPr="00C81573" w:rsidRDefault="00B46390" w:rsidP="00C4630C">
      <w:pPr>
        <w:pStyle w:val="afff1"/>
      </w:pPr>
      <w:bookmarkStart w:id="27" w:name="_Toc11747736"/>
      <w:bookmarkStart w:id="28" w:name="_Toc103332088"/>
      <w:r w:rsidRPr="00C81573">
        <w:lastRenderedPageBreak/>
        <w:t xml:space="preserve">2. </w:t>
      </w:r>
      <w:r w:rsidR="00CB71DA" w:rsidRPr="00C81573">
        <w:t>Диагностика</w:t>
      </w:r>
      <w:bookmarkEnd w:id="16"/>
      <w:r w:rsidR="0038545E" w:rsidRPr="00C81573">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7"/>
      <w:bookmarkEnd w:id="28"/>
    </w:p>
    <w:p w14:paraId="247E9B9C" w14:textId="77777777" w:rsidR="00B33232" w:rsidRPr="004C2F94" w:rsidRDefault="00B33232" w:rsidP="00B33232">
      <w:pPr>
        <w:divId w:val="266810958"/>
        <w:rPr>
          <w:i/>
          <w:iCs/>
        </w:rPr>
      </w:pPr>
      <w:r w:rsidRPr="004C2F94">
        <w:rPr>
          <w:i/>
          <w:iCs/>
        </w:rPr>
        <w:t>Многие рекомендованные методы диагностики заболевания и связанных с ним состояний имеют ограниченную доказательную базу (в соответствии с шкалами оценки УДД и УРР) 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2824773B" w14:textId="0FD1C71A" w:rsidR="00B33232" w:rsidRPr="00A478F1" w:rsidRDefault="00B33232" w:rsidP="00B33232">
      <w:pPr>
        <w:pStyle w:val="2-6"/>
        <w:divId w:val="266810958"/>
        <w:rPr>
          <w:i/>
        </w:rPr>
      </w:pPr>
      <w:r w:rsidRPr="00D74813">
        <w:rPr>
          <w:b/>
          <w:i/>
        </w:rPr>
        <w:t xml:space="preserve">Критерии установления диагноза/состояния: </w:t>
      </w:r>
      <w:r w:rsidRPr="00F5789A">
        <w:rPr>
          <w:bCs/>
          <w:i/>
        </w:rPr>
        <w:t>д</w:t>
      </w:r>
      <w:r w:rsidRPr="00F5789A">
        <w:rPr>
          <w:i/>
        </w:rPr>
        <w:t>иагноз</w:t>
      </w:r>
      <w:r>
        <w:rPr>
          <w:i/>
        </w:rPr>
        <w:t xml:space="preserve"> ЛМЗ устанавливается </w:t>
      </w:r>
      <w:r w:rsidRPr="00F5789A">
        <w:rPr>
          <w:i/>
        </w:rPr>
        <w:t>на основе</w:t>
      </w:r>
      <w:r>
        <w:rPr>
          <w:i/>
        </w:rPr>
        <w:t xml:space="preserve"> патолого-анатомического </w:t>
      </w:r>
      <w:r w:rsidRPr="00F5789A">
        <w:rPr>
          <w:i/>
        </w:rPr>
        <w:t>исследования биопсийного материала</w:t>
      </w:r>
      <w:r>
        <w:rPr>
          <w:i/>
        </w:rPr>
        <w:t xml:space="preserve"> с применением </w:t>
      </w:r>
      <w:r w:rsidRPr="00F5789A">
        <w:rPr>
          <w:i/>
        </w:rPr>
        <w:t>иммуногистохимическ</w:t>
      </w:r>
      <w:r>
        <w:rPr>
          <w:i/>
        </w:rPr>
        <w:t xml:space="preserve">их методов и формулируется </w:t>
      </w:r>
      <w:r w:rsidRPr="00F5789A">
        <w:rPr>
          <w:i/>
        </w:rPr>
        <w:t>в соответствии с пересмотренной классификацией</w:t>
      </w:r>
      <w:r>
        <w:rPr>
          <w:i/>
        </w:rPr>
        <w:t xml:space="preserve"> </w:t>
      </w:r>
      <w:r w:rsidRPr="000E5A78">
        <w:rPr>
          <w:i/>
        </w:rPr>
        <w:t xml:space="preserve">опухолей гемопоэтической и лимфоидной тканей </w:t>
      </w:r>
      <w:r w:rsidRPr="00F5789A">
        <w:rPr>
          <w:i/>
        </w:rPr>
        <w:t xml:space="preserve"> ВОЗ 2017 г.</w:t>
      </w:r>
      <w:r>
        <w:rPr>
          <w:i/>
        </w:rPr>
        <w:t xml:space="preserve"> </w:t>
      </w:r>
      <w:r>
        <w:rPr>
          <w:i/>
        </w:rPr>
        <w:fldChar w:fldCharType="begin" w:fldLock="1"/>
      </w:r>
      <w:r>
        <w:rPr>
          <w:i/>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J","non-dropping-particle":"","parse-names":false,"suffix":""}],"id":"ITEM-2","issued":{"date-parts":[["2017"]]},"number-of-pages":"585","title":"WHO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[1,4]","plainTextFormattedCitation":"[1,4]","previouslyFormattedCitation":"[1,4]"},"properties":{"noteIndex":0},"schema":"https://github.com/citation-style-language/schema/raw/master/csl-citation.json"}</w:instrText>
      </w:r>
      <w:r>
        <w:rPr>
          <w:i/>
        </w:rPr>
        <w:fldChar w:fldCharType="separate"/>
      </w:r>
      <w:r w:rsidRPr="00090D97">
        <w:rPr>
          <w:noProof/>
        </w:rPr>
        <w:t>[1,4]</w:t>
      </w:r>
      <w:r>
        <w:rPr>
          <w:i/>
        </w:rPr>
        <w:fldChar w:fldCharType="end"/>
      </w:r>
      <w:r w:rsidRPr="00A478F1">
        <w:rPr>
          <w:i/>
        </w:rPr>
        <w:t>.</w:t>
      </w:r>
    </w:p>
    <w:p w14:paraId="19FED7D2" w14:textId="77777777" w:rsidR="00B33232" w:rsidRDefault="00B33232" w:rsidP="00B33232">
      <w:pPr>
        <w:pStyle w:val="2-6"/>
        <w:divId w:val="266810958"/>
        <w:rPr>
          <w:i/>
        </w:rPr>
      </w:pPr>
      <w:r w:rsidRPr="001124B8">
        <w:rPr>
          <w:i/>
        </w:rPr>
        <w:t>Также необходимо обследовать все отделы пищеварительной трубки у пациентов с поражением желудка.</w:t>
      </w:r>
      <w:bookmarkStart w:id="29" w:name="_Toc469402336"/>
      <w:bookmarkStart w:id="30" w:name="_Toc468273531"/>
      <w:bookmarkStart w:id="31" w:name="_Toc468273449"/>
      <w:bookmarkEnd w:id="29"/>
      <w:bookmarkEnd w:id="30"/>
      <w:bookmarkEnd w:id="31"/>
    </w:p>
    <w:p w14:paraId="7F90976D" w14:textId="77777777" w:rsidR="00B46390" w:rsidRPr="00C81573" w:rsidRDefault="00B46390" w:rsidP="0021676E">
      <w:pPr>
        <w:pStyle w:val="2"/>
        <w:divId w:val="266810958"/>
      </w:pPr>
      <w:bookmarkStart w:id="32" w:name="_Toc11747737"/>
      <w:bookmarkStart w:id="33" w:name="_Toc103332089"/>
      <w:r w:rsidRPr="00C81573">
        <w:t>2.1 Жалобы и анамнез</w:t>
      </w:r>
      <w:bookmarkEnd w:id="32"/>
      <w:bookmarkEnd w:id="33"/>
    </w:p>
    <w:p w14:paraId="13AFFC39" w14:textId="5134B53A" w:rsidR="00B33232" w:rsidRDefault="00B33232" w:rsidP="00B33232">
      <w:pPr>
        <w:pStyle w:val="affff1"/>
        <w:divId w:val="266810958"/>
      </w:pPr>
      <w:bookmarkStart w:id="34" w:name="_Toc11747738"/>
      <w:r w:rsidRPr="00154AEE">
        <w:t xml:space="preserve">Всем пациентам с подозрением на </w:t>
      </w:r>
      <w:r>
        <w:rPr>
          <w:iCs/>
        </w:rPr>
        <w:t>ЛМЗ</w:t>
      </w:r>
      <w:r w:rsidRPr="00154AEE">
        <w:t xml:space="preserve">, а также всем пациентам с верифицированной  </w:t>
      </w:r>
      <w:r>
        <w:t>ЛМЗ</w:t>
      </w:r>
      <w:r w:rsidRPr="00154AEE">
        <w:t xml:space="preserve">  на  каждом врачебном  приеме</w:t>
      </w:r>
      <w:r>
        <w:t xml:space="preserve"> </w:t>
      </w:r>
      <w:r w:rsidRPr="00AE2EE4">
        <w:rPr>
          <w:b/>
        </w:rPr>
        <w:t>рекомендуется</w:t>
      </w:r>
      <w:r>
        <w:t xml:space="preserve"> сбор анамнеза </w:t>
      </w:r>
      <w:r w:rsidRPr="00154AEE">
        <w:t>для оценки состояния пациента, а также для установления факторов, которые могут оказать влияние на определение лечебной тактики пациента</w:t>
      </w:r>
      <w:r>
        <w:t xml:space="preserve"> </w:t>
      </w:r>
      <w:r>
        <w:fldChar w:fldCharType="begin" w:fldLock="1"/>
      </w:r>
      <w: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Савченко.","id":"ITEM-2","issued":{"date-parts":[["2018"]]},"page":"52-58","title":"Лимфома маргинальной зоны","type":"chapter"},"uris":["http://www.mendeley.com/documents/?uuid=041f4bbf-3ac6-4dfd-84b7-b81c4236a79d"]},{"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[3–5]","plainTextFormattedCitation":"[3–5]","previouslyFormattedCitation":"[3–5]"},"properties":{"noteIndex":0},"schema":"https://github.com/citation-style-language/schema/raw/master/csl-citation.json"}</w:instrText>
      </w:r>
      <w:r>
        <w:fldChar w:fldCharType="separate"/>
      </w:r>
      <w:r w:rsidRPr="001124B8">
        <w:rPr>
          <w:noProof/>
        </w:rPr>
        <w:t>[3–5]</w:t>
      </w:r>
      <w:r>
        <w:fldChar w:fldCharType="end"/>
      </w:r>
      <w:r>
        <w:t>.</w:t>
      </w:r>
    </w:p>
    <w:p w14:paraId="616BC59C" w14:textId="77777777" w:rsidR="00B33232" w:rsidRDefault="00B33232" w:rsidP="00B33232">
      <w:pPr>
        <w:ind w:left="709" w:firstLine="0"/>
        <w:contextualSpacing/>
        <w:divId w:val="266810958"/>
        <w:rPr>
          <w:b/>
        </w:rPr>
      </w:pPr>
      <w:r w:rsidRPr="00342C61">
        <w:rPr>
          <w:b/>
        </w:rPr>
        <w:t>Уровень убедительности рекомендаций С (уровень достоверности доказательств 5)</w:t>
      </w:r>
    </w:p>
    <w:p w14:paraId="7E88E6A2" w14:textId="02CACA27" w:rsidR="00B33232" w:rsidRDefault="00B33232" w:rsidP="002B53DE">
      <w:pPr>
        <w:contextualSpacing/>
        <w:divId w:val="266810958"/>
        <w:rPr>
          <w:i/>
        </w:rPr>
      </w:pPr>
      <w:r w:rsidRPr="00AE2EE4">
        <w:rPr>
          <w:b/>
        </w:rPr>
        <w:t>Комментарии:</w:t>
      </w:r>
      <w:r>
        <w:rPr>
          <w:b/>
        </w:rPr>
        <w:t xml:space="preserve"> </w:t>
      </w:r>
      <w:r>
        <w:rPr>
          <w:rStyle w:val="affa"/>
        </w:rPr>
        <w:t>сбор жалоб и анамнеза позволит определить характер течения заболевания (индолентный или агрессивный), а также дифференцировать симптомы, связанные с ЛМЗ от проявлений прочих сопутствующих заболеваний и состояний</w:t>
      </w:r>
      <w:r w:rsidRPr="003147A2">
        <w:rPr>
          <w:i/>
        </w:rPr>
        <w:t xml:space="preserve">. </w:t>
      </w:r>
    </w:p>
    <w:p w14:paraId="6BD49A41" w14:textId="77777777" w:rsidR="00B46390" w:rsidRPr="00C81573" w:rsidRDefault="00B46390" w:rsidP="0021676E">
      <w:pPr>
        <w:pStyle w:val="2"/>
        <w:divId w:val="266810958"/>
      </w:pPr>
      <w:bookmarkStart w:id="35" w:name="_Toc103332090"/>
      <w:r w:rsidRPr="00C81573">
        <w:t>2.2 Физикальное обследование</w:t>
      </w:r>
      <w:bookmarkEnd w:id="34"/>
      <w:bookmarkEnd w:id="35"/>
    </w:p>
    <w:p w14:paraId="4EFFA549" w14:textId="1224A2F3" w:rsidR="002B53DE" w:rsidRDefault="002B53DE" w:rsidP="002B53DE">
      <w:pPr>
        <w:pStyle w:val="affff1"/>
        <w:divId w:val="266810958"/>
      </w:pPr>
      <w:r w:rsidRPr="005F5F5B">
        <w:t>Всем пациентам с подозрением на</w:t>
      </w:r>
      <w:r>
        <w:t xml:space="preserve"> ЛМЗ</w:t>
      </w:r>
      <w:r w:rsidRPr="005F5F5B">
        <w:t>, или</w:t>
      </w:r>
      <w:r>
        <w:t xml:space="preserve"> с</w:t>
      </w:r>
      <w:r w:rsidRPr="005F5F5B">
        <w:t xml:space="preserve"> выявленной </w:t>
      </w:r>
      <w:r>
        <w:t>ЛМЗ</w:t>
      </w:r>
      <w:r w:rsidRPr="005F5F5B">
        <w:t>, при первичном или повторном приеме, при контрольных обследованиях и при подозрении на рецидив/прогрессирование заболевания</w:t>
      </w:r>
      <w:r>
        <w:t xml:space="preserve"> </w:t>
      </w:r>
      <w:r w:rsidRPr="0052462B">
        <w:rPr>
          <w:b/>
          <w:bCs/>
        </w:rPr>
        <w:t>рекомендуется</w:t>
      </w:r>
      <w:bookmarkStart w:id="36" w:name="_Hlk532293045"/>
      <w:r>
        <w:rPr>
          <w:b/>
          <w:bCs/>
        </w:rPr>
        <w:t xml:space="preserve"> </w:t>
      </w:r>
      <w:r>
        <w:t>выполнение визуального осмотра терапевтического, пальпации терапевтической и аускультации терапевтической</w:t>
      </w:r>
      <w:bookmarkEnd w:id="36"/>
      <w:r>
        <w:t xml:space="preserve"> для </w:t>
      </w:r>
      <w:r w:rsidRPr="005F5F5B">
        <w:t>уточнения распространенности заболевания и оценки состояния пациента по органам и системам</w:t>
      </w:r>
      <w:r>
        <w:t xml:space="preserve"> </w:t>
      </w:r>
      <w:r>
        <w:fldChar w:fldCharType="begin" w:fldLock="1"/>
      </w:r>
      <w: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Савченко.","id":"ITEM-2","issued":{"date-parts":[["2018"]]},"page":"52-58","title":"Лимфома маргинальной зоны","type":"chapter"},"uris":["http://www.mendeley.com/documents/?uuid=041f4bbf-3ac6-4dfd-84b7-b81c4236a79d"]},{"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[3–5]","plainTextFormattedCitation":"[3–5]","previouslyFormattedCitation":"[3–5]"},"properties":{"noteIndex":0},"schema":"https://github.com/citation-style-language/schema/raw/master/csl-citation.json"}</w:instrText>
      </w:r>
      <w:r>
        <w:fldChar w:fldCharType="separate"/>
      </w:r>
      <w:r w:rsidRPr="0069587D">
        <w:rPr>
          <w:noProof/>
        </w:rPr>
        <w:t>[3–5]</w:t>
      </w:r>
      <w:r>
        <w:fldChar w:fldCharType="end"/>
      </w:r>
      <w:r>
        <w:t>.</w:t>
      </w:r>
    </w:p>
    <w:p w14:paraId="4074BD62" w14:textId="77777777" w:rsidR="002B53DE" w:rsidRDefault="002B53DE" w:rsidP="002B53DE">
      <w:pPr>
        <w:ind w:left="709" w:firstLine="0"/>
        <w:contextualSpacing/>
        <w:divId w:val="266810958"/>
        <w:rPr>
          <w:b/>
        </w:rPr>
      </w:pPr>
      <w:r w:rsidRPr="00342C61">
        <w:rPr>
          <w:b/>
        </w:rPr>
        <w:lastRenderedPageBreak/>
        <w:t>Уровень убедительности рекомендаций С (уровень достоверности доказательств 5)</w:t>
      </w:r>
    </w:p>
    <w:p w14:paraId="5992269A" w14:textId="77777777" w:rsidR="002B53DE" w:rsidRDefault="002B53DE" w:rsidP="002B53DE">
      <w:pPr>
        <w:contextualSpacing/>
        <w:divId w:val="266810958"/>
        <w:rPr>
          <w:i/>
        </w:rPr>
      </w:pPr>
      <w:r>
        <w:rPr>
          <w:b/>
        </w:rPr>
        <w:t xml:space="preserve">Комментарий: </w:t>
      </w:r>
      <w:bookmarkStart w:id="37" w:name="_Hlk532293146"/>
      <w:r>
        <w:rPr>
          <w:i/>
        </w:rPr>
        <w:t xml:space="preserve">при </w:t>
      </w:r>
      <w:r w:rsidRPr="00E67C8E">
        <w:rPr>
          <w:i/>
        </w:rPr>
        <w:t xml:space="preserve">осмотре необходимо оценить общее состояние пациента по шкале </w:t>
      </w:r>
      <w:r w:rsidRPr="00E67C8E">
        <w:rPr>
          <w:i/>
          <w:lang w:val="en-US"/>
        </w:rPr>
        <w:t>ECOG</w:t>
      </w:r>
      <w:r w:rsidRPr="00E67C8E">
        <w:rPr>
          <w:i/>
        </w:rPr>
        <w:t xml:space="preserve"> (см. приложение Г1), а также</w:t>
      </w:r>
      <w:r w:rsidRPr="005D0A68">
        <w:rPr>
          <w:i/>
        </w:rPr>
        <w:t xml:space="preserve"> осмотреть кожные покровы,</w:t>
      </w:r>
      <w:r>
        <w:rPr>
          <w:i/>
        </w:rPr>
        <w:t xml:space="preserve"> миндалины и полость рта; пальпация должна включать в себя пальпацию всех доступных групп периферических лимфатических узлов, печени, селезенки.</w:t>
      </w:r>
      <w:bookmarkEnd w:id="37"/>
    </w:p>
    <w:p w14:paraId="56DFBF28" w14:textId="1D6F7CE9" w:rsidR="002B53DE" w:rsidRPr="00A478F1" w:rsidRDefault="002B53DE" w:rsidP="002B53DE">
      <w:pPr>
        <w:pStyle w:val="affff1"/>
        <w:divId w:val="266810958"/>
      </w:pPr>
      <w:r w:rsidRPr="00A478F1">
        <w:t xml:space="preserve">При обследовании </w:t>
      </w:r>
      <w:r>
        <w:t xml:space="preserve">пациентов с </w:t>
      </w:r>
      <w:r w:rsidRPr="00A478F1">
        <w:t xml:space="preserve">нодальными ЛМЗ </w:t>
      </w:r>
      <w:r w:rsidRPr="00041F35">
        <w:rPr>
          <w:b/>
          <w:bCs/>
        </w:rPr>
        <w:t>рекомендовано</w:t>
      </w:r>
      <w:r>
        <w:rPr>
          <w:b/>
          <w:bCs/>
        </w:rPr>
        <w:t xml:space="preserve"> </w:t>
      </w:r>
      <w:r w:rsidRPr="00A478F1">
        <w:t xml:space="preserve">тщательное исследование областей, прилежащих к зоне нодального поражения, для </w:t>
      </w:r>
      <w:r>
        <w:t xml:space="preserve">исключения инфильтрации прилегающих тканей и л/у </w:t>
      </w:r>
      <w:r>
        <w:fldChar w:fldCharType="begin" w:fldLock="1"/>
      </w:r>
      <w:r>
        <w:instrText>ADDIN CSL_CITATION {"citationItems":[{"id":"ITEM-1","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Oncology","id":"ITEM-1","issue":"1","issued":{"date-parts":[["2020","1","1"]]},"page":"17-29","publisher":"Elsevier Ltd","title":"Marginal zone lymphomas: ESMO Clinical Practice Guidelines for diagnosis, treatment and follow-up","type":"article-journal","volume":"31"},"uris":["http://www.mendeley.com/documents/?uuid=fbdf0c05-49c8-3abf-834c-701e85508549"]}],"mendeley":{"formattedCitation":"[5]","plainTextFormattedCitation":"[5]","previouslyFormattedCitation":"[5]"},"properties":{"noteIndex":0},"schema":"https://github.com/citation-style-language/schema/raw/master/csl-citation.json"}</w:instrText>
      </w:r>
      <w:r>
        <w:fldChar w:fldCharType="separate"/>
      </w:r>
      <w:r w:rsidRPr="0069587D">
        <w:rPr>
          <w:noProof/>
        </w:rPr>
        <w:t>[5]</w:t>
      </w:r>
      <w:r>
        <w:fldChar w:fldCharType="end"/>
      </w:r>
      <w:r w:rsidRPr="00A478F1">
        <w:t>:</w:t>
      </w:r>
    </w:p>
    <w:p w14:paraId="60B539DF" w14:textId="77777777" w:rsidR="002B53DE" w:rsidRPr="00041F35" w:rsidRDefault="002B53DE" w:rsidP="00A72B1B">
      <w:pPr>
        <w:pStyle w:val="2-6"/>
        <w:numPr>
          <w:ilvl w:val="0"/>
          <w:numId w:val="5"/>
        </w:numPr>
        <w:divId w:val="266810958"/>
      </w:pPr>
      <w:r w:rsidRPr="00041F35">
        <w:t>л/у шеи – глаза, околоушные и другие слюнные железы, щитовидная железа;</w:t>
      </w:r>
    </w:p>
    <w:p w14:paraId="2379FFC6" w14:textId="77777777" w:rsidR="002B53DE" w:rsidRPr="00041F35" w:rsidRDefault="002B53DE" w:rsidP="00A72B1B">
      <w:pPr>
        <w:pStyle w:val="2-6"/>
        <w:numPr>
          <w:ilvl w:val="0"/>
          <w:numId w:val="5"/>
        </w:numPr>
        <w:divId w:val="266810958"/>
      </w:pPr>
      <w:r w:rsidRPr="00041F35">
        <w:t>подмышечные л/у – легкие, молочная железа, кожа;</w:t>
      </w:r>
    </w:p>
    <w:p w14:paraId="1A5607A7" w14:textId="77777777" w:rsidR="002B53DE" w:rsidRPr="00041F35" w:rsidRDefault="002B53DE" w:rsidP="00A72B1B">
      <w:pPr>
        <w:pStyle w:val="2-6"/>
        <w:numPr>
          <w:ilvl w:val="0"/>
          <w:numId w:val="5"/>
        </w:numPr>
        <w:divId w:val="266810958"/>
      </w:pPr>
      <w:r w:rsidRPr="00041F35">
        <w:t>медиастинальные л/у – легкие</w:t>
      </w:r>
      <w:r>
        <w:t>, плевра</w:t>
      </w:r>
      <w:r w:rsidRPr="00041F35">
        <w:t>;</w:t>
      </w:r>
    </w:p>
    <w:p w14:paraId="71705866" w14:textId="77777777" w:rsidR="002B53DE" w:rsidRPr="00041F35" w:rsidRDefault="002B53DE" w:rsidP="00A72B1B">
      <w:pPr>
        <w:pStyle w:val="2-6"/>
        <w:numPr>
          <w:ilvl w:val="0"/>
          <w:numId w:val="5"/>
        </w:numPr>
        <w:divId w:val="266810958"/>
      </w:pPr>
      <w:r w:rsidRPr="00041F35">
        <w:t>л/у брюшной полости – селезенка и ЖКТ;</w:t>
      </w:r>
    </w:p>
    <w:p w14:paraId="7DFC2CE0" w14:textId="77777777" w:rsidR="002B53DE" w:rsidRPr="00041F35" w:rsidRDefault="002B53DE" w:rsidP="00A72B1B">
      <w:pPr>
        <w:pStyle w:val="2-6"/>
        <w:numPr>
          <w:ilvl w:val="0"/>
          <w:numId w:val="5"/>
        </w:numPr>
        <w:divId w:val="266810958"/>
      </w:pPr>
      <w:r w:rsidRPr="00041F35">
        <w:t xml:space="preserve">паховые и подвздошные л/у – ЖКТ и кожа </w:t>
      </w:r>
    </w:p>
    <w:p w14:paraId="7217BD29" w14:textId="4E5275E6" w:rsidR="00B104EF" w:rsidRPr="002B53DE" w:rsidRDefault="002B53DE" w:rsidP="002B53DE">
      <w:pPr>
        <w:ind w:left="709" w:firstLine="0"/>
        <w:contextualSpacing/>
        <w:divId w:val="266810958"/>
        <w:rPr>
          <w:b/>
        </w:rPr>
      </w:pPr>
      <w:r w:rsidRPr="002B53DE">
        <w:rPr>
          <w:b/>
        </w:rPr>
        <w:t>Уровень убедительности рекомендаций С (уровень достоверности доказательств 5)</w:t>
      </w:r>
    </w:p>
    <w:p w14:paraId="13C0BDB1" w14:textId="77777777" w:rsidR="00094ED6" w:rsidRPr="00C81573" w:rsidRDefault="00B46390" w:rsidP="0021676E">
      <w:pPr>
        <w:pStyle w:val="2"/>
        <w:divId w:val="266810958"/>
      </w:pPr>
      <w:bookmarkStart w:id="38" w:name="_Toc103332091"/>
      <w:r w:rsidRPr="00C81573">
        <w:t>2.3 Лабораторн</w:t>
      </w:r>
      <w:r w:rsidR="00A70F44" w:rsidRPr="00C81573">
        <w:t>ые диагностические исследования</w:t>
      </w:r>
      <w:bookmarkEnd w:id="38"/>
    </w:p>
    <w:p w14:paraId="12472DB0" w14:textId="77777777" w:rsidR="00B46390" w:rsidRPr="00C81573" w:rsidRDefault="00B46390" w:rsidP="00094ED6">
      <w:pPr>
        <w:pStyle w:val="afffa"/>
        <w:divId w:val="266810958"/>
        <w:rPr>
          <w:b/>
        </w:rPr>
      </w:pPr>
    </w:p>
    <w:p w14:paraId="69DF5C6C" w14:textId="44FD250F" w:rsidR="002B53DE" w:rsidRDefault="002B53DE" w:rsidP="00A72B1B">
      <w:pPr>
        <w:pStyle w:val="afd"/>
        <w:numPr>
          <w:ilvl w:val="0"/>
          <w:numId w:val="6"/>
        </w:numPr>
        <w:ind w:left="709" w:hanging="709"/>
        <w:divId w:val="266810958"/>
      </w:pPr>
      <w:r>
        <w:t xml:space="preserve">Всем пациентам с подозрением на ЛМЗ или выявленной ЛМЗ при первичном или </w:t>
      </w:r>
      <w:r w:rsidRPr="002B53DE">
        <w:t>повторном приеме и перед началом каждого нового цикла терапии, при оценке</w:t>
      </w:r>
      <w:r>
        <w:t xml:space="preserve"> ремиссии после завершения терапии, при контрольных обследованиях, и при подозрении на рецидив заболевания </w:t>
      </w:r>
      <w:r w:rsidRPr="0099679A">
        <w:rPr>
          <w:b/>
        </w:rPr>
        <w:t>рекомендуется</w:t>
      </w:r>
      <w:r>
        <w:t xml:space="preserve"> для уточнения состояния пациента, планирования терапевтической тактики и определения необходимости ее модификации, а также для определения потребности в сопутствующей и сопроводительной терапии выполнить следующие диагностические исследования </w:t>
      </w:r>
      <w:r>
        <w:fldChar w:fldCharType="begin" w:fldLock="1"/>
      </w:r>
      <w: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Савченко.","id":"ITEM-2","issued":{"date-parts":[["2018"]]},"page":"52-58","title":"Лимфома маргинальной зоны","type":"chapter"},"uris":["http://www.mendeley.com/documents/?uuid=041f4bbf-3ac6-4dfd-84b7-b81c4236a79d"]},{"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[3–5]","plainTextFormattedCitation":"[3–5]","previouslyFormattedCitation":"[3–5]"},"properties":{"noteIndex":0},"schema":"https://github.com/citation-style-language/schema/raw/master/csl-citation.json"}</w:instrText>
      </w:r>
      <w:r>
        <w:fldChar w:fldCharType="separate"/>
      </w:r>
      <w:r w:rsidRPr="0069587D">
        <w:rPr>
          <w:noProof/>
        </w:rPr>
        <w:t>[3–5]</w:t>
      </w:r>
      <w:r>
        <w:fldChar w:fldCharType="end"/>
      </w:r>
      <w:r>
        <w:t>:</w:t>
      </w:r>
    </w:p>
    <w:p w14:paraId="38E995D1" w14:textId="17C594DF" w:rsidR="002B53DE" w:rsidRDefault="002B53DE" w:rsidP="00A72B1B">
      <w:pPr>
        <w:pStyle w:val="afd"/>
        <w:numPr>
          <w:ilvl w:val="1"/>
          <w:numId w:val="6"/>
        </w:numPr>
        <w:divId w:val="266810958"/>
      </w:pPr>
      <w:bookmarkStart w:id="39" w:name="_Hlk532293244"/>
      <w:r w:rsidRPr="00442E27">
        <w:t>общий (клинический) анализ</w:t>
      </w:r>
      <w:r>
        <w:t xml:space="preserve"> </w:t>
      </w:r>
      <w:r w:rsidRPr="00442E27">
        <w:t>крови развернутый</w:t>
      </w:r>
      <w:r>
        <w:t xml:space="preserve"> с исследованием </w:t>
      </w:r>
      <w:r w:rsidRPr="00701261">
        <w:t>уровн</w:t>
      </w:r>
      <w:r>
        <w:t xml:space="preserve">ей </w:t>
      </w:r>
      <w:r w:rsidRPr="00701261">
        <w:t>общего гемоглобина</w:t>
      </w:r>
      <w:r>
        <w:t xml:space="preserve">, эритроцитов, тромбоцитов, лейкоцитов в крови, с </w:t>
      </w:r>
      <w:r w:rsidRPr="00442E27">
        <w:t>дифференцированны</w:t>
      </w:r>
      <w:r>
        <w:t>м</w:t>
      </w:r>
      <w:r w:rsidRPr="00442E27">
        <w:t xml:space="preserve"> подсчет</w:t>
      </w:r>
      <w:r>
        <w:t>ом</w:t>
      </w:r>
      <w:r w:rsidRPr="00442E27">
        <w:t xml:space="preserve"> лейкоцитов (лейкоцитарная формула)</w:t>
      </w:r>
      <w:r>
        <w:t xml:space="preserve">, с исследованием </w:t>
      </w:r>
      <w:r w:rsidRPr="00701261">
        <w:t>уровн</w:t>
      </w:r>
      <w:r>
        <w:t>я ретикулоцитов в крови, а также с</w:t>
      </w:r>
      <w:bookmarkEnd w:id="39"/>
      <w:r>
        <w:t xml:space="preserve"> исследованием скорости оседания эритроцитов;</w:t>
      </w:r>
    </w:p>
    <w:p w14:paraId="7425530E" w14:textId="77777777" w:rsidR="002B53DE" w:rsidRDefault="002B53DE" w:rsidP="00A72B1B">
      <w:pPr>
        <w:pStyle w:val="afd"/>
        <w:numPr>
          <w:ilvl w:val="1"/>
          <w:numId w:val="6"/>
        </w:numPr>
        <w:divId w:val="266810958"/>
      </w:pPr>
      <w:r>
        <w:t>о</w:t>
      </w:r>
      <w:r w:rsidRPr="00B5142F">
        <w:t>бщ</w:t>
      </w:r>
      <w:r>
        <w:t>ий</w:t>
      </w:r>
      <w:r w:rsidRPr="00B5142F">
        <w:t xml:space="preserve"> (клиническ</w:t>
      </w:r>
      <w:r>
        <w:t>ий</w:t>
      </w:r>
      <w:r w:rsidRPr="00B5142F">
        <w:t>) анализ мочи</w:t>
      </w:r>
      <w:r>
        <w:t>;</w:t>
      </w:r>
    </w:p>
    <w:p w14:paraId="56F04203" w14:textId="6CA9FE84" w:rsidR="002B53DE" w:rsidRPr="002B53DE" w:rsidRDefault="002B53DE" w:rsidP="00A72B1B">
      <w:pPr>
        <w:pStyle w:val="afd"/>
        <w:numPr>
          <w:ilvl w:val="1"/>
          <w:numId w:val="6"/>
        </w:numPr>
        <w:divId w:val="266810958"/>
      </w:pPr>
      <w:r>
        <w:lastRenderedPageBreak/>
        <w:t xml:space="preserve">анализ крови биохимический общетерапевтический с </w:t>
      </w:r>
      <w:r w:rsidRPr="005A56BB">
        <w:rPr>
          <w:iCs/>
        </w:rPr>
        <w:t xml:space="preserve">определениями </w:t>
      </w:r>
      <w:r w:rsidRPr="002E5470">
        <w:rPr>
          <w:iCs/>
        </w:rPr>
        <w:t xml:space="preserve">активностей лактатдегидрогеназы (ЛДГ), </w:t>
      </w:r>
      <w:r w:rsidRPr="002E5470">
        <w:rPr>
          <w:rFonts w:eastAsia="Times New Roman"/>
          <w:szCs w:val="24"/>
          <w:lang w:eastAsia="ru-RU"/>
        </w:rPr>
        <w:t>аланинаминотрансферазы</w:t>
      </w:r>
      <w:r w:rsidRPr="002E5470">
        <w:rPr>
          <w:iCs/>
        </w:rPr>
        <w:t xml:space="preserve"> (АЛТ), аспартатаминотрансферазы (АСТ), щелочной фосфатазы в крови, исследованиями уровней мочевины, креатинина, </w:t>
      </w:r>
      <w:r>
        <w:rPr>
          <w:iCs/>
        </w:rPr>
        <w:t xml:space="preserve">глюкозы, </w:t>
      </w:r>
      <w:r w:rsidRPr="002E5470">
        <w:rPr>
          <w:iCs/>
        </w:rPr>
        <w:t xml:space="preserve">альбумина, </w:t>
      </w:r>
      <w:r w:rsidRPr="002B53DE">
        <w:rPr>
          <w:iCs/>
        </w:rPr>
        <w:t xml:space="preserve">общего белка, </w:t>
      </w:r>
      <w:r w:rsidRPr="002B53DE">
        <w:t>общего билирубина, (калий, натрий, общий</w:t>
      </w:r>
      <w:r>
        <w:t xml:space="preserve"> </w:t>
      </w:r>
      <w:r w:rsidRPr="002B53DE">
        <w:t>кальций, хлориды</w:t>
      </w:r>
      <w:r w:rsidRPr="002B53DE">
        <w:rPr>
          <w:iCs/>
        </w:rPr>
        <w:t>, бета-2-микроглобулин и другие параметры биохимического анализа крови по показаниям);</w:t>
      </w:r>
    </w:p>
    <w:p w14:paraId="497CEC34" w14:textId="5F9AE667" w:rsidR="002B53DE" w:rsidRPr="002B53DE" w:rsidRDefault="002B53DE" w:rsidP="00A72B1B">
      <w:pPr>
        <w:pStyle w:val="afd"/>
        <w:numPr>
          <w:ilvl w:val="1"/>
          <w:numId w:val="6"/>
        </w:numPr>
        <w:divId w:val="266810958"/>
        <w:rPr>
          <w:iCs/>
        </w:rPr>
      </w:pPr>
      <w:r w:rsidRPr="002B53DE">
        <w:t xml:space="preserve">исследование свертывающей системы крови (коагулограмма) с </w:t>
      </w:r>
      <w:r w:rsidRPr="002B53DE">
        <w:rPr>
          <w:iCs/>
        </w:rPr>
        <w:t xml:space="preserve">включением следующих параметров: протромбин, </w:t>
      </w:r>
      <w:r w:rsidRPr="002B53DE">
        <w:rPr>
          <w:rFonts w:eastAsia="Times New Roman"/>
          <w:szCs w:val="24"/>
          <w:lang w:eastAsia="ru-RU"/>
        </w:rPr>
        <w:t>активированное частичное тромбопластиновое время</w:t>
      </w:r>
      <w:r w:rsidRPr="002B53DE">
        <w:rPr>
          <w:iCs/>
        </w:rPr>
        <w:t xml:space="preserve"> (АЧТВ), фибриноген, тромбиновое</w:t>
      </w:r>
      <w:r>
        <w:rPr>
          <w:iCs/>
        </w:rPr>
        <w:t xml:space="preserve"> </w:t>
      </w:r>
      <w:r w:rsidRPr="002B53DE">
        <w:rPr>
          <w:iCs/>
        </w:rPr>
        <w:t>время,</w:t>
      </w:r>
      <w:r>
        <w:rPr>
          <w:iCs/>
        </w:rPr>
        <w:t xml:space="preserve"> </w:t>
      </w:r>
      <w:r w:rsidRPr="002B53DE">
        <w:rPr>
          <w:iCs/>
          <w:lang w:val="en-US"/>
        </w:rPr>
        <w:t>D</w:t>
      </w:r>
      <w:r w:rsidRPr="002B53DE">
        <w:rPr>
          <w:iCs/>
        </w:rPr>
        <w:t>-димер, а так</w:t>
      </w:r>
      <w:r>
        <w:rPr>
          <w:iCs/>
        </w:rPr>
        <w:t>ж</w:t>
      </w:r>
      <w:r w:rsidRPr="002B53DE">
        <w:rPr>
          <w:iCs/>
        </w:rPr>
        <w:t>е</w:t>
      </w:r>
      <w:r>
        <w:rPr>
          <w:iCs/>
        </w:rPr>
        <w:t>,</w:t>
      </w:r>
      <w:r w:rsidRPr="002B53DE">
        <w:rPr>
          <w:iCs/>
        </w:rPr>
        <w:t xml:space="preserve"> при возможности</w:t>
      </w:r>
      <w:r>
        <w:rPr>
          <w:iCs/>
        </w:rPr>
        <w:t>,</w:t>
      </w:r>
      <w:r w:rsidRPr="002B53DE">
        <w:rPr>
          <w:iCs/>
        </w:rPr>
        <w:t xml:space="preserve"> международное нормализованное отношение (МНО), антитромбин </w:t>
      </w:r>
      <w:r w:rsidRPr="002B53DE">
        <w:rPr>
          <w:iCs/>
          <w:lang w:val="en-US"/>
        </w:rPr>
        <w:t>III</w:t>
      </w:r>
      <w:r w:rsidRPr="002B53DE">
        <w:rPr>
          <w:iCs/>
        </w:rPr>
        <w:t xml:space="preserve">, плазминоген </w:t>
      </w:r>
      <w:r w:rsidRPr="002B53DE">
        <w:rPr>
          <w:iCs/>
          <w:color w:val="000000" w:themeColor="text1"/>
        </w:rPr>
        <w:fldChar w:fldCharType="begin" w:fldLock="1"/>
      </w:r>
      <w:r w:rsidRPr="002B53DE">
        <w:rPr>
          <w:iCs/>
          <w:color w:val="000000" w:themeColor="text1"/>
        </w:rPr>
        <w:instrText>ADDIN CSL_CITATION {"citationItems":[{"id":"ITEM-1","itemData":{"DOI":"10.1634/theoncologist.2015-0361","ISSN":"1083-7159","abstract":"© AlphaMed Press 2016. Background. Retrospective studies have suggested an association between cancer-associated venous thromboembolism (VTE) and patient survival.Weevaluated a previously validated VTE Clinical Risk Score in also predicting early mortality and cancer progression. Methods. A large, nationwide, prospective cohort study of adults with solid tumors orlymphoma initiating chemotherapy was conducted from 2002 to 2006 at 115 U.S. practice sites. Survivalandcancer progressionwereestimatedbythemethod of Kaplan and Meier. Multivariate analysis was based on Cox regression analysis adjusted for major prognostic factors including VTE itself. Results. Of 4,405 patients, 134 (3.0%) died and 330 (7.5%) experienced disease progression during the first 4 months of therapy (median follow-up 75 days). Patients deemed high risk (n = 540, 12.3%) by the Clinical Risk Score had a 120-day mortality rate of 12.7% (adjusted hazard ratio [aHR] 3.00, 95% confidence interval [CI]  1.4-6.3), and intermediate-risk patients (n = 2,665, 60.5%) had a mortality rate of 5.9% (aHR 2.3, 95% CI 1.2-4.4) compared with only 1.4% for low-risk patients (n = 1,200, 27.2%). At 120 days of follow-up, cancer progression occurred in 27.2% of high-risk patients (aHR 2.2, 95% CI 1.4-3.5) and 16.4% of intermediate-risk patients (aHR 1.9, 95% CI 1.3-2.7) compared with only 8.5% of low-risk patients (p  &lt;  .0001). Conclusion. The Clinical Risk Score, originally developed to predict the occurrence of VTE, is also predictive of early mortality and cancer progression during the first four cycles of outpatient chemotherapy, independent from other major prognostic factors including VTE itself. Ongoing and future studies will help determine the impact of VTE prophylaxis on survival.","author":[{"dropping-particle":"","family":"Kuderer","given":"Nicole M.","non-dropping-particle":"","parse-names":false,"suffix":""},{"dropping-particle":"","family":"Culakova","given":"Eva","non-dropping-particle":"","parse-names":false,"suffix":""},{"dropping-particle":"","family":"Lyman","given":"Gary H.","non-dropping-particle":"","parse-names":false,"suffix":""},{"dropping-particle":"","family":"Francis","given":"Charles","non-dropping-particle":"","parse-names":false,"suffix":""},{"dropping-particle":"","family":"Falanga","given":"Anna","non-dropping-particle":"","parse-names":false,"suffix":""},{"dropping-particle":"","family":"Khorana","given":"Alok A.","non-dropping-particle":"","parse-names":false,"suffix":""}],"container-title":"The Oncologist","id":"ITEM-1","issue":"7","issued":{"date-parts":[["2016","7"]]},"page":"861-867","publisher":"Alphamed Press","title":"A Validated Risk Score for Venous Thromboembolism Is Predictive of Cancer Progression and Mortality","type":"article-journal","volume":"21"},"uris":["http://www.mendeley.com/documents/?uuid=18a4966e-5d62-3c04-83a9-fd95d5e2da41"]},{"id":"ITEM-2","itemData":{"DOI":"10.1016/s0049-3848(16)30136-0","ISSN":"00493848","abstract":"BACKGROUND\\nRecent studies show that the risk of VTE in NHL pts is similar to that observed in high risk solid tumors (i.e. pancreatic, ovarian cancer). VTE in NHL occurs in most cases within three months from diagnosis and can have substantial impact on treatment delivery and outcome as well as on quality of life. However few data are available on potential predictors. \\n\\nAIMS\\nTo better clarify the epidemiology of early (within six months from treatment start) VTE in NHL we conducted a pooled data analysis of 12 clinical trials from FIL. Our analysis included basic demographic features, lymphoma-related characteristics as well the Khorana score (based on histology, BMI, platelets WBC and HB counts) which is extensively used in solid tumors to predict VTE risk. \\n\\nPATIENTS AND METHODS\\nFrom Jan. 2010 to Dec. 2014, all pts with B-cell NHL enrolled in prospective clinical trials from FIL for frontline treatment were included. For 9 studies study period included the entire trial population was included. The analyses were conducted based on CRFs as well as pharmacovigilance reports. VTE definition and grading was stated according to standard criteria of toxicity (CTCAE V4.0). Cumulative incidence of VTE from the study enrollment was estimated using the method described by Gooley et al. accounting for death from any causes as a competing risk. The Fine &amp; Gray survival model was used to identify predictors of VTE among NHL pts. Factors predicting the grade of VTE were investigated using an ordinal logistic regression model. This pooled data analysis was approved by local IRB. \\n\\nRESULTS\\nOverall, 1,717 patients belonging to 12 studies were evaluated. Eight were phase I/II or II (25% of pts) and 4 phase III (75% of pts). M/F ratio was 1.41, Median age was 57, (IQ range (IQR) 49-66). Histologies were: DLCL-B 34%, FL 41%, MCL 18%, other 6%. Median BMI was 25 (IQR 22-28). Median Hb, WBC and platelets counts were 13g/dl) (IQR 11.5-14.2), 7.1*10^9/l (IQR 5.6-10.3), 224*10^9/l (IQR 169-298), respectively. 1189 pts were evaluable Khorana score: 58% low risk, 30% intermediate risk, 12% were high risk. Human erythropoetin support was given to 9% of patients. All pts received Rituximab. Planned therapeutic programs included ASCT in 27% of pts, conventional chemotherapy in 67% a conventional chemotherapy plus lenalidomide in 6%. Overall 59 any grade VTE episodes occurred in 51 pts (2.9%), including 21 grade III-IV VTE (18 pts). None was fatal. Median time from study …","author":[{"dropping-particle":"","family":"Santi","given":"R.M.","non-dropping-particle":"","parse-names":false,"suffix":""},{"dropping-particle":"","family":"Ceccarelli","given":"M.","non-dropping-particle":"","parse-names":false,"suffix":""},{"dropping-particle":"","family":"Catania","given":"G.","non-dropping-particle":"","parse-names":false,"suffix":""},{"dropping-particle":"","family":"Monagheddu","given":"C.","non-dropping-particle":"","parse-names":false,"suffix":""},{"dropping-particle":"","family":"Evangelista","given":"A.","non-dropping-particle":"","parse-names":false,"suffix":""},{"dropping-particle":"","family":"Bernocco","given":"E.","non-dropping-particle":"","parse-names":false,"suffix":""},{"dropping-particle":"","family":"Monaco","given":"F.","non-dropping-particle":"","parse-names":false,"suffix":""},{"dropping-particle":"","family":"Federico","given":"M.","non-dropping-particle":"","parse-names":false,"suffix":""},{"dropping-particle":"","family":"Vitolo","given":"U.","non-dropping-particle":"","parse-names":false,"suffix":""},{"dropping-particle":"","family":"Cortelazzo","given":"S.","non-dropping-particle":"","parse-names":false,"suffix":""},{"dropping-particle":"","family":"Cabras","given":"M.G.","non-dropping-particle":"","parse-names":false,"suffix":""},{"dropping-particle":"","family":"Spina","given":"M.","non-dropping-particle":"","parse-names":false,"suffix":""},{"dropping-particle":"","family":"Baldini","given":"L.","non-dropping-particle":"","parse-names":false,"suffix":""},{"dropping-particle":"","family":"Boccomini","given":"C.","non-dropping-particle":"","parse-names":false,"suffix":""},{"dropping-particle":"","family":"Chiappella","given":"A.","non-dropping-particle":"","parse-names":false,"suffix":""},{"dropping-particle":"","family":"Bari","given":"A.","non-dropping-particle":"","parse-names":false,"suffix":""},{"dropping-particle":"","family":"Luminari","given":"S.","non-dropping-particle":"","parse-names":false,"suffix":""},{"dropping-particle":"","family":"Calabrese","given":"M.","non-dropping-particle":"","parse-names":false,"suffix":""},{"dropping-particle":"","family":"Levis","given":"A.","non-dropping-particle":"","parse-names":false,"suffix":""},{"dropping-particle":"","family":"Visco","given":"C.","non-dropping-particle":"","parse-names":false,"suffix":""},{"dropping-particle":"","family":"Contino","given":"L.","non-dropping-particle":"","parse-names":false,"suffix":""},{"dropping-particle":"","family":"Ciccone","given":"G.","non-dropping-particle":"","parse-names":false,"suffix":""},{"dropping-particle":"","family":"Ladetto","given":"M.","non-dropping-particle":"","parse-names":false,"suffix":""}],"container-title":"Thrombosis Research","id":"ITEM-2","issued":{"date-parts":[["2016","4","1"]]},"page":"S177","publisher":"Elsevier BV","title":"PO-03 - Khorana score and histotype predict the incidence of early venous thromboembolism (VTE) in Non Hodgkin Lymphoma (NHL). A pooled data analysis of twelve clinical trials of Fondazione Italiana Linfomi (FIL)","type":"article-journal","volume":"140"},"uris":["http://www.mendeley.com/documents/?uuid=f8991f19-b353-3dbf-93ae-ea021c37a7dc"]}],"mendeley":{"formattedCitation":"[6,7]","plainTextFormattedCitation":"[6,7]","previouslyFormattedCitation":"[6,7]"},"properties":{"noteIndex":0},"schema":"https://github.com/citation-style-language/schema/raw/master/csl-citation.json"}</w:instrText>
      </w:r>
      <w:r w:rsidRPr="002B53DE">
        <w:rPr>
          <w:iCs/>
          <w:color w:val="000000" w:themeColor="text1"/>
        </w:rPr>
        <w:fldChar w:fldCharType="separate"/>
      </w:r>
      <w:r w:rsidRPr="002B53DE">
        <w:rPr>
          <w:iCs/>
          <w:noProof/>
          <w:color w:val="000000" w:themeColor="text1"/>
        </w:rPr>
        <w:t>[6,7]</w:t>
      </w:r>
      <w:r w:rsidRPr="002B53DE">
        <w:rPr>
          <w:iCs/>
          <w:color w:val="000000" w:themeColor="text1"/>
        </w:rPr>
        <w:fldChar w:fldCharType="end"/>
      </w:r>
      <w:r w:rsidRPr="002B53DE">
        <w:rPr>
          <w:iCs/>
          <w:color w:val="000000" w:themeColor="text1"/>
        </w:rPr>
        <w:t>.</w:t>
      </w:r>
    </w:p>
    <w:p w14:paraId="587E557D" w14:textId="77777777" w:rsidR="002B53DE" w:rsidRDefault="002B53DE" w:rsidP="002B53DE">
      <w:pPr>
        <w:ind w:left="709" w:firstLine="0"/>
        <w:contextualSpacing/>
        <w:divId w:val="266810958"/>
        <w:rPr>
          <w:b/>
        </w:rPr>
      </w:pPr>
      <w:r w:rsidRPr="00342C61">
        <w:rPr>
          <w:b/>
        </w:rPr>
        <w:t>Уровень убедительности рекомендаций С (уровень достоверности доказательств 5).</w:t>
      </w:r>
    </w:p>
    <w:p w14:paraId="01A28B02" w14:textId="77777777" w:rsidR="002B53DE" w:rsidRDefault="002B53DE" w:rsidP="008317AD">
      <w:pPr>
        <w:contextualSpacing/>
        <w:divId w:val="266810958"/>
        <w:rPr>
          <w:i/>
        </w:rPr>
      </w:pPr>
      <w:r>
        <w:rPr>
          <w:b/>
        </w:rPr>
        <w:t xml:space="preserve">Комментарий: </w:t>
      </w:r>
      <w:r w:rsidRPr="00154AEE">
        <w:rPr>
          <w:rFonts w:eastAsia="Times New Roman"/>
          <w:i/>
          <w:iCs/>
          <w:szCs w:val="24"/>
          <w:lang w:eastAsia="ru-RU"/>
        </w:rPr>
        <w:t xml:space="preserve">объем исследования включает в себя дифференциальный подсчет клеток крови с использованием автоматического анализатора; </w:t>
      </w:r>
      <w:r w:rsidRPr="005A56BB">
        <w:rPr>
          <w:rFonts w:eastAsia="Times New Roman"/>
          <w:i/>
          <w:iCs/>
          <w:szCs w:val="24"/>
          <w:lang w:eastAsia="ru-RU"/>
        </w:rPr>
        <w:t>просмотр мазка крови для анализа аномалий морфологии эритроцитов, тромбоцитов и лейкоцитов</w:t>
      </w:r>
      <w:r w:rsidRPr="00154AEE">
        <w:rPr>
          <w:rFonts w:eastAsia="Times New Roman"/>
          <w:i/>
          <w:iCs/>
          <w:szCs w:val="24"/>
          <w:lang w:eastAsia="ru-RU"/>
        </w:rPr>
        <w:t xml:space="preserve">, при необходимости </w:t>
      </w:r>
      <w:r>
        <w:rPr>
          <w:rFonts w:eastAsia="Times New Roman"/>
          <w:i/>
          <w:iCs/>
          <w:szCs w:val="24"/>
          <w:lang w:eastAsia="ru-RU"/>
        </w:rPr>
        <w:t>–</w:t>
      </w:r>
      <w:r w:rsidRPr="00154AEE">
        <w:rPr>
          <w:rFonts w:eastAsia="Times New Roman"/>
          <w:i/>
          <w:iCs/>
          <w:szCs w:val="24"/>
          <w:lang w:eastAsia="ru-RU"/>
        </w:rPr>
        <w:t xml:space="preserve"> оптический подсчет количества тромбоцитов (по Фонио)</w:t>
      </w:r>
      <w:r>
        <w:rPr>
          <w:i/>
        </w:rPr>
        <w:t>.</w:t>
      </w:r>
    </w:p>
    <w:p w14:paraId="53BB8319" w14:textId="1D05183A" w:rsidR="002B53DE" w:rsidRDefault="002B53DE" w:rsidP="008317AD">
      <w:pPr>
        <w:pStyle w:val="affff1"/>
        <w:divId w:val="266810958"/>
      </w:pPr>
      <w:r w:rsidRPr="00A87256">
        <w:t>Всем</w:t>
      </w:r>
      <w:r>
        <w:t xml:space="preserve"> ранее не получавшим лечение</w:t>
      </w:r>
      <w:r w:rsidRPr="00A87256">
        <w:t xml:space="preserve"> пациентам с </w:t>
      </w:r>
      <w:r>
        <w:t>ЛМЗ</w:t>
      </w:r>
      <w:r w:rsidRPr="00A87256">
        <w:t xml:space="preserve"> перед проведением первой линии</w:t>
      </w:r>
      <w:r>
        <w:t xml:space="preserve"> противоопухолевой терапии </w:t>
      </w:r>
      <w:r w:rsidRPr="00741B6B">
        <w:rPr>
          <w:b/>
        </w:rPr>
        <w:t>рекомендуется</w:t>
      </w:r>
      <w:r>
        <w:t xml:space="preserve"> о</w:t>
      </w:r>
      <w:r w:rsidRPr="00B5142F">
        <w:t>пределение основных групп крови по системе AB0, определение антигена D системы Резус (резус-фактор</w:t>
      </w:r>
      <w:r>
        <w:t>а</w:t>
      </w:r>
      <w:r w:rsidRPr="00B5142F">
        <w:t>)</w:t>
      </w:r>
      <w:r>
        <w:t xml:space="preserve"> для оценки возможности выполнения гемотрансфузии при наличии показаний, до, во время или после терапии</w:t>
      </w:r>
      <w:r w:rsidR="008317AD">
        <w:t xml:space="preserve"> </w:t>
      </w:r>
      <w:r>
        <w:fldChar w:fldCharType="begin" w:fldLock="1"/>
      </w:r>
      <w: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Савченко.","id":"ITEM-2","issued":{"date-parts":[["2018"]]},"page":"52-58","title":"Лимфома маргинальной зоны","type":"chapter"},"uris":["http://www.mendeley.com/documents/?uuid=041f4bbf-3ac6-4dfd-84b7-b81c4236a79d"]}],"mendeley":{"formattedCitation":"[3,4]","plainTextFormattedCitation":"[3,4]","previouslyFormattedCitation":"[3,4]"},"properties":{"noteIndex":0},"schema":"https://github.com/citation-style-language/schema/raw/master/csl-citation.json"}</w:instrText>
      </w:r>
      <w:r>
        <w:fldChar w:fldCharType="separate"/>
      </w:r>
      <w:r w:rsidRPr="00090D97">
        <w:rPr>
          <w:noProof/>
        </w:rPr>
        <w:t>[3,4]</w:t>
      </w:r>
      <w:r>
        <w:fldChar w:fldCharType="end"/>
      </w:r>
      <w:r>
        <w:t xml:space="preserve">. </w:t>
      </w:r>
    </w:p>
    <w:p w14:paraId="5BA138D6" w14:textId="77777777" w:rsidR="002B53DE" w:rsidRDefault="002B53DE" w:rsidP="008317AD">
      <w:pPr>
        <w:ind w:left="709" w:firstLine="0"/>
        <w:contextualSpacing/>
        <w:divId w:val="266810958"/>
        <w:rPr>
          <w:b/>
        </w:rPr>
      </w:pPr>
      <w:r w:rsidRPr="00342C61">
        <w:rPr>
          <w:b/>
        </w:rPr>
        <w:t>Уровень убедительности рекомендаций С (уровень достоверности доказательств 5)</w:t>
      </w:r>
    </w:p>
    <w:p w14:paraId="530E5E7B" w14:textId="677F25C3" w:rsidR="002B53DE" w:rsidRPr="004A21C0" w:rsidRDefault="002B53DE" w:rsidP="00A72B1B">
      <w:pPr>
        <w:pStyle w:val="afd"/>
        <w:numPr>
          <w:ilvl w:val="0"/>
          <w:numId w:val="7"/>
        </w:numPr>
        <w:spacing w:before="120" w:after="120"/>
        <w:ind w:left="709" w:hanging="709"/>
        <w:divId w:val="266810958"/>
        <w:rPr>
          <w:b/>
        </w:rPr>
      </w:pPr>
      <w:r w:rsidRPr="00517EB0">
        <w:t>Всем</w:t>
      </w:r>
      <w:r>
        <w:t xml:space="preserve"> ранее не получавшим лечение </w:t>
      </w:r>
      <w:r w:rsidRPr="00517EB0">
        <w:t xml:space="preserve">пациентам с </w:t>
      </w:r>
      <w:r>
        <w:t>ЛМЗ</w:t>
      </w:r>
      <w:r w:rsidRPr="00517EB0">
        <w:t xml:space="preserve"> перед проведением первой линии противоопухолевой терапии </w:t>
      </w:r>
      <w:r w:rsidRPr="00A12C22">
        <w:rPr>
          <w:b/>
        </w:rPr>
        <w:t>рекомендуется</w:t>
      </w:r>
      <w:r w:rsidR="008317AD">
        <w:rPr>
          <w:b/>
        </w:rPr>
        <w:t xml:space="preserve"> </w:t>
      </w:r>
      <w:r>
        <w:t>для уточнения наличия сопутствующих инфекционных заболеваний и планирования необходимой сопутствующей терапии выполнение следующих исследований</w:t>
      </w:r>
      <w:r>
        <w:fldChar w:fldCharType="begin" w:fldLock="1"/>
      </w:r>
      <w: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Савченко.","id":"ITEM-2","issued":{"date-parts":[["2018"]]},"page":"52-58","title":"Лимфома маргинальной зоны","type":"chapter"},"uris":["http://www.mendeley.com/documents/?uuid=041f4bbf-3ac6-4dfd-84b7-b81c4236a79d"]},{"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[3–5]","plainTextFormattedCitation":"[3–5]","previouslyFormattedCitation":"[3–5]"},"properties":{"noteIndex":0},"schema":"https://github.com/citation-style-language/schema/raw/master/csl-citation.json"}</w:instrText>
      </w:r>
      <w:r>
        <w:fldChar w:fldCharType="separate"/>
      </w:r>
      <w:r w:rsidRPr="00041F35">
        <w:rPr>
          <w:noProof/>
        </w:rPr>
        <w:t>[3–5]</w:t>
      </w:r>
      <w:r>
        <w:fldChar w:fldCharType="end"/>
      </w:r>
      <w:r>
        <w:t>:</w:t>
      </w:r>
    </w:p>
    <w:p w14:paraId="694B6E5F" w14:textId="77777777" w:rsidR="002B53DE" w:rsidRPr="00041F35" w:rsidRDefault="002B53DE" w:rsidP="00A72B1B">
      <w:pPr>
        <w:pStyle w:val="afd"/>
        <w:numPr>
          <w:ilvl w:val="0"/>
          <w:numId w:val="8"/>
        </w:numPr>
        <w:spacing w:before="120" w:after="120"/>
        <w:divId w:val="266810958"/>
      </w:pPr>
      <w:r w:rsidRPr="00041F35">
        <w:t>молекулярно-биологического исследования крови на вирус гепатита B (Hepatitis B virus) и на вирус гепатита C (Hepatitis C virus);</w:t>
      </w:r>
    </w:p>
    <w:p w14:paraId="0DD61C9D" w14:textId="74FE3358" w:rsidR="002B53DE" w:rsidRPr="00041F35" w:rsidRDefault="002B53DE" w:rsidP="00A72B1B">
      <w:pPr>
        <w:pStyle w:val="afd"/>
        <w:numPr>
          <w:ilvl w:val="0"/>
          <w:numId w:val="8"/>
        </w:numPr>
        <w:spacing w:before="120" w:after="120"/>
        <w:divId w:val="266810958"/>
      </w:pPr>
      <w:r w:rsidRPr="00041F35">
        <w:t>молекулярно-биологического исследования крови на вирус иммунодефицита человека ВИЧ-1 (Human</w:t>
      </w:r>
      <w:r w:rsidR="008317AD">
        <w:t xml:space="preserve"> </w:t>
      </w:r>
      <w:r w:rsidRPr="00041F35">
        <w:t>immunodeficiency</w:t>
      </w:r>
      <w:r w:rsidR="008317AD">
        <w:t xml:space="preserve"> </w:t>
      </w:r>
      <w:r w:rsidRPr="00041F35">
        <w:t>virus HIV-1)</w:t>
      </w:r>
      <w:r w:rsidRPr="00267769">
        <w:t>.</w:t>
      </w:r>
    </w:p>
    <w:p w14:paraId="6A146E4D" w14:textId="77777777" w:rsidR="002B53DE" w:rsidRPr="00383556" w:rsidRDefault="002B53DE" w:rsidP="002B53DE">
      <w:pPr>
        <w:pStyle w:val="afd"/>
        <w:ind w:left="709" w:firstLine="0"/>
        <w:divId w:val="266810958"/>
        <w:rPr>
          <w:b/>
        </w:rPr>
      </w:pPr>
      <w:r w:rsidRPr="00342C61">
        <w:rPr>
          <w:b/>
        </w:rPr>
        <w:lastRenderedPageBreak/>
        <w:t>Уровень убедительности рекомендаций С (уровень достоверности доказательств 5).</w:t>
      </w:r>
    </w:p>
    <w:p w14:paraId="2CD873D0" w14:textId="77777777" w:rsidR="002B53DE" w:rsidRPr="00E47473" w:rsidRDefault="002B53DE" w:rsidP="008317AD">
      <w:pPr>
        <w:pStyle w:val="afd"/>
        <w:spacing w:before="120" w:after="120"/>
        <w:ind w:left="0"/>
        <w:divId w:val="266810958"/>
        <w:rPr>
          <w:i/>
        </w:rPr>
      </w:pPr>
      <w:r>
        <w:rPr>
          <w:b/>
        </w:rPr>
        <w:t xml:space="preserve">Комментарий: </w:t>
      </w:r>
      <w:r>
        <w:rPr>
          <w:bCs/>
          <w:i/>
          <w:iCs/>
        </w:rPr>
        <w:t xml:space="preserve">значения маркеров вирусного гепатита В представлены в приложении А3.2 </w:t>
      </w:r>
    </w:p>
    <w:p w14:paraId="1475F72C" w14:textId="74BF1A68" w:rsidR="00734192" w:rsidRPr="00734192" w:rsidRDefault="002B53DE" w:rsidP="002B53DE">
      <w:pPr>
        <w:pStyle w:val="affff1"/>
        <w:divId w:val="266810958"/>
        <w:rPr>
          <w:i/>
        </w:rPr>
      </w:pPr>
      <w:r w:rsidRPr="008317AD">
        <w:t>Всем пациентам с ЛМЗ, перед началом противоопухолевой</w:t>
      </w:r>
      <w:r w:rsidR="008317AD" w:rsidRPr="008317AD">
        <w:t xml:space="preserve"> </w:t>
      </w:r>
      <w:r w:rsidRPr="008317AD">
        <w:t xml:space="preserve">терапии </w:t>
      </w:r>
      <w:r w:rsidRPr="008317AD">
        <w:rPr>
          <w:b/>
          <w:bCs/>
        </w:rPr>
        <w:t>рекоменд</w:t>
      </w:r>
      <w:r w:rsidR="008317AD" w:rsidRPr="008317AD">
        <w:rPr>
          <w:b/>
          <w:bCs/>
        </w:rPr>
        <w:t>уется</w:t>
      </w:r>
      <w:r w:rsidRPr="008317AD">
        <w:t xml:space="preserve"> при возможности проведение иммунохимического исследования белков сыворотки крови и мочи для исключения моноклональной патологической секреции</w:t>
      </w:r>
      <w:r w:rsidR="008317AD" w:rsidRPr="008317AD">
        <w:t xml:space="preserve"> </w:t>
      </w:r>
      <w:r w:rsidR="008317AD" w:rsidRPr="008317AD">
        <w:fldChar w:fldCharType="begin" w:fldLock="1"/>
      </w:r>
      <w:r w:rsidR="00662890">
        <w:instrText>ADDIN CSL_CITATION {"citationItems":[{"id":"ITEM-1","itemData":{"DOI":"10.1002/AJH.23839","ISSN":"10968652","PMID":"25228125","abstract":"The serum immunoglobulin free light chain (FLC) assay quantitates free kappa (κ) and lambda (λ) light chains. FLC elevations in patients with diffuse large B-cell lymphoma (DLBCL), Hodgkin lymphoma (HL), and chronic lymphocytic leukemia (CLL) are associated with an inferior survival. These increases in FLC can be monoclonal (as in myeloma) or polyclonal. The goal was to estimate the frequency of these elevations within distinct types of B-cell and T-cell non-Hodgkin lymphoma (NHL) and whether the FLC measurements are associated with event-free survival (EFS). We studied serum for FLC abnormalities using normal laboratory reference ranges to define an elevated κ or λ FLC. Elevations were further classified as polyclonal or monoclonal. Four hundred ninety-two patients were studied: 453 B-cell and 34 T-cell NHL patients. Twenty-nine % (142/453) of patients had an elevated FLC of which 10% were monoclonal elevations. Within B-cell NHL, FLC abnormalities were most common in lymphoplasmacytic (79%), mantle cell (68%), and lymphomas of mucosa associated lymphoid tissue (31%); they were least common in follicular (15%). The hazard ratio (HR) for EFS in all patients was 1.41 (95% CI; 1.11-1.81); in all B-cell NHL the HR was 1.44 (95% CI 1.11-1.96); in all T-cell NHL the HR was 1.17 (95% CI 0.55-2.49). FLC abnormalities predicted an inferior OS (HR=2.75, 95% CI: 1.93-3.90, P&lt;0.0001). The serum FLC assay is useful for prognosis in both B-cell and T-cell types of NHL. In B-cell NHL further discrimination between a monoclonal and polyclonal elevation may be helpful and should be analyzed in prospective clinical trials.","author":[{"dropping-particle":"","family":"Witzig","given":"Thomas E.","non-dropping-particle":"","parse-names":false,"suffix":""},{"dropping-particle":"","family":"Maurer","given":"Matthew J.","non-dropping-particle":"","parse-names":false,"suffix":""},{"dropping-particle":"","family":"Habermann","given":"Thomas M.","non-dropping-particle":"","parse-names":false,"suffix":""},{"dropping-particle":"","family":"Link","given":"Brian K.","non-dropping-particle":"","parse-names":false,"suffix":""},{"dropping-particle":"","family":"Micallef","given":"Ivana N.M.","non-dropping-particle":"","parse-names":false,"suffix":""},{"dropping-particle":"","family":"Nowakowski","given":"Grzegorz S.","non-dropping-particle":"","parse-names":false,"suffix":""},{"dropping-particle":"","family":"Ansell","given":"Stephen M.","non-dropping-particle":"","parse-names":false,"suffix":""},{"dropping-particle":"","family":"Colgan","given":"Joseph P.","non-dropping-particle":"","parse-names":false,"suffix":""},{"dropping-particle":"","family":"Inwards","given":"David J.","non-dropping-particle":"","parse-names":false,"suffix":""},{"dropping-particle":"","family":"Porrata","given":"Luis F.","non-dropping-particle":"","parse-names":false,"suffix":""},{"dropping-particle":"","family":"Markovic","given":"Svetomir N.","non-dropping-particle":"","parse-names":false,"suffix":""},{"dropping-particle":"","family":"Johnston","given":"Patrick B.","non-dropping-particle":"","parse-names":false,"suffix":""},{"dropping-particle":"","family":"Lin","given":"Yi","non-dropping-particle":"","parse-names":false,"suffix":""},{"dropping-particle":"","family":"Thompson","given":"Carrie","non-dropping-particle":"","parse-names":false,"suffix":""},{"dropping-particle":"","family":"Gupta","given":"Mamta","non-dropping-particle":"","parse-names":false,"suffix":""},{"dropping-particle":"","family":"Katzmann","given":"Jerry A.","non-dropping-particle":"","parse-names":false,"suffix":""},{"dropping-particle":"","family":"Cerhan","given":"James R.","non-dropping-particle":"","parse-names":false,"suffix":""}],"container-title":"American journal of hematology","id":"ITEM-1","issue":"12","issued":{"date-parts":[["2014","12","1"]]},"page":"1116","publisher":"NIH Public Access","title":"Elevated Monoclonal and Polyclonal Serum Immunoglobulin Free Light Chain (FLC) as Prognostic Factors in B- and T-cell Non-Hodgkin Lymphoma","type":"article-journal","volume":"89"},"uris":["http://www.mendeley.com/documents/?uuid=cd52f18a-0322-33e7-a198-0fe94fc05f6b"]}],"mendeley":{"formattedCitation":"[8]","plainTextFormattedCitation":"[8]","previouslyFormattedCitation":"[8]"},"properties":{"noteIndex":0},"schema":"https://github.com/citation-style-language/schema/raw/master/csl-citation.json"}</w:instrText>
      </w:r>
      <w:r w:rsidR="008317AD" w:rsidRPr="008317AD">
        <w:fldChar w:fldCharType="separate"/>
      </w:r>
      <w:r w:rsidR="008317AD" w:rsidRPr="008317AD">
        <w:rPr>
          <w:noProof/>
        </w:rPr>
        <w:t>[8]</w:t>
      </w:r>
      <w:r w:rsidR="008317AD" w:rsidRPr="008317AD">
        <w:fldChar w:fldCharType="end"/>
      </w:r>
      <w:r w:rsidR="00734192" w:rsidRPr="00F44253">
        <w:t>.</w:t>
      </w:r>
    </w:p>
    <w:p w14:paraId="06DFC55D" w14:textId="4F8C15D1" w:rsidR="002B53DE" w:rsidRPr="00734192" w:rsidRDefault="00734192" w:rsidP="00734192">
      <w:pPr>
        <w:pStyle w:val="afd"/>
        <w:ind w:left="709" w:firstLine="0"/>
        <w:divId w:val="266810958"/>
        <w:rPr>
          <w:b/>
        </w:rPr>
      </w:pPr>
      <w:r w:rsidRPr="00342C61">
        <w:rPr>
          <w:b/>
        </w:rPr>
        <w:t xml:space="preserve">Уровень убедительности рекомендаций </w:t>
      </w:r>
      <w:r>
        <w:rPr>
          <w:b/>
          <w:lang w:val="en-US"/>
        </w:rPr>
        <w:t>B</w:t>
      </w:r>
      <w:r w:rsidRPr="00342C61">
        <w:rPr>
          <w:b/>
        </w:rPr>
        <w:t xml:space="preserve"> (уровень достоверности доказательств </w:t>
      </w:r>
      <w:r w:rsidRPr="00734192">
        <w:rPr>
          <w:b/>
        </w:rPr>
        <w:t>3</w:t>
      </w:r>
      <w:r w:rsidRPr="00342C61">
        <w:rPr>
          <w:b/>
        </w:rPr>
        <w:t>).</w:t>
      </w:r>
      <w:r w:rsidR="002B53DE" w:rsidRPr="00734192">
        <w:rPr>
          <w:b/>
        </w:rPr>
        <w:t xml:space="preserve"> </w:t>
      </w:r>
    </w:p>
    <w:p w14:paraId="51A3293F" w14:textId="13C8AF94" w:rsidR="002B53DE" w:rsidRPr="00BD1ED5" w:rsidRDefault="002B53DE" w:rsidP="002B53DE">
      <w:pPr>
        <w:pStyle w:val="affff1"/>
        <w:divId w:val="266810958"/>
        <w:rPr>
          <w:i/>
        </w:rPr>
      </w:pPr>
      <w:r w:rsidRPr="00734192">
        <w:t>В случа</w:t>
      </w:r>
      <w:r w:rsidR="00734192">
        <w:t xml:space="preserve">е </w:t>
      </w:r>
      <w:r w:rsidRPr="00734192">
        <w:t xml:space="preserve">развития эпизода тяжелой инфекции при возможности </w:t>
      </w:r>
      <w:r w:rsidRPr="00734192">
        <w:rPr>
          <w:b/>
          <w:bCs/>
        </w:rPr>
        <w:t>рекомендуется</w:t>
      </w:r>
      <w:r w:rsidRPr="00BD1ED5">
        <w:t xml:space="preserve"> определение уровня иммуноглобулинов </w:t>
      </w:r>
      <w:r w:rsidRPr="00BD1ED5">
        <w:rPr>
          <w:lang w:val="en-US"/>
        </w:rPr>
        <w:t>G</w:t>
      </w:r>
      <w:r w:rsidRPr="00BD1ED5">
        <w:t xml:space="preserve">, </w:t>
      </w:r>
      <w:r w:rsidRPr="00BD1ED5">
        <w:rPr>
          <w:lang w:val="en-US"/>
        </w:rPr>
        <w:t>A</w:t>
      </w:r>
      <w:r w:rsidRPr="00BD1ED5">
        <w:t xml:space="preserve"> и </w:t>
      </w:r>
      <w:r w:rsidRPr="00BD1ED5">
        <w:rPr>
          <w:lang w:val="en-US"/>
        </w:rPr>
        <w:t>M</w:t>
      </w:r>
      <w:r w:rsidRPr="00BD1ED5">
        <w:t xml:space="preserve"> в крови для уточнения риска развития инфекционных осложнений и необходимости назначения соответствующей профилактики </w:t>
      </w:r>
      <w:r w:rsidRPr="00BD1ED5">
        <w:fldChar w:fldCharType="begin" w:fldLock="1"/>
      </w:r>
      <w:r w:rsidR="00662890">
        <w:instrText>ADDIN CSL_CITATION {"citationItems":[{"id":"ITEM-1","itemData":{"DOI":"10.7861/clinmedicine.16-6-571","ISSN":"14734893","abstract":"Antibody defi ciencies can occur in the context of primary disorders due to inherited genetic defects; however, secondary immune disorders are far more prevalent and can be caused by various diseases and their treatment, certain medications and surgical procedures. Immunoglobulin replacement therapy has been shown to be effective in reducing infections, morbidity and mortality in primary antibody defi ciencies but secondary antibody defi ciencies are in general poorly defi ned and there are no guidelines for the management of patients with this condition. Clinical decisions are based on experience from primary antibody defi ciencies. Both primary and secondary antibody defi ciencies can be associated with infections, immune dysregulation and end-organ damage, causing signifi cant morbidity and mortality. Therefore, it is important to diagnose and treat these patients promptly to minimise adverse effects and improve quality of life. We focus on secondary antibody defi ciency and describe the causes, diagnosis and treatment of this disorder.","author":[{"dropping-particle":"","family":"Srivastava","given":"Sapna","non-dropping-particle":"","parse-names":false,"suffix":""},{"dropping-particle":"","family":"Wood","given":"Philip","non-dropping-particle":"","parse-names":false,"suffix":""}],"container-title":"Clinical Medicine, Journal of the Royal College of Physicians of London","id":"ITEM-1","issued":{"date-parts":[["2016"]]},"title":"Secondary antibody deficiency-causes and approach to diagnosis","type":"article-journal"},"uris":["http://www.mendeley.com/documents/?uuid=122c5237-a104-392a-be50-9d92c8764a3d"]}],"mendeley":{"formattedCitation":"[9]","plainTextFormattedCitation":"[9]","previouslyFormattedCitation":"[9]"},"properties":{"noteIndex":0},"schema":"https://github.com/citation-style-language/schema/raw/master/csl-citation.json"}</w:instrText>
      </w:r>
      <w:r w:rsidRPr="00BD1ED5">
        <w:fldChar w:fldCharType="separate"/>
      </w:r>
      <w:r w:rsidR="008317AD" w:rsidRPr="008317AD">
        <w:rPr>
          <w:noProof/>
        </w:rPr>
        <w:t>[9]</w:t>
      </w:r>
      <w:r w:rsidRPr="00BD1ED5">
        <w:fldChar w:fldCharType="end"/>
      </w:r>
      <w:r w:rsidRPr="00BD1ED5">
        <w:t>.</w:t>
      </w:r>
    </w:p>
    <w:p w14:paraId="7B723305" w14:textId="77777777" w:rsidR="002B53DE" w:rsidRDefault="002B53DE" w:rsidP="002B53DE">
      <w:pPr>
        <w:ind w:left="709" w:firstLine="0"/>
        <w:contextualSpacing/>
        <w:divId w:val="266810958"/>
        <w:rPr>
          <w:b/>
        </w:rPr>
      </w:pPr>
      <w:r w:rsidRPr="00342C61">
        <w:rPr>
          <w:b/>
        </w:rPr>
        <w:t>Уровень убедительности рекомендаций С (уровень достоверности доказательств 5).</w:t>
      </w:r>
    </w:p>
    <w:p w14:paraId="671C3E8D" w14:textId="3509C128" w:rsidR="002B53DE" w:rsidRDefault="002B53DE" w:rsidP="00734192">
      <w:pPr>
        <w:contextualSpacing/>
        <w:divId w:val="266810958"/>
        <w:rPr>
          <w:i/>
        </w:rPr>
      </w:pPr>
      <w:r w:rsidRPr="0099679A">
        <w:rPr>
          <w:b/>
        </w:rPr>
        <w:t>Комментарии:</w:t>
      </w:r>
      <w:r w:rsidR="00734192">
        <w:rPr>
          <w:b/>
        </w:rPr>
        <w:t xml:space="preserve"> </w:t>
      </w:r>
      <w:r>
        <w:rPr>
          <w:i/>
        </w:rPr>
        <w:t xml:space="preserve">если </w:t>
      </w:r>
      <w:r>
        <w:rPr>
          <w:i/>
          <w:lang w:val="en-US"/>
        </w:rPr>
        <w:t>IgG</w:t>
      </w:r>
      <w:r w:rsidRPr="00C40E0F">
        <w:rPr>
          <w:i/>
        </w:rPr>
        <w:t>&lt;</w:t>
      </w:r>
      <w:r>
        <w:rPr>
          <w:i/>
        </w:rPr>
        <w:t>4 г/л, клиническая ситуация расценивается как симптоматическая гипогаммаглобулинемия. В этих случаях показана заместительная терапия иммуноглобулинами (см. раздел «Сопутствующая и сопроводительная терапия)</w:t>
      </w:r>
    </w:p>
    <w:p w14:paraId="41988B41" w14:textId="450922F7" w:rsidR="002B53DE" w:rsidRPr="00734192" w:rsidRDefault="002B53DE" w:rsidP="00734192">
      <w:pPr>
        <w:pStyle w:val="affff1"/>
        <w:ind w:left="709" w:hanging="425"/>
        <w:divId w:val="266810958"/>
      </w:pPr>
      <w:r w:rsidRPr="00734192">
        <w:t>При обнаружении анемии и тромбоцитопении в клинической анализе крови, а также повышенного уровня ретикулоцитов</w:t>
      </w:r>
      <w:r w:rsidR="00734192">
        <w:t xml:space="preserve"> </w:t>
      </w:r>
      <w:r w:rsidRPr="00734192">
        <w:t xml:space="preserve">перед началом специфической терапии </w:t>
      </w:r>
      <w:r w:rsidRPr="00734192">
        <w:rPr>
          <w:b/>
          <w:bCs/>
        </w:rPr>
        <w:t>рекоменд</w:t>
      </w:r>
      <w:r w:rsidR="00734192" w:rsidRPr="00734192">
        <w:rPr>
          <w:b/>
          <w:bCs/>
        </w:rPr>
        <w:t>уется</w:t>
      </w:r>
      <w:r w:rsidRPr="00734192">
        <w:t xml:space="preserve"> определение антиэритроцитарных антител, прямой и непрямой пробы Кумбса для исключения иммунного компонента (гемолиза)</w:t>
      </w:r>
      <w:r w:rsidR="00662890">
        <w:t xml:space="preserve"> </w:t>
      </w:r>
      <w:r w:rsidR="00662890">
        <w:fldChar w:fldCharType="begin" w:fldLock="1"/>
      </w:r>
      <w:r w:rsidR="007944ED">
        <w:instrText>ADDIN CSL_CITATION {"citationItems":[{"id":"ITEM-1","itemData":{"DOI":"10.1038/s41598-019-56162-y","ISSN":"20452322","PMID":"31873137","abstract":"Autoimmune haemolytic anaemia (AIHA) is a kind of autoimmune diseases characterized by autoantibodies which produced and secreted by abnormal activated B lymphocytes directed against red blood cells (RBC). Study reveals that about 50% AIHA mainly occurs secondary to lymphoproliferative disorders (LPD) and autoimmune diseases. In this study, we aim to explore the characteristics of patients with AIHA secondary to LPD. Fifteen patients with AIHA secondary to LPD (secondary group) and 60 with primary AIHA (primary group) were retrospectively included. Patients in the secondary group [(59.40 ± 4.74) y] were older than those in the primary group [(47.53 ± 2.30) y] (p = 0.024). Reticulocyte counts were lower for the secondary group [(134.55 ± 20.67) × 109/L] than for the primary group [(193.88 ± 27.32) × 109/L] (p = 0.09). Haptoglobin was higher in the secondary (0.75 ± 0.19) g/L than in the primary group (0.34 ± 0.05) g/L (p = 0.004). The ratio of CD3+CD4+/CD3+CD8+ was higher in the secondary (1.81 ± 0.41) than in the primary (1.05 ± 0.12) group (p = 0.025). Duration of remission was shorter in the secondary [(23.52 ± 5.20) months] than in the primary [(40.87 ± 3.92) months] group (p = 0.013). Relapse rate was higher for the secondary (33.3%) than for the primary (8.3%) group (p = 0.003). Mortality rate was higher in the secondary (33.3%) than in the primary (8.3%) group (p = 0.003). Progression-free survival was shorter in the secondary than in the primary group (p = 0.021). In conclusion, patients with AIHA secondary to LPD showed higher age at diagnosis, shorter remission time, and higher recurrence and mortality rates than did those with primary AIHA.","author":[{"dropping-particle":"","family":"Xing","given":"Limin","non-dropping-particle":"","parse-names":false,"suffix":""},{"dropping-particle":"","family":"Zhao","given":"Manjun","non-dropping-particle":"","parse-names":false,"suffix":""},{"dropping-particle":"","family":"Wang","given":"Yi","non-dropping-particle":"","parse-names":false,"suffix":""},{"dropping-particle":"","family":"Feng","given":"Yingying","non-dropping-particle":"","parse-names":false,"suffix":""},{"dropping-particle":"","family":"Qu","given":"Yingying","non-dropping-particle":"","parse-names":false,"suffix":""},{"dropping-particle":"","family":"Duan","given":"Ningning","non-dropping-particle":"","parse-names":false,"suffix":""},{"dropping-particle":"","family":"Wang","given":"Yihao","non-dropping-particle":"","parse-names":false,"suffix":""},{"dropping-particle":"","family":"Wang","given":"Huaquan","non-dropping-particle":"","parse-names":false,"suffix":""},{"dropping-particle":"","family":"Liu","given":"Chunyan","non-dropping-particle":"","parse-names":false,"suffix":""},{"dropping-particle":"","family":"Qu","given":"Wen","non-dropping-particle":"","parse-names":false,"suffix":""},{"dropping-particle":"","family":"Wu","given":"Yuhong","non-dropping-particle":"","parse-names":false,"suffix":""},{"dropping-particle":"","family":"Guan","given":"Jing","non-dropping-particle":"","parse-names":false,"suffix":""},{"dropping-particle":"","family":"Wang","given":"Guojin","non-dropping-particle":"","parse-names":false,"suffix":""},{"dropping-particle":"","family":"Song","given":"Jia","non-dropping-particle":"","parse-names":false,"suffix":""},{"dropping-particle":"","family":"Li","given":"Lijuan","non-dropping-particle":"","parse-names":false,"suffix":""},{"dropping-particle":"","family":"Wang","given":"Xiaoming","non-dropping-particle":"","parse-names":false,"suffix":""},{"dropping-particle":"","family":"Fu","given":"Rong","non-dropping-particle":"","parse-names":false,"suffix":""},{"dropping-particle":"","family":"Shao","given":"Zonghong","non-dropping-particle":"","parse-names":false,"suffix":""}],"container-title":"Scientific Reports","id":"ITEM-1","issue":"1","issued":{"date-parts":[["2019"]]},"title":"Characteristics of patients with autoimmune haemolytic anaemia secondary to lymphoproliferative disorder: A single-centre retrospective analysis","type":"article-journal","volume":"9"},"uris":["http://www.mendeley.com/documents/?uuid=5e098765-1cf0-38ab-a69f-b499e430c660"]}],"mendeley":{"formattedCitation":"[10]","plainTextFormattedCitation":"[10]","previouslyFormattedCitation":"[10]"},"properties":{"noteIndex":0},"schema":"https://github.com/citation-style-language/schema/raw/master/csl-citation.json"}</w:instrText>
      </w:r>
      <w:r w:rsidR="00662890">
        <w:fldChar w:fldCharType="separate"/>
      </w:r>
      <w:r w:rsidR="00662890" w:rsidRPr="00662890">
        <w:rPr>
          <w:noProof/>
        </w:rPr>
        <w:t>[10]</w:t>
      </w:r>
      <w:r w:rsidR="00662890">
        <w:fldChar w:fldCharType="end"/>
      </w:r>
      <w:r w:rsidRPr="00734192">
        <w:t>.</w:t>
      </w:r>
      <w:r w:rsidR="00734192">
        <w:t xml:space="preserve"> </w:t>
      </w:r>
    </w:p>
    <w:p w14:paraId="6B98BD7E" w14:textId="77777777" w:rsidR="00734192" w:rsidRPr="00734192" w:rsidRDefault="00734192" w:rsidP="00734192">
      <w:pPr>
        <w:ind w:left="709" w:firstLine="0"/>
        <w:contextualSpacing/>
        <w:divId w:val="266810958"/>
        <w:rPr>
          <w:b/>
        </w:rPr>
      </w:pPr>
      <w:r w:rsidRPr="00734192">
        <w:rPr>
          <w:b/>
        </w:rPr>
        <w:t>Уровень убедительности рекомендаций С (уровень достоверности доказательств 5).</w:t>
      </w:r>
    </w:p>
    <w:p w14:paraId="4F71DE4C" w14:textId="35DDA469" w:rsidR="00094ED6" w:rsidRPr="00734192" w:rsidRDefault="00734192" w:rsidP="00734192">
      <w:pPr>
        <w:contextualSpacing/>
        <w:divId w:val="266810958"/>
        <w:rPr>
          <w:bCs/>
          <w:i/>
          <w:iCs/>
        </w:rPr>
      </w:pPr>
      <w:r w:rsidRPr="0099679A">
        <w:rPr>
          <w:b/>
        </w:rPr>
        <w:t>Комментарии:</w:t>
      </w:r>
      <w:r>
        <w:rPr>
          <w:b/>
        </w:rPr>
        <w:t xml:space="preserve"> </w:t>
      </w:r>
      <w:r w:rsidRPr="00734192">
        <w:rPr>
          <w:bCs/>
          <w:i/>
          <w:iCs/>
        </w:rPr>
        <w:t>при подтверждении иммунного компонента необходим динамический контроль после окончания терапии.</w:t>
      </w:r>
    </w:p>
    <w:p w14:paraId="5E69E47F" w14:textId="77777777" w:rsidR="00B46390" w:rsidRPr="00C81573" w:rsidRDefault="00B46390" w:rsidP="0021676E">
      <w:pPr>
        <w:pStyle w:val="2"/>
        <w:divId w:val="266810958"/>
      </w:pPr>
      <w:bookmarkStart w:id="40" w:name="_Toc103332092"/>
      <w:r w:rsidRPr="00C81573">
        <w:t xml:space="preserve">2.4 </w:t>
      </w:r>
      <w:r w:rsidR="00A70F44" w:rsidRPr="00C81573">
        <w:t xml:space="preserve">Инструментальные </w:t>
      </w:r>
      <w:r w:rsidRPr="00C81573">
        <w:t>диагно</w:t>
      </w:r>
      <w:r w:rsidR="00A70F44" w:rsidRPr="00C81573">
        <w:t>стические исследования</w:t>
      </w:r>
      <w:bookmarkEnd w:id="40"/>
    </w:p>
    <w:p w14:paraId="1CF7D173" w14:textId="5EBAE88E" w:rsidR="003E2441" w:rsidRPr="000565F5" w:rsidRDefault="003E2441" w:rsidP="00A72B1B">
      <w:pPr>
        <w:pStyle w:val="afd"/>
        <w:numPr>
          <w:ilvl w:val="0"/>
          <w:numId w:val="9"/>
        </w:numPr>
        <w:spacing w:before="120" w:after="120"/>
        <w:ind w:left="709" w:hanging="709"/>
        <w:divId w:val="266810958"/>
      </w:pPr>
      <w:r w:rsidRPr="000565F5">
        <w:t>Всем пациентам при установ</w:t>
      </w:r>
      <w:r>
        <w:t>лении</w:t>
      </w:r>
      <w:r w:rsidRPr="000565F5">
        <w:t xml:space="preserve"> диагноза </w:t>
      </w:r>
      <w:r>
        <w:t>ЛМЗ</w:t>
      </w:r>
      <w:r w:rsidRPr="000565F5">
        <w:t>, при оценке</w:t>
      </w:r>
      <w:r>
        <w:t xml:space="preserve"> ответа на лечение, </w:t>
      </w:r>
      <w:r w:rsidRPr="000565F5">
        <w:t xml:space="preserve">а </w:t>
      </w:r>
      <w:r w:rsidRPr="00DF14AA">
        <w:rPr>
          <w:color w:val="000000" w:themeColor="text1"/>
        </w:rPr>
        <w:t xml:space="preserve">также при подозрении на рецидив заболевания </w:t>
      </w:r>
      <w:r w:rsidRPr="00DF14AA">
        <w:rPr>
          <w:b/>
          <w:color w:val="000000" w:themeColor="text1"/>
        </w:rPr>
        <w:t>рекомендуется</w:t>
      </w:r>
      <w:r w:rsidRPr="00DF14AA">
        <w:rPr>
          <w:color w:val="000000" w:themeColor="text1"/>
        </w:rPr>
        <w:t xml:space="preserve"> выполнить </w:t>
      </w:r>
      <w:r>
        <w:rPr>
          <w:color w:val="000000" w:themeColor="text1"/>
        </w:rPr>
        <w:t>компьютерную томографию (</w:t>
      </w:r>
      <w:r w:rsidRPr="00DF14AA">
        <w:rPr>
          <w:color w:val="000000" w:themeColor="text1"/>
        </w:rPr>
        <w:t>КТ</w:t>
      </w:r>
      <w:r>
        <w:rPr>
          <w:color w:val="000000" w:themeColor="text1"/>
        </w:rPr>
        <w:t>)</w:t>
      </w:r>
      <w:r w:rsidRPr="003E2441">
        <w:rPr>
          <w:color w:val="000000" w:themeColor="text1"/>
        </w:rPr>
        <w:t xml:space="preserve"> </w:t>
      </w:r>
      <w:r w:rsidRPr="00DF14AA">
        <w:rPr>
          <w:color w:val="000000" w:themeColor="text1"/>
        </w:rPr>
        <w:t>шеи,</w:t>
      </w:r>
      <w:r>
        <w:rPr>
          <w:color w:val="000000" w:themeColor="text1"/>
        </w:rPr>
        <w:t xml:space="preserve"> органов</w:t>
      </w:r>
      <w:r w:rsidRPr="003E2441">
        <w:rPr>
          <w:color w:val="000000" w:themeColor="text1"/>
        </w:rPr>
        <w:t xml:space="preserve"> </w:t>
      </w:r>
      <w:r w:rsidRPr="000565F5">
        <w:t xml:space="preserve">грудной клетки, органов брюшной </w:t>
      </w:r>
      <w:r w:rsidRPr="000565F5">
        <w:lastRenderedPageBreak/>
        <w:t>полости и малого таза (с контрастированием)</w:t>
      </w:r>
      <w:r w:rsidRPr="003E2441">
        <w:t xml:space="preserve"> </w:t>
      </w:r>
      <w:r w:rsidRPr="000565F5">
        <w:t xml:space="preserve">для </w:t>
      </w:r>
      <w:r>
        <w:t xml:space="preserve">стадирования заболевания и уточнения наличия, размеров и распространенности опухолевых очагов </w:t>
      </w:r>
      <w:r>
        <w:fldChar w:fldCharType="begin" w:fldLock="1"/>
      </w:r>
      <w:r w:rsidR="00F83A41">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Oncology","id":"ITEM-2","issue":"1","issued":{"date-parts":[["2020","1","1"]]},"page":"17-29","publisher":"Elsevier Ltd","title":"Marginal zone lymphomas: ESMO Clinical Practice Guidelines for diagnosis, treatment and follow-up","type":"article-journal","volume":"31"},"uris":["http://www.mendeley.com/documents/?uuid=fbdf0c05-49c8-3abf-834c-701e85508549"]},{"id":"ITEM-3","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-3","issued":{"date-parts":[["0"]]},"title":"B-cell lymphomas. NCCN Clinical Practice Guidelines in Oncology. Version 5.2019","type":"article"},"uris":["http://www.mendeley.com/documents/?uuid=4e117fbe-c678-350d-9b0c-f8bba5d6f848"]}],"mendeley":{"formattedCitation":"[4,5,11]","plainTextFormattedCitation":"[4,5,11]","previouslyFormattedCitation":"[4,5,11]"},"properties":{"noteIndex":0},"schema":"https://github.com/citation-style-language/schema/raw/master/csl-citation.json"}</w:instrText>
      </w:r>
      <w:r>
        <w:fldChar w:fldCharType="separate"/>
      </w:r>
      <w:r w:rsidR="007944ED" w:rsidRPr="007944ED">
        <w:rPr>
          <w:noProof/>
        </w:rPr>
        <w:t>[4,5,11]</w:t>
      </w:r>
      <w:r>
        <w:fldChar w:fldCharType="end"/>
      </w:r>
      <w:r w:rsidRPr="000565F5">
        <w:t>.</w:t>
      </w:r>
    </w:p>
    <w:p w14:paraId="6A2AE910" w14:textId="77777777" w:rsidR="003E2441" w:rsidRPr="00F610C3" w:rsidRDefault="003E2441" w:rsidP="003E2441">
      <w:pPr>
        <w:pStyle w:val="afd"/>
        <w:ind w:left="709" w:firstLine="0"/>
        <w:divId w:val="266810958"/>
        <w:rPr>
          <w:color w:val="000000" w:themeColor="text1"/>
        </w:rPr>
      </w:pPr>
      <w:r w:rsidRPr="00342C61">
        <w:rPr>
          <w:b/>
        </w:rPr>
        <w:t>Уровень убедительности рекомендаций С (уровень достоверности доказательств 5)</w:t>
      </w:r>
    </w:p>
    <w:p w14:paraId="0B3C052D" w14:textId="4DF71562" w:rsidR="003E2441" w:rsidRDefault="003E2441" w:rsidP="003E2441">
      <w:pPr>
        <w:pStyle w:val="affff1"/>
        <w:ind w:left="709" w:hanging="425"/>
        <w:divId w:val="266810958"/>
      </w:pPr>
      <w:r w:rsidRPr="003147A2">
        <w:t>Пациентам с противопоказаниями к КТ, либо при невозможности выполнения КТ, при установ</w:t>
      </w:r>
      <w:r>
        <w:t>лении</w:t>
      </w:r>
      <w:r w:rsidRPr="003147A2">
        <w:t xml:space="preserve"> диагноза </w:t>
      </w:r>
      <w:r>
        <w:t>ЛМЗ</w:t>
      </w:r>
      <w:r w:rsidRPr="003147A2">
        <w:t xml:space="preserve">, </w:t>
      </w:r>
      <w:r w:rsidRPr="001C2B47">
        <w:t xml:space="preserve">при оценке ответа на лечение, а также при подозрении на рецидив заболевания </w:t>
      </w:r>
      <w:r w:rsidRPr="003147A2">
        <w:rPr>
          <w:b/>
        </w:rPr>
        <w:t>рекомендуется</w:t>
      </w:r>
      <w:r w:rsidRPr="003E2441">
        <w:rPr>
          <w:b/>
        </w:rPr>
        <w:t xml:space="preserve"> </w:t>
      </w:r>
      <w:r w:rsidRPr="000565F5">
        <w:t xml:space="preserve">для </w:t>
      </w:r>
      <w:r>
        <w:t>стадирования заболевания и уточнения наличия, размеров и распространенности опухолевых очагов</w:t>
      </w:r>
      <w:r w:rsidRPr="003E2441">
        <w:t xml:space="preserve"> </w:t>
      </w:r>
      <w:r w:rsidRPr="003147A2">
        <w:t>выполнить</w:t>
      </w:r>
      <w:r>
        <w:t xml:space="preserve"> следующие диагностические исследования </w:t>
      </w:r>
      <w:r>
        <w:fldChar w:fldCharType="begin" w:fldLock="1"/>
      </w:r>
      <w: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fldChar w:fldCharType="separate"/>
      </w:r>
      <w:r w:rsidRPr="00090D97">
        <w:rPr>
          <w:noProof/>
        </w:rPr>
        <w:t>[4]</w:t>
      </w:r>
      <w:r>
        <w:fldChar w:fldCharType="end"/>
      </w:r>
      <w:r>
        <w:t>:</w:t>
      </w:r>
    </w:p>
    <w:p w14:paraId="189F3437" w14:textId="1914CC87" w:rsidR="003E2441" w:rsidRPr="000F4D7F" w:rsidRDefault="003E2441" w:rsidP="00A72B1B">
      <w:pPr>
        <w:pStyle w:val="afd"/>
        <w:numPr>
          <w:ilvl w:val="1"/>
          <w:numId w:val="9"/>
        </w:numPr>
        <w:spacing w:after="120"/>
        <w:divId w:val="266810958"/>
        <w:rPr>
          <w:color w:val="000000" w:themeColor="text1"/>
        </w:rPr>
      </w:pPr>
      <w:r w:rsidRPr="003147A2">
        <w:rPr>
          <w:color w:val="000000" w:themeColor="text1"/>
        </w:rPr>
        <w:t>рентгенографию</w:t>
      </w:r>
      <w:r w:rsidRPr="003E2441">
        <w:rPr>
          <w:color w:val="000000" w:themeColor="text1"/>
        </w:rPr>
        <w:t xml:space="preserve"> </w:t>
      </w:r>
      <w:r>
        <w:rPr>
          <w:color w:val="000000" w:themeColor="text1"/>
        </w:rPr>
        <w:t>легких</w:t>
      </w:r>
      <w:r w:rsidRPr="003147A2">
        <w:rPr>
          <w:color w:val="000000" w:themeColor="text1"/>
        </w:rPr>
        <w:t xml:space="preserve"> в двух проекциях</w:t>
      </w:r>
      <w:r>
        <w:t>;</w:t>
      </w:r>
    </w:p>
    <w:p w14:paraId="2EA2E38B" w14:textId="77777777" w:rsidR="003E2441" w:rsidRPr="003147A2" w:rsidRDefault="003E2441" w:rsidP="00A72B1B">
      <w:pPr>
        <w:pStyle w:val="afd"/>
        <w:numPr>
          <w:ilvl w:val="1"/>
          <w:numId w:val="9"/>
        </w:numPr>
        <w:spacing w:before="120"/>
        <w:divId w:val="266810958"/>
        <w:rPr>
          <w:color w:val="000000" w:themeColor="text1"/>
        </w:rPr>
      </w:pPr>
      <w:r w:rsidRPr="003147A2">
        <w:rPr>
          <w:color w:val="000000" w:themeColor="text1"/>
        </w:rPr>
        <w:t>ультразвуковое исследование лимфатических узлов и внутренних органов</w:t>
      </w:r>
      <w:r>
        <w:rPr>
          <w:color w:val="000000" w:themeColor="text1"/>
        </w:rPr>
        <w:t>.</w:t>
      </w:r>
    </w:p>
    <w:p w14:paraId="3A0022DD" w14:textId="77777777" w:rsidR="003E2441" w:rsidRDefault="003E2441" w:rsidP="003E2441">
      <w:pPr>
        <w:ind w:left="709" w:firstLine="0"/>
        <w:contextualSpacing/>
        <w:divId w:val="266810958"/>
        <w:rPr>
          <w:b/>
        </w:rPr>
      </w:pPr>
      <w:r w:rsidRPr="00342C61">
        <w:rPr>
          <w:b/>
        </w:rPr>
        <w:t>Уровень убедительности рекомендаций С (уровень достоверности доказательств 5).</w:t>
      </w:r>
    </w:p>
    <w:p w14:paraId="32464A2F" w14:textId="61FA23B1" w:rsidR="003E2441" w:rsidRPr="000565F5" w:rsidRDefault="003E2441" w:rsidP="00A72B1B">
      <w:pPr>
        <w:pStyle w:val="afd"/>
        <w:numPr>
          <w:ilvl w:val="0"/>
          <w:numId w:val="9"/>
        </w:numPr>
        <w:spacing w:before="240"/>
        <w:ind w:left="709" w:hanging="709"/>
        <w:divId w:val="266810958"/>
      </w:pPr>
      <w:r w:rsidRPr="000565F5">
        <w:t>Всем пациентам при установ</w:t>
      </w:r>
      <w:r>
        <w:t>лении</w:t>
      </w:r>
      <w:r w:rsidRPr="000565F5">
        <w:t xml:space="preserve"> диагноза </w:t>
      </w:r>
      <w:r>
        <w:rPr>
          <w:lang w:val="en-US"/>
        </w:rPr>
        <w:t>MALT</w:t>
      </w:r>
      <w:r w:rsidRPr="006C5550">
        <w:t>-</w:t>
      </w:r>
      <w:r>
        <w:t>лимфомы</w:t>
      </w:r>
      <w:r w:rsidRPr="003E2441">
        <w:t xml:space="preserve"> </w:t>
      </w:r>
      <w:r>
        <w:t>желудка</w:t>
      </w:r>
      <w:r w:rsidRPr="000565F5">
        <w:t>, при оценке</w:t>
      </w:r>
      <w:r>
        <w:t xml:space="preserve"> ответа на лечение, </w:t>
      </w:r>
      <w:r w:rsidRPr="000565F5">
        <w:t xml:space="preserve">а </w:t>
      </w:r>
      <w:r w:rsidRPr="00DF14AA">
        <w:rPr>
          <w:color w:val="000000" w:themeColor="text1"/>
        </w:rPr>
        <w:t xml:space="preserve">также при подозрении на рецидив заболевания </w:t>
      </w:r>
      <w:r w:rsidRPr="00DF14AA">
        <w:rPr>
          <w:b/>
          <w:color w:val="000000" w:themeColor="text1"/>
        </w:rPr>
        <w:t>рекомендуется</w:t>
      </w:r>
      <w:r w:rsidRPr="00DF14AA">
        <w:rPr>
          <w:color w:val="000000" w:themeColor="text1"/>
        </w:rPr>
        <w:t xml:space="preserve"> выполнить</w:t>
      </w:r>
      <w:r w:rsidRPr="003E2441">
        <w:rPr>
          <w:color w:val="000000" w:themeColor="text1"/>
        </w:rPr>
        <w:t xml:space="preserve"> </w:t>
      </w:r>
      <w:r>
        <w:rPr>
          <w:color w:val="000000" w:themeColor="text1"/>
        </w:rPr>
        <w:t>эзофагогастроскопию и, при возможности, эндосонографию желудка со множественной биопсией пораженных участков слизистой</w:t>
      </w:r>
      <w:r w:rsidRPr="003E2441">
        <w:rPr>
          <w:color w:val="000000" w:themeColor="text1"/>
        </w:rPr>
        <w:t xml:space="preserve"> </w:t>
      </w:r>
      <w:r w:rsidRPr="00BD1ED5">
        <w:rPr>
          <w:szCs w:val="24"/>
        </w:rPr>
        <w:fldChar w:fldCharType="begin" w:fldLock="1"/>
      </w:r>
      <w:r w:rsidR="00F83A41">
        <w:rPr>
          <w:szCs w:val="24"/>
        </w:rPr>
        <w:instrText>ADDIN CSL_CITATION {"citationItems":[{"id":"ITEM-1","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Савченко.","id":"ITEM-1","issued":{"date-parts":[["2018"]]},"page":"52-58","title":"Лимфома маргинальной зоны","type":"chapter"},"uris":["http://www.mendeley.com/documents/?uuid=041f4bbf-3ac6-4dfd-84b7-b81c4236a79d"]},{"id":"ITEM-2","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Пивника","id":"ITEM-2","issued":{"date-parts":[["2012"]]},"page":"176-187","title":"Неходжкинские лимфомы маргинальной зоны","type":"chapter"},"uris":["http://www.mendeley.com/documents/?uuid=55174691-e9d7-401f-a0a9-f116659e2535"]},{"id":"ITEM-3","itemData":{"DOI":"10.1111/j.1572-0241.2002.05460.x","ISSN":"0002-9270","abstract":"OBJECTIVES: Primary gastric low-grade B-cell lymphoma of mucosa-associated lymphoid tissue may regress with conservative treatment such as anti-Helicobacterpylori therapy or monochemotherapy. The aims of the present study were to analyze the predictive factors of response to anti-H. pylori treatment, to assess the effects of an adjuvant therapy in responding patients, and to evaluate an alternative therapy in nonresponding patients.\\n\\nMETHODS: From 1995 to 2000, 48 H. pylori-infected patients with localized primary gastric low-grade B-cell lymphoma of mucosa-associated lymphoid tissue were treated with anti-H. pylori therapy. Endoscopic and endoscopic ultrasonography features and histological grading of large cells' proportion were analyzed. Eradication of H. pylori and tumoral response were assessed at 2 and 6 months, respectively. From 1996, patients in remission at 6 months were randomized to receive either chlorambucil p.o. for 6 months or no treatment. Patients who did not respond to H. pylori eradication received chlorambucil p.o. for 1 yr.\\n\\nRESULTS: Among the 48 treated patients, 33 (69%) were in complete (n = 28) or in partial (n = 5) remission, and 15 (31%) were in treatment failure at 6 months. H. pylori was eradicated in 47 patients. The response was not correlated with the endoscopic features or with the histological grade. In contrast, it was related to ultrasonographic features: remission was achieved in 76% of patients when no perigastric lymph node was detected versus only 33% when endoscopic ultrasonography showed presence of lymph nodes (p = 0.025). All responding patients remained in remission (median 34 months) whatever the treatment they received (no treatment or chlorambucil). Remission could be achieved with chlorambucil in 58% of the nonresponding patients to anti-H. pylori treatment.\\n\\nCONCLUSIONS: The major negative predictive factor of the tumoral response to anti-H. pylori treatment in patients with primary gastric low-grade B-cell lymphoma of mucosaassociated lymphoid tissue was the presence of perigastric lymph nodes on endoscopic ultrasonography. In responding patients, remission remained stable, suggesting that adjuvant chemotherapy was not useful. In patients who failed to respond to H. pylori eradication, monochemotherapy with chlorambucil proved to be efficient, but new therapeutic modalities should be evaluated to improve the control of the tumoral process.","author":[{"dropping-particle":"","family":"Levy","given":"Michael","non-dropping-particle":"","parse-names":false,"suffix":""},{"dropping-particle":"","family":"Copie-Bergman","given":"Christiane","non-dropping-particle":"","parse-names":false,"suffix":""},{"dropping-particle":"","family":"Traulle","given":"Catherine","non-dropping-particle":"","parse-names":false,"suffix":""},{"dropping-particle":"","family":"Lavergne-Slove","given":"Anne","non-dropping-particle":"","parse-names":false,"suffix":""},{"dropping-particle":"","family":"Brousse","given":"Nicole","non-dropping-particle":"","parse-names":false,"suffix":""},{"dropping-particle":"","family":"Flejou","given":"Jean-Francois","non-dropping-particle":"","parse-names":false,"suffix":""},{"dropping-particle":"","family":"Mascarel","given":"Antoine","non-dropping-particle":"","parse-names":false,"suffix":""},{"dropping-particle":"","family":"Hemery","given":"Francois","non-dropping-particle":"","parse-names":false,"suffix":""},{"dropping-particle":"","family":"Gaulard","given":"Philippe","non-dropping-particle":"","parse-names":false,"suffix":""},{"dropping-particle":"","family":"Delchier","given":"Jean-Charles","non-dropping-particle":"","parse-names":false,"suffix":""}],"container-title":"The American Journal of Gastroenterology","id":"ITEM-3","issue":"2","issued":{"date-parts":[["2002","2"]]},"page":"292-297","publisher":"Ovid Technologies (Wolters Kluwer Health)","title":"Conservative treatment of primary gastric low-grade B-cell lymphoma of mucosa-associated lymphoid tissue: predictive factors of response and outcome","type":"article-journal","volume":"97"},"uris":["http://www.mendeley.com/documents/?uuid=a59b33f0-ae9d-3eb3-ad67-37ed54c1d77f"]}],"mendeley":{"formattedCitation":"[3,12,13]","plainTextFormattedCitation":"[3,12,13]","previouslyFormattedCitation":"[3,12,13]"},"properties":{"noteIndex":0},"schema":"https://github.com/citation-style-language/schema/raw/master/csl-citation.json"}</w:instrText>
      </w:r>
      <w:r w:rsidRPr="00BD1ED5">
        <w:rPr>
          <w:szCs w:val="24"/>
        </w:rPr>
        <w:fldChar w:fldCharType="separate"/>
      </w:r>
      <w:r w:rsidR="007944ED" w:rsidRPr="007944ED">
        <w:rPr>
          <w:noProof/>
          <w:szCs w:val="24"/>
        </w:rPr>
        <w:t>[3,12,13]</w:t>
      </w:r>
      <w:r w:rsidRPr="00BD1ED5">
        <w:rPr>
          <w:szCs w:val="24"/>
        </w:rPr>
        <w:fldChar w:fldCharType="end"/>
      </w:r>
      <w:r w:rsidRPr="000565F5">
        <w:t>.</w:t>
      </w:r>
    </w:p>
    <w:p w14:paraId="71916D32" w14:textId="2196B597" w:rsidR="007944ED" w:rsidRPr="007944ED" w:rsidRDefault="003E2441" w:rsidP="007944ED">
      <w:pPr>
        <w:pStyle w:val="afd"/>
        <w:ind w:left="709" w:firstLine="0"/>
        <w:divId w:val="266810958"/>
        <w:rPr>
          <w:b/>
        </w:rPr>
      </w:pPr>
      <w:r w:rsidRPr="00342C61">
        <w:rPr>
          <w:b/>
        </w:rPr>
        <w:t xml:space="preserve">Уровень убедительности рекомендаций С (уровень достоверности доказательств </w:t>
      </w:r>
      <w:r w:rsidRPr="00267769">
        <w:rPr>
          <w:b/>
        </w:rPr>
        <w:t>4</w:t>
      </w:r>
      <w:r w:rsidRPr="00342C61">
        <w:rPr>
          <w:b/>
        </w:rPr>
        <w:t>)</w:t>
      </w:r>
    </w:p>
    <w:p w14:paraId="7664CF96" w14:textId="7B0C61E7" w:rsidR="003E2441" w:rsidRPr="007944ED" w:rsidRDefault="003E2441" w:rsidP="00A72B1B">
      <w:pPr>
        <w:pStyle w:val="afd"/>
        <w:numPr>
          <w:ilvl w:val="0"/>
          <w:numId w:val="9"/>
        </w:numPr>
        <w:spacing w:before="240"/>
        <w:ind w:left="709" w:hanging="709"/>
        <w:divId w:val="266810958"/>
      </w:pPr>
      <w:r w:rsidRPr="003E2441">
        <w:t xml:space="preserve">Пациентам с MALT-лимфомой желудка </w:t>
      </w:r>
      <w:r w:rsidRPr="007944ED">
        <w:rPr>
          <w:b/>
          <w:bCs/>
        </w:rPr>
        <w:t>рекомендуется</w:t>
      </w:r>
      <w:r w:rsidRPr="003E2441">
        <w:t xml:space="preserve"> выполнить фиброл</w:t>
      </w:r>
      <w:r>
        <w:t>а</w:t>
      </w:r>
      <w:r w:rsidRPr="003E2441">
        <w:t>рингоскопию</w:t>
      </w:r>
      <w:r>
        <w:t xml:space="preserve"> </w:t>
      </w:r>
      <w:r w:rsidRPr="007944ED">
        <w:fldChar w:fldCharType="begin" w:fldLock="1"/>
      </w:r>
      <w:r w:rsidR="00F83A41">
        <w:instrText>ADDIN CSL_CITATION {"citationItems":[{"id":"ITEM-1","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Савченко.","id":"ITEM-1","issued":{"date-parts":[["2018"]]},"page":"52-58","title":"Лимфома маргинальной зоны","type":"chapter"},"uris":["http://www.mendeley.com/documents/?uuid=041f4bbf-3ac6-4dfd-84b7-b81c4236a79d"]},{"id":"ITEM-2","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Пивника","id":"ITEM-2","issued":{"date-parts":[["2012"]]},"page":"176-187","title":"Неходжкинские лимфомы маргинальной зоны","type":"chapter"},"uris":["http://www.mendeley.com/documents/?uuid=55174691-e9d7-401f-a0a9-f116659e2535"]},{"id":"ITEM-3","itemData":{"DOI":"10.1111/j.1572-0241.2002.05460.x","ISSN":"0002-9270","abstract":"OBJECTIVES: Primary gastric low-grade B-cell lymphoma of mucosa-associated lymphoid tissue may regress with conservative treatment such as anti-Helicobacterpylori therapy or monochemotherapy. The aims of the present study were to analyze the predictive factors of response to anti-H. pylori treatment, to assess the effects of an adjuvant therapy in responding patients, and to evaluate an alternative therapy in nonresponding patients.\\n\\nMETHODS: From 1995 to 2000, 48 H. pylori-infected patients with localized primary gastric low-grade B-cell lymphoma of mucosa-associated lymphoid tissue were treated with anti-H. pylori therapy. Endoscopic and endoscopic ultrasonography features and histological grading of large cells' proportion were analyzed. Eradication of H. pylori and tumoral response were assessed at 2 and 6 months, respectively. From 1996, patients in remission at 6 months were randomized to receive either chlorambucil p.o. for 6 months or no treatment. Patients who did not respond to H. pylori eradication received chlorambucil p.o. for 1 yr.\\n\\nRESULTS: Among the 48 treated patients, 33 (69%) were in complete (n = 28) or in partial (n = 5) remission, and 15 (31%) were in treatment failure at 6 months. H. pylori was eradicated in 47 patients. The response was not correlated with the endoscopic features or with the histological grade. In contrast, it was related to ultrasonographic features: remission was achieved in 76% of patients when no perigastric lymph node was detected versus only 33% when endoscopic ultrasonography showed presence of lymph nodes (p = 0.025). All responding patients remained in remission (median 34 months) whatever the treatment they received (no treatment or chlorambucil). Remission could be achieved with chlorambucil in 58% of the nonresponding patients to anti-H. pylori treatment.\\n\\nCONCLUSIONS: The major negative predictive factor of the tumoral response to anti-H. pylori treatment in patients with primary gastric low-grade B-cell lymphoma of mucosaassociated lymphoid tissue was the presence of perigastric lymph nodes on endoscopic ultrasonography. In responding patients, remission remained stable, suggesting that adjuvant chemotherapy was not useful. In patients who failed to respond to H. pylori eradication, monochemotherapy with chlorambucil proved to be efficient, but new therapeutic modalities should be evaluated to improve the control of the tumoral process.","author":[{"dropping-particle":"","family":"Levy","given":"Michael","non-dropping-particle":"","parse-names":false,"suffix":""},{"dropping-particle":"","family":"Copie-Bergman","given":"Christiane","non-dropping-particle":"","parse-names":false,"suffix":""},{"dropping-particle":"","family":"Traulle","given":"Catherine","non-dropping-particle":"","parse-names":false,"suffix":""},{"dropping-particle":"","family":"Lavergne-Slove","given":"Anne","non-dropping-particle":"","parse-names":false,"suffix":""},{"dropping-particle":"","family":"Brousse","given":"Nicole","non-dropping-particle":"","parse-names":false,"suffix":""},{"dropping-particle":"","family":"Flejou","given":"Jean-Francois","non-dropping-particle":"","parse-names":false,"suffix":""},{"dropping-particle":"","family":"Mascarel","given":"Antoine","non-dropping-particle":"","parse-names":false,"suffix":""},{"dropping-particle":"","family":"Hemery","given":"Francois","non-dropping-particle":"","parse-names":false,"suffix":""},{"dropping-particle":"","family":"Gaulard","given":"Philippe","non-dropping-particle":"","parse-names":false,"suffix":""},{"dropping-particle":"","family":"Delchier","given":"Jean-Charles","non-dropping-particle":"","parse-names":false,"suffix":""}],"container-title":"The American Journal of Gastroenterology","id":"ITEM-3","issue":"2","issued":{"date-parts":[["2002","2"]]},"page":"292-297","publisher":"Ovid Technologies (Wolters Kluwer Health)","title":"Conservative treatment of primary gastric low-grade B-cell lymphoma of mucosa-associated lymphoid tissue: predictive factors of response and outcome","type":"article-journal","volume":"97"},"uris":["http://www.mendeley.com/documents/?uuid=a59b33f0-ae9d-3eb3-ad67-37ed54c1d77f"]}],"mendeley":{"formattedCitation":"[3,12,13]","plainTextFormattedCitation":"[3,12,13]","previouslyFormattedCitation":"[3,12,13]"},"properties":{"noteIndex":0},"schema":"https://github.com/citation-style-language/schema/raw/master/csl-citation.json"}</w:instrText>
      </w:r>
      <w:r w:rsidRPr="007944ED">
        <w:fldChar w:fldCharType="separate"/>
      </w:r>
      <w:r w:rsidR="007944ED" w:rsidRPr="007944ED">
        <w:rPr>
          <w:noProof/>
        </w:rPr>
        <w:t>[3,12,13]</w:t>
      </w:r>
      <w:r w:rsidRPr="007944ED">
        <w:fldChar w:fldCharType="end"/>
      </w:r>
    </w:p>
    <w:p w14:paraId="05C2563A" w14:textId="0B72A4A6" w:rsidR="007944ED" w:rsidRPr="007944ED" w:rsidRDefault="007944ED" w:rsidP="007944ED">
      <w:pPr>
        <w:pStyle w:val="afd"/>
        <w:ind w:left="709" w:firstLine="0"/>
        <w:divId w:val="266810958"/>
        <w:rPr>
          <w:b/>
        </w:rPr>
      </w:pPr>
      <w:r w:rsidRPr="00342C61">
        <w:rPr>
          <w:b/>
        </w:rPr>
        <w:t xml:space="preserve">Уровень убедительности рекомендаций С (уровень достоверности доказательств </w:t>
      </w:r>
      <w:r w:rsidRPr="00267769">
        <w:rPr>
          <w:b/>
        </w:rPr>
        <w:t>4</w:t>
      </w:r>
      <w:r w:rsidRPr="00342C61">
        <w:rPr>
          <w:b/>
        </w:rPr>
        <w:t>)</w:t>
      </w:r>
    </w:p>
    <w:p w14:paraId="0C2F0DDD" w14:textId="4092CD34" w:rsidR="003E2441" w:rsidRPr="007944ED" w:rsidRDefault="003E2441" w:rsidP="00A72B1B">
      <w:pPr>
        <w:pStyle w:val="afd"/>
        <w:numPr>
          <w:ilvl w:val="0"/>
          <w:numId w:val="9"/>
        </w:numPr>
        <w:spacing w:before="240"/>
        <w:ind w:left="709" w:hanging="709"/>
        <w:divId w:val="266810958"/>
      </w:pPr>
      <w:r w:rsidRPr="007944ED">
        <w:t xml:space="preserve">Пациентам с ЛМЗ, при наличии неврологической симптоматики перед началом лечения </w:t>
      </w:r>
      <w:r w:rsidRPr="007944ED">
        <w:rPr>
          <w:b/>
          <w:bCs/>
        </w:rPr>
        <w:t>рекомендуется</w:t>
      </w:r>
      <w:r w:rsidRPr="007944ED">
        <w:t xml:space="preserve"> выполнить МРТ головного мозга, люмбальную пункцию для исключения ЛМЗ твердой мозговой оболочки</w:t>
      </w:r>
      <w:r w:rsidR="007944ED" w:rsidRPr="007944ED">
        <w:t xml:space="preserve"> </w:t>
      </w:r>
      <w:r w:rsidR="007944ED">
        <w:fldChar w:fldCharType="begin" w:fldLock="1"/>
      </w:r>
      <w:r w:rsidR="00F83A41">
        <w:instrText>ADDIN CSL_CITATION {"citationItems":[{"id":"ITEM-1","itemData":{"DOI":"10.1007/S12308-008-0005-9","ISSN":"18655785","PMID":"19669212","abstract":"Primary central nervous system lymphoma (PCNSL) is an extranodal non-Hodgkin lymphoma involving brain, intraocular structures and spinal cord, without evidence of systemic disease. The majority of PCNSLs are diffuse large B-cell type. We encountered a rare case of primary dural marginal zone lymphoma of mucosa-associated lymphoid tissue (MALT) with extension into the brain in a 59-year-old man. A magnetic resonance imaging scan showed a 22-mm tumor located in the left posterior temporal lobe extending from the dura. Histopathology revealed a lymphoplasmacytic infiltration of the dura and the brain parenchyma in a perivascular pattern. Immunohistochemical and in situ hybridization studies showed a B-cell phenotype with kappa light chain restriction. Fluorescent in situ hybridization study showed a t(14;18)(q32; q21) with immunoglobulin heavy-chain/MALT1 fusion. The molecular study for immunoglobulin heavy-chain gene rearrangement by polymerase chain reaction showed a clonal gene rearrangement. © Springer-Verlag 2008.","author":[{"dropping-particle":"","family":"Bhagavathi","given":"Sharathkumar","non-dropping-particle":"","parse-names":false,"suffix":""},{"dropping-particle":"","family":"Greiner","given":"Timothy C.","non-dropping-particle":"","parse-names":false,"suffix":""},{"dropping-particle":"","family":"Kazmi","given":"Syed A.","non-dropping-particle":"","parse-names":false,"suffix":""},{"dropping-particle":"","family":"Fu","given":"Kai","non-dropping-particle":"","parse-names":false,"suffix":""},{"dropping-particle":"","family":"Sanger","given":"Warren G.","non-dropping-particle":"","parse-names":false,"suffix":""},{"dropping-particle":"","family":"Chan","given":"Wing C.","non-dropping-particle":"","parse-names":false,"suffix":""}],"container-title":"Journal of Hematopathology","id":"ITEM-1","issue":"2","issued":{"date-parts":[["2008"]]},"page":"131","publisher":"Springer","title":"Extranodal marginal zone lymphoma of the dura mater with IgH/MALT1 translocation and review of literature","type":"article-journal","volume":"1"},"uris":["http://www.mendeley.com/documents/?uuid=d72d8151-d737-3210-9117-abe2ac5524d0"]}],"mendeley":{"formattedCitation":"[14]","plainTextFormattedCitation":"[14]","previouslyFormattedCitation":"[14]"},"properties":{"noteIndex":0},"schema":"https://github.com/citation-style-language/schema/raw/master/csl-citation.json"}</w:instrText>
      </w:r>
      <w:r w:rsidR="007944ED">
        <w:fldChar w:fldCharType="separate"/>
      </w:r>
      <w:r w:rsidR="007944ED" w:rsidRPr="007944ED">
        <w:rPr>
          <w:noProof/>
        </w:rPr>
        <w:t>[14]</w:t>
      </w:r>
      <w:r w:rsidR="007944ED">
        <w:fldChar w:fldCharType="end"/>
      </w:r>
    </w:p>
    <w:p w14:paraId="0433884B" w14:textId="46B18396" w:rsidR="003E2441" w:rsidRDefault="007944ED" w:rsidP="003E2441">
      <w:pPr>
        <w:pStyle w:val="afd"/>
        <w:ind w:left="709" w:firstLine="0"/>
        <w:divId w:val="266810958"/>
        <w:rPr>
          <w:b/>
        </w:rPr>
      </w:pPr>
      <w:r w:rsidRPr="00342C61">
        <w:rPr>
          <w:b/>
        </w:rPr>
        <w:t xml:space="preserve">Уровень убедительности рекомендаций </w:t>
      </w:r>
      <w:r>
        <w:rPr>
          <w:b/>
          <w:lang w:val="en-US"/>
        </w:rPr>
        <w:t>B</w:t>
      </w:r>
      <w:r w:rsidRPr="00342C61">
        <w:rPr>
          <w:b/>
        </w:rPr>
        <w:t xml:space="preserve"> (уровень достоверности доказательств </w:t>
      </w:r>
      <w:r w:rsidRPr="006D0A48">
        <w:rPr>
          <w:b/>
        </w:rPr>
        <w:t>3</w:t>
      </w:r>
      <w:r w:rsidRPr="00342C61">
        <w:rPr>
          <w:b/>
        </w:rPr>
        <w:t>)</w:t>
      </w:r>
    </w:p>
    <w:p w14:paraId="480050C7" w14:textId="3B13D9D7" w:rsidR="003E2441" w:rsidRPr="00841177" w:rsidRDefault="003E2441" w:rsidP="00A72B1B">
      <w:pPr>
        <w:pStyle w:val="afd"/>
        <w:numPr>
          <w:ilvl w:val="0"/>
          <w:numId w:val="9"/>
        </w:numPr>
        <w:spacing w:before="240"/>
        <w:ind w:left="709" w:hanging="709"/>
        <w:divId w:val="266810958"/>
      </w:pPr>
      <w:r w:rsidRPr="00841177">
        <w:t xml:space="preserve">Всем пациентам при установлении диагноза ЛМЗ, при оценке ответа на лечение, а также при подозрении на рецидив заболевания </w:t>
      </w:r>
      <w:r w:rsidRPr="00841177">
        <w:rPr>
          <w:b/>
        </w:rPr>
        <w:t>рекомендуется</w:t>
      </w:r>
      <w:r w:rsidRPr="00841177">
        <w:t xml:space="preserve"> при наличии возможности выполнить позитронную эмиссионную томографию всего тела с туморотропными</w:t>
      </w:r>
      <w:r w:rsidR="00B96E9F" w:rsidRPr="00B96E9F">
        <w:t xml:space="preserve"> </w:t>
      </w:r>
      <w:r w:rsidRPr="00841177">
        <w:t>радиофармпрепаратами</w:t>
      </w:r>
      <w:r w:rsidR="00B96E9F" w:rsidRPr="00B96E9F">
        <w:t xml:space="preserve"> </w:t>
      </w:r>
      <w:r w:rsidRPr="00841177">
        <w:t>(РФП)</w:t>
      </w:r>
      <w:r w:rsidR="00B96E9F" w:rsidRPr="00B96E9F">
        <w:t xml:space="preserve"> </w:t>
      </w:r>
      <w:r w:rsidRPr="00841177">
        <w:t>(фтордезоксиглюкозой) для более точного стадирования заболевания и лучшей оценки эффекта на терапию</w:t>
      </w:r>
      <w:r w:rsidR="00B96E9F" w:rsidRPr="00B96E9F">
        <w:t xml:space="preserve"> </w:t>
      </w:r>
      <w:r w:rsidRPr="00841177">
        <w:fldChar w:fldCharType="begin" w:fldLock="1"/>
      </w:r>
      <w:r w:rsidR="00F83A41">
        <w:instrText>ADDIN CSL_CITATION {"citationItems":[{"id":"ITEM-1","itemData":{"author":[{"dropping-particle":"","family":"Мухортова","given":"О.В.","non-dropping-particle":"","parse-names":false,"suffix":""}],"container-title":"Российские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Савченко.","id":"ITEM-1","issued":{"date-parts":[["2018"]]},"page":"168-179","title":"Использование ПЭТ/КТ при лимфопролиферативных заболеваниях","type":"chapter"},"uris":["http://www.mendeley.com/documents/?uuid=84c36229-beea-4ecf-a021-0d26c44a1db3"]}],"mendeley":{"formattedCitation":"[15]","plainTextFormattedCitation":"[15]","previouslyFormattedCitation":"[15]"},"properties":{"noteIndex":0},"schema":"https://github.com/citation-style-language/schema/raw/master/csl-citation.json"}</w:instrText>
      </w:r>
      <w:r w:rsidRPr="00841177">
        <w:fldChar w:fldCharType="separate"/>
      </w:r>
      <w:r w:rsidR="007944ED" w:rsidRPr="00841177">
        <w:rPr>
          <w:noProof/>
        </w:rPr>
        <w:t>[15]</w:t>
      </w:r>
      <w:r w:rsidRPr="00841177">
        <w:fldChar w:fldCharType="end"/>
      </w:r>
      <w:r w:rsidRPr="00841177">
        <w:t>.</w:t>
      </w:r>
    </w:p>
    <w:p w14:paraId="4F27D096" w14:textId="77777777" w:rsidR="003E2441" w:rsidRPr="00841177" w:rsidRDefault="003E2441" w:rsidP="00841177">
      <w:pPr>
        <w:ind w:left="709" w:firstLine="0"/>
        <w:contextualSpacing/>
        <w:divId w:val="266810958"/>
        <w:rPr>
          <w:b/>
        </w:rPr>
      </w:pPr>
      <w:r w:rsidRPr="00841177">
        <w:rPr>
          <w:b/>
        </w:rPr>
        <w:lastRenderedPageBreak/>
        <w:t>Уровень убедительности рекомендаций С (уровень достоверности доказательств 5).</w:t>
      </w:r>
    </w:p>
    <w:p w14:paraId="4579F2B8" w14:textId="5B1AB374" w:rsidR="003E2441" w:rsidRPr="00841177" w:rsidRDefault="003E2441" w:rsidP="00B96E9F">
      <w:pPr>
        <w:pStyle w:val="afd"/>
        <w:ind w:left="0"/>
        <w:divId w:val="266810958"/>
        <w:rPr>
          <w:i/>
        </w:rPr>
      </w:pPr>
      <w:r w:rsidRPr="00841177">
        <w:rPr>
          <w:b/>
        </w:rPr>
        <w:t>Комментарии:</w:t>
      </w:r>
      <w:r w:rsidR="00B96E9F" w:rsidRPr="00B96E9F">
        <w:rPr>
          <w:b/>
        </w:rPr>
        <w:t xml:space="preserve"> </w:t>
      </w:r>
      <w:r w:rsidRPr="00841177">
        <w:rPr>
          <w:i/>
        </w:rPr>
        <w:t>позитронная эмиссионная томография, совмещенная с компьютерной томографией (ПЭТ/КТ), высокоинформативным методом диагностики. ПЭТ/КТ, выполненная до начала лечения, позволяет не только уточнить стадию, но и более точно определить локализацию очагов поражения, особенно экстранодальные вовлечения, которые могут плохо диагностироваться при КТ, что имеет существенное значение для последующей оценки эффекта терапии индукции и качественного планирования последующей лучевой терапии и минимизации облучения здоровых тканей. При наличии возможности выполнения ПЭТ/КТ, она может быть применена в соответствии с пересмотренными критериями оценки ответа, в первую очередь у пациентов с минимальным объемом опухоли, а также с учетом возможной коррекции лечения.</w:t>
      </w:r>
    </w:p>
    <w:p w14:paraId="726149B8" w14:textId="77777777" w:rsidR="003E2441" w:rsidRPr="00841177" w:rsidRDefault="003E2441" w:rsidP="00B96E9F">
      <w:pPr>
        <w:pStyle w:val="afd"/>
        <w:ind w:left="0"/>
        <w:divId w:val="266810958"/>
        <w:rPr>
          <w:i/>
        </w:rPr>
      </w:pPr>
      <w:r w:rsidRPr="00841177">
        <w:rPr>
          <w:i/>
        </w:rPr>
        <w:t xml:space="preserve">При наличии технической возможности ПЭТ/КТ должна оцениваться по шкале </w:t>
      </w:r>
      <w:r w:rsidRPr="00841177">
        <w:rPr>
          <w:i/>
          <w:lang w:val="en-US"/>
        </w:rPr>
        <w:t>Deauville</w:t>
      </w:r>
      <w:r w:rsidRPr="00841177">
        <w:rPr>
          <w:i/>
        </w:rPr>
        <w:t xml:space="preserve"> (см. приложение Г2).</w:t>
      </w:r>
    </w:p>
    <w:p w14:paraId="1955FF9F" w14:textId="77777777" w:rsidR="003E2441" w:rsidRPr="00B96E9F" w:rsidRDefault="003E2441" w:rsidP="00A72B1B">
      <w:pPr>
        <w:pStyle w:val="afd"/>
        <w:numPr>
          <w:ilvl w:val="0"/>
          <w:numId w:val="9"/>
        </w:numPr>
        <w:spacing w:before="240"/>
        <w:ind w:left="709" w:hanging="709"/>
        <w:divId w:val="266810958"/>
        <w:rPr>
          <w:color w:val="000000" w:themeColor="text1"/>
        </w:rPr>
      </w:pPr>
      <w:r w:rsidRPr="00B96E9F">
        <w:t xml:space="preserve">Всем пациентам с установленным диагнозом ЛМЗ при наличии неврологической симптоматики перед началом лечения </w:t>
      </w:r>
      <w:r w:rsidRPr="00B96E9F">
        <w:rPr>
          <w:b/>
          <w:color w:val="000000" w:themeColor="text1"/>
        </w:rPr>
        <w:t>рекомендуется</w:t>
      </w:r>
      <w:r w:rsidRPr="00B96E9F">
        <w:rPr>
          <w:color w:val="000000" w:themeColor="text1"/>
        </w:rPr>
        <w:t xml:space="preserve"> выполнить КТ или МРТ головного мозга </w:t>
      </w:r>
      <w:r w:rsidRPr="00B96E9F">
        <w:t xml:space="preserve">для исключения ЛМЗ твердой мозговой оболочки и планирования противоопухолевой терапии </w:t>
      </w:r>
      <w:r w:rsidRPr="00B96E9F">
        <w:fldChar w:fldCharType="begin" w:fldLock="1"/>
      </w:r>
      <w:r w:rsidRPr="00B96E9F">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sidRPr="00B96E9F">
        <w:fldChar w:fldCharType="separate"/>
      </w:r>
      <w:r w:rsidRPr="00B96E9F">
        <w:rPr>
          <w:noProof/>
        </w:rPr>
        <w:t>[4]</w:t>
      </w:r>
      <w:r w:rsidRPr="00B96E9F">
        <w:fldChar w:fldCharType="end"/>
      </w:r>
      <w:r w:rsidRPr="00B96E9F">
        <w:t>.</w:t>
      </w:r>
    </w:p>
    <w:p w14:paraId="133C4045" w14:textId="77777777" w:rsidR="003E2441" w:rsidRPr="00B96E9F" w:rsidRDefault="003E2441" w:rsidP="003E2441">
      <w:pPr>
        <w:pStyle w:val="afd"/>
        <w:ind w:left="709" w:firstLine="0"/>
        <w:divId w:val="266810958"/>
        <w:rPr>
          <w:color w:val="000000" w:themeColor="text1"/>
        </w:rPr>
      </w:pPr>
      <w:r w:rsidRPr="00B96E9F">
        <w:rPr>
          <w:b/>
        </w:rPr>
        <w:t>Уровень убедительности рекомендаций С (уровень достоверности доказательств 5).</w:t>
      </w:r>
    </w:p>
    <w:p w14:paraId="2D44D268" w14:textId="3ECAF4CF" w:rsidR="003E2441" w:rsidRDefault="003E2441" w:rsidP="003E2441">
      <w:pPr>
        <w:pStyle w:val="affff1"/>
        <w:ind w:left="709" w:hanging="425"/>
        <w:divId w:val="266810958"/>
      </w:pPr>
      <w:r w:rsidRPr="00C346EB">
        <w:t xml:space="preserve">Всем пациентам с установленным диагнозом </w:t>
      </w:r>
      <w:r>
        <w:t>ЛМЗ</w:t>
      </w:r>
      <w:r w:rsidRPr="00C346EB">
        <w:t>, которым планируется лечение по</w:t>
      </w:r>
      <w:r>
        <w:t xml:space="preserve"> поводу впервые установленного заболевания, либо по поводу рецидива, </w:t>
      </w:r>
      <w:r w:rsidRPr="003147A2">
        <w:rPr>
          <w:b/>
        </w:rPr>
        <w:t>рекомендуется</w:t>
      </w:r>
      <w:r w:rsidR="00B96E9F">
        <w:rPr>
          <w:b/>
        </w:rPr>
        <w:t xml:space="preserve"> </w:t>
      </w:r>
      <w:r w:rsidRPr="00154AEE">
        <w:t>для своевременного выявления сопутствующей патологии со стороны сердечно-сосудистой, дыхательной и пищеварительной систем и для определения необходимости их профилактики или лечения рекомендуется выполнить следующие исследования</w:t>
      </w:r>
      <w:r w:rsidR="00B96E9F">
        <w:t xml:space="preserve"> </w:t>
      </w:r>
      <w:r>
        <w:fldChar w:fldCharType="begin" w:fldLock="1"/>
      </w:r>
      <w: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fldChar w:fldCharType="separate"/>
      </w:r>
      <w:r w:rsidRPr="00090D97">
        <w:rPr>
          <w:noProof/>
        </w:rPr>
        <w:t>[4]</w:t>
      </w:r>
      <w:r>
        <w:fldChar w:fldCharType="end"/>
      </w:r>
      <w:r>
        <w:t>:</w:t>
      </w:r>
    </w:p>
    <w:p w14:paraId="4448ABFC" w14:textId="77777777" w:rsidR="003E2441" w:rsidRDefault="003E2441" w:rsidP="00A72B1B">
      <w:pPr>
        <w:pStyle w:val="afd"/>
        <w:numPr>
          <w:ilvl w:val="1"/>
          <w:numId w:val="9"/>
        </w:numPr>
        <w:spacing w:after="120"/>
        <w:divId w:val="266810958"/>
      </w:pPr>
      <w:r w:rsidRPr="002E5470">
        <w:t>регистраци</w:t>
      </w:r>
      <w:r>
        <w:t>ю</w:t>
      </w:r>
      <w:r w:rsidRPr="002E5470">
        <w:t xml:space="preserve"> электрокардиограммы</w:t>
      </w:r>
      <w:r>
        <w:t>, расшифровку, описание и интерпретацию электрокардиографических данных</w:t>
      </w:r>
      <w:r w:rsidRPr="00154AEE">
        <w:t>;</w:t>
      </w:r>
    </w:p>
    <w:p w14:paraId="32FAB1F9" w14:textId="77777777" w:rsidR="003E2441" w:rsidRDefault="003E2441" w:rsidP="00A72B1B">
      <w:pPr>
        <w:pStyle w:val="afd"/>
        <w:numPr>
          <w:ilvl w:val="1"/>
          <w:numId w:val="9"/>
        </w:numPr>
        <w:spacing w:before="120" w:after="120"/>
        <w:divId w:val="266810958"/>
      </w:pPr>
      <w:r w:rsidRPr="00154AEE">
        <w:t>эхокардиографию;</w:t>
      </w:r>
    </w:p>
    <w:p w14:paraId="568A659D" w14:textId="53126CF6" w:rsidR="003E2441" w:rsidRPr="00737943" w:rsidRDefault="003E2441" w:rsidP="00A72B1B">
      <w:pPr>
        <w:pStyle w:val="afd"/>
        <w:numPr>
          <w:ilvl w:val="1"/>
          <w:numId w:val="9"/>
        </w:numPr>
        <w:spacing w:before="120" w:after="120"/>
        <w:divId w:val="266810958"/>
      </w:pPr>
      <w:r w:rsidRPr="00737943">
        <w:t>ультразвуковую допплерографию сосудов (артерий и вен) нижних конечностей (с целью выявления тромбоза глубоких вен нижних конечностей)</w:t>
      </w:r>
      <w:r w:rsidR="00B96E9F">
        <w:t xml:space="preserve"> </w:t>
      </w:r>
      <w:r w:rsidRPr="00737943">
        <w:fldChar w:fldCharType="begin" w:fldLock="1"/>
      </w:r>
      <w:r w:rsidR="00F83A41">
        <w:instrText>ADDIN CSL_CITATION {"citationItems":[{"id":"ITEM-1","itemData":{"DOI":"10.5812/ircmj.14722","ISSN":"20741812","abstract":"Background: Deep vein thrombosis (DVT) is a well-recognized complication in patients with cancer. Chemotherapy and cancer surgery increase the risk of DVT in these patients. There are a few reports about the prevalence of DVT in patients with cancer regarding different managing modalities. Objectives: This study aimed to assess the prevalence of DVT in patients with cancer, who were hospitalized in teaching hospitals, according to their treatment intervention. Patients and Methods: A cross-sectional retrospective study was conducted on 602 patients with cancer in Kerman, Iran, during years 2006-2007. Among the subjects, 301 had been operated and the rest had received chemotherapy. The prevalence of DVT was determined based on patients’ variables, cancer factors, and therapeutic modalities. Results: Totally, 349 subjects (58%) were male. DVT incidence was 19.9%, most of the cases were over 40 years of age (82.2%), and 21.2% of males and 18.2% of females had developed DVT. The prevalence of DVT in chemotherapy group was higher than that in surgery group (21.9% and 17.9%, respectively); however, this difference was statistically insignificant. DVT developed more frequently in lung cancer (42%) with small cell carcinoma being the most common pathologic finding (42.9%) in those with lung cancer (P = 0.0001). Conclusions: DVT occurs frequently in patients with malignancies. In this study, there was no association between DVT prevalence and age as well as sex; nonetheless, the prevalence was significantly higher in some sites and in patients with certain pathologies. Although DVT prevalence was higher in chemotherapy than in surgery, the difference was insignificant. Informing patients with cancer about symptoms of DVT and prophylactic interventions are warranted.","author":[{"dropping-particle":"","family":"Fekri","given":"Mitra Samare","non-dropping-particle":"","parse-names":false,"suffix":""},{"dropping-particle":"","family":"Zade","given":"Mahdie Khalily","non-dropping-particle":"","parse-names":false,"suffix":""},{"dropping-particle":"","family":"Fatehi","given":"Shima","non-dropping-particle":"","parse-names":false,"suffix":""}],"container-title":"Iranian Red Crescent Medical Journal","id":"ITEM-1","issue":"9","issued":{"date-parts":[["2014","9","1"]]},"publisher":"Kowsar Medical Publishing Company","title":"The association of deep vein thrombosis with cancer treatment modality: Chemotherapy or surgery?","type":"article-journal","volume":"16"},"uris":["http://www.mendeley.com/documents/?uuid=ae10daf8-ebbd-3677-a3a8-37a3491efde5"]}],"mendeley":{"formattedCitation":"[16]","plainTextFormattedCitation":"[16]","previouslyFormattedCitation":"[16]"},"properties":{"noteIndex":0},"schema":"https://github.com/citation-style-language/schema/raw/master/csl-citation.json"}</w:instrText>
      </w:r>
      <w:r w:rsidRPr="00737943">
        <w:fldChar w:fldCharType="separate"/>
      </w:r>
      <w:r w:rsidR="007944ED" w:rsidRPr="007944ED">
        <w:rPr>
          <w:noProof/>
        </w:rPr>
        <w:t>[16]</w:t>
      </w:r>
      <w:r w:rsidRPr="00737943">
        <w:fldChar w:fldCharType="end"/>
      </w:r>
    </w:p>
    <w:p w14:paraId="1BF60BC1" w14:textId="16690ECE" w:rsidR="00094ED6" w:rsidRPr="00C81573" w:rsidRDefault="003E2441" w:rsidP="003E2441">
      <w:pPr>
        <w:pStyle w:val="aff2"/>
        <w:divId w:val="266810958"/>
      </w:pPr>
      <w:r w:rsidRPr="00267769">
        <w:rPr>
          <w:b/>
          <w:color w:val="000000" w:themeColor="text1"/>
        </w:rPr>
        <w:lastRenderedPageBreak/>
        <w:t>Уровень убедительности рекомендаций С (уровень достоверности доказательств 5).</w:t>
      </w:r>
    </w:p>
    <w:p w14:paraId="492DA33C" w14:textId="77777777" w:rsidR="00B46390" w:rsidRPr="00C81573" w:rsidRDefault="00B46390" w:rsidP="00B104EF">
      <w:pPr>
        <w:pStyle w:val="2"/>
        <w:divId w:val="266810958"/>
      </w:pPr>
      <w:bookmarkStart w:id="41" w:name="_Toc103332093"/>
      <w:r w:rsidRPr="00C81573">
        <w:t>2.5 Ин</w:t>
      </w:r>
      <w:r w:rsidR="00A70F44" w:rsidRPr="00C81573">
        <w:t>ые диагностические исследования</w:t>
      </w:r>
      <w:bookmarkEnd w:id="41"/>
    </w:p>
    <w:p w14:paraId="2AE69F16" w14:textId="0A57880A" w:rsidR="008A3A44" w:rsidRDefault="008A3A44" w:rsidP="00A72B1B">
      <w:pPr>
        <w:pStyle w:val="afd"/>
        <w:numPr>
          <w:ilvl w:val="0"/>
          <w:numId w:val="6"/>
        </w:numPr>
        <w:spacing w:before="120"/>
        <w:ind w:left="709" w:hanging="709"/>
      </w:pPr>
      <w:bookmarkStart w:id="42" w:name="__RefHeading___doc_3"/>
      <w:r>
        <w:t xml:space="preserve">Всем пациентам с подозрением на ЛМЗ или с подозрением на рецидив ЛМЗ </w:t>
      </w:r>
      <w:r w:rsidRPr="0099679A">
        <w:rPr>
          <w:b/>
        </w:rPr>
        <w:t>рекомендуется</w:t>
      </w:r>
      <w:r>
        <w:t xml:space="preserve"> выполнить биопсию (взятие биопсийного материала) лимфатического узла либо другого очага поражения, </w:t>
      </w:r>
      <w:r w:rsidRPr="00F6558C">
        <w:rPr>
          <w:rFonts w:eastAsia="Times New Roman"/>
          <w:szCs w:val="24"/>
          <w:lang w:eastAsia="ru-RU"/>
        </w:rPr>
        <w:t>патолого-анатомическое исследование биопсийного (операционного) материала с применением иммуногистохимических методов</w:t>
      </w:r>
      <w:r>
        <w:t xml:space="preserve"> для верификации диагноза </w:t>
      </w:r>
      <w:r>
        <w:fldChar w:fldCharType="begin" w:fldLock="1"/>
      </w:r>
      <w:r w:rsidR="00F83A41">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Савченко.","id":"ITEM-2","issued":{"date-parts":[["2018"]]},"page":"43-52","title":"Фолликулярная лимфома","type":"chapter"},"uris":["http://www.mendeley.com/documents/?uuid=781f2a04-d7f5-4e09-84dd-bc47849ef616"]}],"mendeley":{"formattedCitation":"[4,17]","plainTextFormattedCitation":"[4,17]","previouslyFormattedCitation":"[4,17]"},"properties":{"noteIndex":0},"schema":"https://github.com/citation-style-language/schema/raw/master/csl-citation.json"}</w:instrText>
      </w:r>
      <w:r>
        <w:fldChar w:fldCharType="separate"/>
      </w:r>
      <w:r w:rsidR="00F83A41" w:rsidRPr="00F83A41">
        <w:rPr>
          <w:noProof/>
        </w:rPr>
        <w:t>[4,17]</w:t>
      </w:r>
      <w:r>
        <w:fldChar w:fldCharType="end"/>
      </w:r>
      <w:r>
        <w:t>.</w:t>
      </w:r>
    </w:p>
    <w:p w14:paraId="6C71CADC" w14:textId="77777777" w:rsidR="008A3A44" w:rsidRDefault="008A3A44" w:rsidP="008A3A44">
      <w:pPr>
        <w:ind w:left="709" w:firstLine="0"/>
        <w:contextualSpacing/>
        <w:rPr>
          <w:b/>
        </w:rPr>
      </w:pPr>
      <w:r w:rsidRPr="00342C61">
        <w:rPr>
          <w:b/>
        </w:rPr>
        <w:t>Уровень убедительности рекомендаций С (уровень достоверности доказательств 5)</w:t>
      </w:r>
    </w:p>
    <w:p w14:paraId="648038C7" w14:textId="533D1D44" w:rsidR="008A3A44" w:rsidRPr="00B16826" w:rsidRDefault="008A3A44" w:rsidP="008A3A44">
      <w:pPr>
        <w:contextualSpacing/>
        <w:rPr>
          <w:i/>
        </w:rPr>
      </w:pPr>
      <w:r w:rsidRPr="0099679A">
        <w:rPr>
          <w:b/>
        </w:rPr>
        <w:t>Комментарии:</w:t>
      </w:r>
      <w:r>
        <w:rPr>
          <w:b/>
        </w:rPr>
        <w:t xml:space="preserve"> </w:t>
      </w:r>
      <w:r w:rsidRPr="00B16826">
        <w:rPr>
          <w:i/>
        </w:rPr>
        <w:t>выбор</w:t>
      </w:r>
      <w:r>
        <w:rPr>
          <w:i/>
        </w:rPr>
        <w:t xml:space="preserve"> </w:t>
      </w:r>
      <w:r w:rsidRPr="00B16826">
        <w:rPr>
          <w:i/>
        </w:rPr>
        <w:t>ткани и объем биопсии должны быть адекватны поставленной диагностической задаче.</w:t>
      </w:r>
      <w:r>
        <w:rPr>
          <w:i/>
        </w:rPr>
        <w:t xml:space="preserve"> В случае доступного для биопсии лимфатического узла целесообразно полное его удаление.</w:t>
      </w:r>
    </w:p>
    <w:p w14:paraId="260F2900" w14:textId="78A9B4E9" w:rsidR="008A3A44" w:rsidRPr="008A3A44" w:rsidRDefault="008A3A44" w:rsidP="008A3A44">
      <w:pPr>
        <w:pStyle w:val="affff1"/>
        <w:spacing w:before="0"/>
        <w:ind w:left="924" w:hanging="357"/>
        <w:rPr>
          <w:i/>
          <w:iCs/>
        </w:rPr>
      </w:pPr>
      <w:r w:rsidRPr="008A3A44">
        <w:rPr>
          <w:i/>
          <w:iCs/>
        </w:rPr>
        <w:t xml:space="preserve">Тонкоигольные биопсии лимфоидной ткани могут быть диагностически значимыми, но не всегда </w:t>
      </w:r>
    </w:p>
    <w:p w14:paraId="2EA49E65" w14:textId="499F1692" w:rsidR="008A3A44" w:rsidRPr="008A3A44" w:rsidRDefault="008A3A44" w:rsidP="008A3A44">
      <w:pPr>
        <w:pStyle w:val="affff1"/>
        <w:spacing w:before="0"/>
        <w:ind w:left="924" w:hanging="357"/>
        <w:rPr>
          <w:i/>
          <w:iCs/>
        </w:rPr>
      </w:pPr>
      <w:r w:rsidRPr="008A3A44">
        <w:rPr>
          <w:i/>
          <w:iCs/>
        </w:rPr>
        <w:t>Краевые биопсии лимфоидной ткани мало информативны.</w:t>
      </w:r>
    </w:p>
    <w:p w14:paraId="7C5D67C6" w14:textId="5A39F410" w:rsidR="008A3A44" w:rsidRPr="008A3A44" w:rsidRDefault="008A3A44" w:rsidP="008A3A44">
      <w:pPr>
        <w:pStyle w:val="affff1"/>
        <w:spacing w:before="0"/>
        <w:ind w:left="924" w:hanging="357"/>
        <w:rPr>
          <w:i/>
          <w:iCs/>
        </w:rPr>
      </w:pPr>
      <w:r w:rsidRPr="008A3A44">
        <w:rPr>
          <w:i/>
          <w:iCs/>
        </w:rPr>
        <w:t>Фрагментация материала крайне затрудняет его оценку.</w:t>
      </w:r>
    </w:p>
    <w:p w14:paraId="26630407" w14:textId="7B574680" w:rsidR="008A3A44" w:rsidRPr="008A3A44" w:rsidRDefault="008A3A44" w:rsidP="008A3A44">
      <w:pPr>
        <w:pStyle w:val="affff1"/>
        <w:spacing w:before="0"/>
        <w:ind w:left="924" w:hanging="357"/>
        <w:rPr>
          <w:i/>
          <w:iCs/>
        </w:rPr>
      </w:pPr>
      <w:r w:rsidRPr="008A3A44">
        <w:rPr>
          <w:i/>
          <w:iCs/>
        </w:rPr>
        <w:t xml:space="preserve">Материал для гистологического исследования должен быть помещён в фиксирующую среду как можно быстрее. Нельзя допускать высыхания материала. </w:t>
      </w:r>
    </w:p>
    <w:p w14:paraId="3F9E4600" w14:textId="0C1D3560" w:rsidR="008A3A44" w:rsidRPr="008A3A44" w:rsidRDefault="008A3A44" w:rsidP="008A3A44">
      <w:pPr>
        <w:pStyle w:val="affff1"/>
        <w:spacing w:before="0"/>
        <w:ind w:left="924" w:hanging="357"/>
        <w:rPr>
          <w:i/>
          <w:iCs/>
        </w:rPr>
      </w:pPr>
      <w:r w:rsidRPr="008A3A44">
        <w:rPr>
          <w:i/>
          <w:iCs/>
        </w:rPr>
        <w:t>Соотношение объёма фиксирующей среды к объёму фиксируемого объекта не менее чем 10:1</w:t>
      </w:r>
    </w:p>
    <w:p w14:paraId="35F05673" w14:textId="7A15AE7F" w:rsidR="008A3A44" w:rsidRPr="008A3A44" w:rsidRDefault="008A3A44" w:rsidP="008A3A44">
      <w:pPr>
        <w:pStyle w:val="affff1"/>
        <w:spacing w:before="0"/>
        <w:ind w:left="924" w:hanging="357"/>
        <w:rPr>
          <w:i/>
          <w:iCs/>
        </w:rPr>
      </w:pPr>
      <w:r w:rsidRPr="008A3A44">
        <w:rPr>
          <w:i/>
          <w:iCs/>
        </w:rPr>
        <w:t>Время фиксации не должно быть менее 12 и более 48 часов.</w:t>
      </w:r>
    </w:p>
    <w:p w14:paraId="60315B8F" w14:textId="77777777" w:rsidR="008A3A44" w:rsidRPr="00B16826" w:rsidRDefault="008A3A44" w:rsidP="008A3A44">
      <w:pPr>
        <w:contextualSpacing/>
        <w:rPr>
          <w:i/>
        </w:rPr>
      </w:pPr>
      <w:r w:rsidRPr="00B16826">
        <w:rPr>
          <w:i/>
        </w:rPr>
        <w:t>Неадекватная (слабая или чрезмерная) фиксация приводит к изменению морфологических свойств ткани и артефициальным результатам ИГХ.</w:t>
      </w:r>
    </w:p>
    <w:p w14:paraId="6092585C" w14:textId="5B6AE04B" w:rsidR="008A3A44" w:rsidRDefault="008A3A44" w:rsidP="008A3A44">
      <w:pPr>
        <w:contextualSpacing/>
        <w:rPr>
          <w:i/>
        </w:rPr>
      </w:pPr>
      <w:r w:rsidRPr="00B16826">
        <w:rPr>
          <w:i/>
        </w:rPr>
        <w:t>Гистологический материал должен сопровождаться направлением, содержащим информацию о пациенте, длительности и характере заболевания, локализации очага поражения, описании биопсии</w:t>
      </w:r>
      <w:r>
        <w:rPr>
          <w:i/>
        </w:rPr>
        <w:t xml:space="preserve"> </w:t>
      </w:r>
      <w:r>
        <w:rPr>
          <w:i/>
        </w:rPr>
        <w:fldChar w:fldCharType="begin" w:fldLock="1"/>
      </w:r>
      <w:r w:rsidR="00F83A41">
        <w:rPr>
          <w:i/>
        </w:rPr>
        <w:instrText>ADDIN CSL_CITATION {"citationItems":[{"id":"ITEM-1","itemData":{"author":[{"dropping-particle":"","family":"Криволапов","given":"Ю.А.","non-dropping-particle":"","parse-names":false,"suffix":""},{"dropping-particle":"","family":"Леенман","given":"Е.Е.","non-dropping-particle":"","parse-names":false,"suffix":""}],"id":"ITEM-1","issued":{"date-parts":[["2006"]]},"publisher":"КОСТА, Санкт-Петербург","title":"Морфологическая диагностика лимфом","type":"book"},"uris":["http://www.mendeley.com/documents/?uuid=e5e5daac-5f8a-4f1d-9717-13c0235ef6a9"]}],"mendeley":{"formattedCitation":"[18]","plainTextFormattedCitation":"[18]","previouslyFormattedCitation":"[18]"},"properties":{"noteIndex":0},"schema":"https://github.com/citation-style-language/schema/raw/master/csl-citation.json"}</w:instrText>
      </w:r>
      <w:r>
        <w:rPr>
          <w:i/>
        </w:rPr>
        <w:fldChar w:fldCharType="separate"/>
      </w:r>
      <w:r w:rsidR="00F83A41" w:rsidRPr="00F83A41">
        <w:rPr>
          <w:noProof/>
        </w:rPr>
        <w:t>[18]</w:t>
      </w:r>
      <w:r>
        <w:rPr>
          <w:i/>
        </w:rPr>
        <w:fldChar w:fldCharType="end"/>
      </w:r>
      <w:r w:rsidRPr="00B16826">
        <w:rPr>
          <w:i/>
        </w:rPr>
        <w:t>.</w:t>
      </w:r>
    </w:p>
    <w:p w14:paraId="6954B256" w14:textId="2F75C783" w:rsidR="008A3A44" w:rsidRDefault="008A3A44" w:rsidP="008A3A44">
      <w:pPr>
        <w:contextualSpacing/>
        <w:rPr>
          <w:i/>
        </w:rPr>
      </w:pPr>
      <w:r>
        <w:rPr>
          <w:i/>
        </w:rPr>
        <w:t xml:space="preserve">Гистологические и иммуногистохимические характеристики ЛМЗ, а также </w:t>
      </w:r>
      <w:r w:rsidRPr="005E12CF">
        <w:rPr>
          <w:i/>
        </w:rPr>
        <w:t>обязательные требования к патолого-анатомическому заключению представлены в разделе 7.1 данных рекомендаций.</w:t>
      </w:r>
      <w:r>
        <w:rPr>
          <w:i/>
        </w:rPr>
        <w:t xml:space="preserve"> </w:t>
      </w:r>
      <w:r w:rsidRPr="005E12CF">
        <w:rPr>
          <w:i/>
        </w:rPr>
        <w:t>Описание</w:t>
      </w:r>
      <w:r>
        <w:rPr>
          <w:i/>
        </w:rPr>
        <w:t xml:space="preserve"> патолого-анатомической</w:t>
      </w:r>
      <w:r w:rsidRPr="005E12CF">
        <w:rPr>
          <w:i/>
        </w:rPr>
        <w:t xml:space="preserve"> и иммуногистохимической картины </w:t>
      </w:r>
      <w:r>
        <w:rPr>
          <w:i/>
        </w:rPr>
        <w:t>ЛМЗ</w:t>
      </w:r>
      <w:r w:rsidRPr="005E12CF">
        <w:rPr>
          <w:i/>
        </w:rPr>
        <w:t xml:space="preserve"> представлено в разделе 7.2 данны</w:t>
      </w:r>
      <w:r w:rsidRPr="0064071E">
        <w:rPr>
          <w:i/>
        </w:rPr>
        <w:t>х рекомендаций</w:t>
      </w:r>
      <w:r>
        <w:rPr>
          <w:i/>
        </w:rPr>
        <w:t>.</w:t>
      </w:r>
    </w:p>
    <w:p w14:paraId="714A832D" w14:textId="6CC24832" w:rsidR="008A3A44" w:rsidRPr="00342C61" w:rsidRDefault="008A3A44" w:rsidP="008A3A44">
      <w:pPr>
        <w:pStyle w:val="affff1"/>
        <w:ind w:left="709" w:hanging="425"/>
      </w:pPr>
      <w:r>
        <w:lastRenderedPageBreak/>
        <w:t xml:space="preserve">Всем пациентам с верифицированным ЛМЗ </w:t>
      </w:r>
      <w:r w:rsidRPr="000E7A74">
        <w:t>с наличием экстранодальных очагов</w:t>
      </w:r>
      <w:r>
        <w:t xml:space="preserve"> (слизистые, желудок, орбита, кишечник и др.) при наличии возможности </w:t>
      </w:r>
      <w:r w:rsidRPr="0099679A">
        <w:rPr>
          <w:b/>
        </w:rPr>
        <w:t>рекомендуется</w:t>
      </w:r>
      <w:r>
        <w:t xml:space="preserve"> выполнить </w:t>
      </w:r>
      <w:r w:rsidRPr="00F6558C">
        <w:rPr>
          <w:rFonts w:eastAsia="Times New Roman"/>
          <w:lang w:eastAsia="ru-RU"/>
        </w:rPr>
        <w:t xml:space="preserve">патолого-анатомическое исследование биопсийного (операционного) материала </w:t>
      </w:r>
      <w:r>
        <w:t xml:space="preserve">с применением метода </w:t>
      </w:r>
      <w:r w:rsidRPr="00342C61">
        <w:t>флуоресцентной гибридизации in</w:t>
      </w:r>
      <w:r>
        <w:t xml:space="preserve"> </w:t>
      </w:r>
      <w:r w:rsidRPr="00342C61">
        <w:t xml:space="preserve">situ (FISH) для исключения </w:t>
      </w:r>
      <w:r w:rsidRPr="00342C61">
        <w:rPr>
          <w:lang w:val="en-US"/>
        </w:rPr>
        <w:t>t</w:t>
      </w:r>
      <w:r w:rsidRPr="00342C61">
        <w:t xml:space="preserve">(11;18) </w:t>
      </w:r>
      <w:r w:rsidRPr="00342C61">
        <w:fldChar w:fldCharType="begin" w:fldLock="1"/>
      </w:r>
      <w:r w:rsidR="00F83A41">
        <w:instrText>ADDIN CSL_CITATION {"citationItems":[{"id":"ITEM-1","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Савченко.","id":"ITEM-1","issued":{"date-parts":[["2018"]]},"page":"52-58","title":"Лимфома маргинальной зоны","type":"chapter"},"uris":["http://www.mendeley.com/documents/?uuid=041f4bbf-3ac6-4dfd-84b7-b81c4236a79d"]},{"id":"ITEM-2","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Oncology","id":"ITEM-2","issue":"1","issued":{"date-parts":[["2020","1","1"]]},"page":"17-29","publisher":"Elsevier Ltd","title":"Marginal zone lymphomas: ESMO Clinical Practice Guidelines for diagnosis, treatment and follow-up","type":"article-journal","volume":"31"},"uris":["http://www.mendeley.com/documents/?uuid=fbdf0c05-49c8-3abf-834c-701e85508549"]},{"id":"ITEM-3","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-3","issued":{"date-parts":[["0"]]},"title":"B-cell lymphomas. NCCN Clinical Practice Guidelines in Oncology. Version 5.2019","type":"article"},"uris":["http://www.mendeley.com/documents/?uuid=4e117fbe-c678-350d-9b0c-f8bba5d6f848"]}],"mendeley":{"formattedCitation":"[3,5,11]","plainTextFormattedCitation":"[3,5,11]","previouslyFormattedCitation":"[3,5,11]"},"properties":{"noteIndex":0},"schema":"https://github.com/citation-style-language/schema/raw/master/csl-citation.json"}</w:instrText>
      </w:r>
      <w:r w:rsidRPr="00342C61">
        <w:fldChar w:fldCharType="separate"/>
      </w:r>
      <w:r w:rsidR="00F83A41" w:rsidRPr="00F83A41">
        <w:rPr>
          <w:noProof/>
        </w:rPr>
        <w:t>[3,5,11]</w:t>
      </w:r>
      <w:r w:rsidRPr="00342C61">
        <w:fldChar w:fldCharType="end"/>
      </w:r>
      <w:r w:rsidRPr="00342C61">
        <w:t>.</w:t>
      </w:r>
    </w:p>
    <w:p w14:paraId="529751CE" w14:textId="77777777" w:rsidR="008A3A44" w:rsidRPr="00342C61" w:rsidRDefault="008A3A44" w:rsidP="008A3A44">
      <w:pPr>
        <w:ind w:left="709" w:firstLine="0"/>
        <w:contextualSpacing/>
        <w:rPr>
          <w:b/>
        </w:rPr>
      </w:pPr>
      <w:r w:rsidRPr="00342C61">
        <w:rPr>
          <w:b/>
        </w:rPr>
        <w:t>Уровень убедительности рекомендаций С (уровень достоверности доказательств 5)</w:t>
      </w:r>
    </w:p>
    <w:p w14:paraId="122A1A70" w14:textId="1885AC28" w:rsidR="008A3A44" w:rsidRDefault="008A3A44" w:rsidP="008A3A44">
      <w:pPr>
        <w:ind w:firstLine="720"/>
        <w:rPr>
          <w:rFonts w:eastAsia="Times New Roman"/>
          <w:color w:val="000000" w:themeColor="text1"/>
          <w:szCs w:val="24"/>
          <w:lang w:eastAsia="ru-RU"/>
        </w:rPr>
      </w:pPr>
      <w:r w:rsidRPr="00342C61">
        <w:rPr>
          <w:b/>
        </w:rPr>
        <w:t>Комментарии:</w:t>
      </w:r>
      <w:r>
        <w:rPr>
          <w:b/>
        </w:rPr>
        <w:t xml:space="preserve"> </w:t>
      </w:r>
      <w:r w:rsidRPr="00F6217A">
        <w:rPr>
          <w:i/>
        </w:rPr>
        <w:t>t(11;18) является неблагоприятным фактором прогноза</w:t>
      </w:r>
      <w:r w:rsidRPr="008A0973">
        <w:rPr>
          <w:i/>
        </w:rPr>
        <w:t xml:space="preserve"> ответа на антибактериальную терапию и требует выбора иного метода лечения</w:t>
      </w:r>
    </w:p>
    <w:p w14:paraId="744502EA" w14:textId="475968B1" w:rsidR="008A3A44" w:rsidRDefault="008A3A44" w:rsidP="008A3A44">
      <w:pPr>
        <w:pStyle w:val="affff1"/>
        <w:ind w:left="709" w:hanging="425"/>
        <w:rPr>
          <w:lang w:eastAsia="ru-RU"/>
        </w:rPr>
      </w:pPr>
      <w:r>
        <w:rPr>
          <w:lang w:eastAsia="ru-RU"/>
        </w:rPr>
        <w:t xml:space="preserve">Всем </w:t>
      </w:r>
      <w:r w:rsidRPr="006E6304">
        <w:rPr>
          <w:lang w:eastAsia="ru-RU"/>
        </w:rPr>
        <w:t xml:space="preserve">пациентам при подозрении или наличии подтвержденного диагноза </w:t>
      </w:r>
      <w:r>
        <w:rPr>
          <w:lang w:eastAsia="ru-RU"/>
        </w:rPr>
        <w:t>ЛМЗ</w:t>
      </w:r>
      <w:r w:rsidRPr="006E6304">
        <w:rPr>
          <w:lang w:eastAsia="ru-RU"/>
        </w:rPr>
        <w:t xml:space="preserve"> первично (</w:t>
      </w:r>
      <w:r>
        <w:rPr>
          <w:lang w:eastAsia="ru-RU"/>
        </w:rPr>
        <w:t>для стадирования заболевания)</w:t>
      </w:r>
      <w:r w:rsidRPr="006E6304">
        <w:rPr>
          <w:lang w:eastAsia="ru-RU"/>
        </w:rPr>
        <w:t>, после завершения терапии</w:t>
      </w:r>
      <w:r>
        <w:rPr>
          <w:lang w:eastAsia="ru-RU"/>
        </w:rPr>
        <w:t>(для</w:t>
      </w:r>
      <w:r w:rsidRPr="006E6304">
        <w:rPr>
          <w:lang w:eastAsia="ru-RU"/>
        </w:rPr>
        <w:t xml:space="preserve"> оценк</w:t>
      </w:r>
      <w:r>
        <w:rPr>
          <w:lang w:eastAsia="ru-RU"/>
        </w:rPr>
        <w:t>и</w:t>
      </w:r>
      <w:r w:rsidRPr="006E6304">
        <w:rPr>
          <w:lang w:eastAsia="ru-RU"/>
        </w:rPr>
        <w:t xml:space="preserve"> противоопухолевого ответа</w:t>
      </w:r>
      <w:r>
        <w:rPr>
          <w:lang w:eastAsia="ru-RU"/>
        </w:rPr>
        <w:t>)</w:t>
      </w:r>
      <w:r w:rsidRPr="006E6304">
        <w:rPr>
          <w:lang w:eastAsia="ru-RU"/>
        </w:rPr>
        <w:t>, при подозрении на рецидив заболевания</w:t>
      </w:r>
      <w:r>
        <w:rPr>
          <w:lang w:eastAsia="ru-RU"/>
        </w:rPr>
        <w:t xml:space="preserve"> </w:t>
      </w:r>
      <w:r w:rsidRPr="006C0C64">
        <w:rPr>
          <w:b/>
          <w:bCs/>
          <w:lang w:eastAsia="ru-RU"/>
        </w:rPr>
        <w:t>рекомендуется</w:t>
      </w:r>
      <w:r>
        <w:rPr>
          <w:b/>
          <w:bCs/>
          <w:lang w:eastAsia="ru-RU"/>
        </w:rPr>
        <w:t xml:space="preserve"> </w:t>
      </w:r>
      <w:r>
        <w:rPr>
          <w:b/>
          <w:bCs/>
          <w:lang w:eastAsia="ru-RU"/>
        </w:rPr>
        <w:fldChar w:fldCharType="begin" w:fldLock="1"/>
      </w:r>
      <w:r>
        <w:rPr>
          <w:b/>
          <w:bCs/>
          <w:lang w:eastAsia="ru-RU"/>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rPr>
          <w:b/>
          <w:bCs/>
          <w:lang w:eastAsia="ru-RU"/>
        </w:rPr>
        <w:fldChar w:fldCharType="separate"/>
      </w:r>
      <w:r w:rsidRPr="00090D97">
        <w:rPr>
          <w:bCs/>
          <w:noProof/>
          <w:lang w:eastAsia="ru-RU"/>
        </w:rPr>
        <w:t>[4]</w:t>
      </w:r>
      <w:r>
        <w:rPr>
          <w:b/>
          <w:bCs/>
          <w:lang w:eastAsia="ru-RU"/>
        </w:rPr>
        <w:fldChar w:fldCharType="end"/>
      </w:r>
      <w:r w:rsidRPr="008A3A44">
        <w:rPr>
          <w:lang w:eastAsia="ru-RU"/>
        </w:rPr>
        <w:t>:</w:t>
      </w:r>
    </w:p>
    <w:p w14:paraId="168DCF1C" w14:textId="7F2D7B42" w:rsidR="008A3A44" w:rsidRPr="00EF5C06" w:rsidRDefault="008A3A44" w:rsidP="00A72B1B">
      <w:pPr>
        <w:numPr>
          <w:ilvl w:val="1"/>
          <w:numId w:val="10"/>
        </w:numPr>
        <w:rPr>
          <w:rFonts w:eastAsia="Times New Roman"/>
          <w:color w:val="000000" w:themeColor="text1"/>
          <w:szCs w:val="24"/>
          <w:lang w:eastAsia="ru-RU"/>
        </w:rPr>
      </w:pPr>
      <w:r w:rsidRPr="00EF5C06">
        <w:t>получение цитологического препарата костного мозга путем пункции</w:t>
      </w:r>
      <w:r w:rsidRPr="00EF5C06">
        <w:rPr>
          <w:rFonts w:eastAsia="Times New Roman"/>
          <w:color w:val="000000" w:themeColor="text1"/>
          <w:szCs w:val="24"/>
          <w:lang w:eastAsia="ru-RU"/>
        </w:rPr>
        <w:t>, цитологическое исследование мазка костного мозга (миелограмма), а</w:t>
      </w:r>
      <w:r>
        <w:rPr>
          <w:rFonts w:eastAsia="Times New Roman"/>
          <w:color w:val="000000" w:themeColor="text1"/>
          <w:szCs w:val="24"/>
          <w:lang w:eastAsia="ru-RU"/>
        </w:rPr>
        <w:t xml:space="preserve"> </w:t>
      </w:r>
      <w:r w:rsidRPr="00EF5C06">
        <w:rPr>
          <w:rFonts w:eastAsia="Times New Roman"/>
          <w:color w:val="000000" w:themeColor="text1"/>
          <w:szCs w:val="24"/>
          <w:lang w:eastAsia="ru-RU"/>
        </w:rPr>
        <w:t>при повышении количества лимфоидных клеток, наличия атипичных лимфоцитов или клеток с бластной морфологией в костном мозге –исследование биологического материала (аспирата костного мозга) методом проточной цито</w:t>
      </w:r>
      <w:r>
        <w:rPr>
          <w:rFonts w:eastAsia="Times New Roman"/>
          <w:color w:val="000000" w:themeColor="text1"/>
          <w:szCs w:val="24"/>
          <w:lang w:eastAsia="ru-RU"/>
        </w:rPr>
        <w:t>фл</w:t>
      </w:r>
      <w:r w:rsidRPr="00EF5C06">
        <w:rPr>
          <w:rFonts w:eastAsia="Times New Roman"/>
          <w:color w:val="000000" w:themeColor="text1"/>
          <w:szCs w:val="24"/>
          <w:lang w:eastAsia="ru-RU"/>
        </w:rPr>
        <w:t>уориметрии</w:t>
      </w:r>
      <w:r>
        <w:rPr>
          <w:rFonts w:eastAsia="Times New Roman"/>
          <w:color w:val="000000" w:themeColor="text1"/>
          <w:szCs w:val="24"/>
          <w:lang w:eastAsia="ru-RU"/>
        </w:rPr>
        <w:t>;</w:t>
      </w:r>
    </w:p>
    <w:p w14:paraId="594F21A3" w14:textId="77777777" w:rsidR="008A3A44" w:rsidRPr="00342C61" w:rsidRDefault="008A3A44" w:rsidP="00A72B1B">
      <w:pPr>
        <w:numPr>
          <w:ilvl w:val="1"/>
          <w:numId w:val="10"/>
        </w:numPr>
        <w:rPr>
          <w:rFonts w:eastAsia="Times New Roman"/>
          <w:color w:val="000000" w:themeColor="text1"/>
          <w:szCs w:val="24"/>
          <w:lang w:eastAsia="ru-RU"/>
        </w:rPr>
      </w:pPr>
      <w:r w:rsidRPr="00EF5C06">
        <w:rPr>
          <w:rFonts w:eastAsia="Times New Roman"/>
          <w:color w:val="000000" w:themeColor="text1"/>
          <w:szCs w:val="24"/>
          <w:lang w:eastAsia="ru-RU"/>
        </w:rPr>
        <w:t xml:space="preserve">получение гистологического препарата костного мозга (трепанобиопсия), патолого-анатомическое исследование биопсийного (операционного) материала костного мозга с применением </w:t>
      </w:r>
      <w:r w:rsidRPr="00342C61">
        <w:rPr>
          <w:rFonts w:eastAsia="Times New Roman"/>
          <w:color w:val="000000" w:themeColor="text1"/>
          <w:szCs w:val="24"/>
          <w:lang w:eastAsia="ru-RU"/>
        </w:rPr>
        <w:t>иммуногистохимических методов.</w:t>
      </w:r>
    </w:p>
    <w:p w14:paraId="4BCA5A75" w14:textId="77777777" w:rsidR="008A3A44" w:rsidRPr="00342C61" w:rsidRDefault="008A3A44" w:rsidP="008A3A44">
      <w:pPr>
        <w:ind w:left="709" w:firstLine="0"/>
        <w:contextualSpacing/>
        <w:rPr>
          <w:b/>
          <w:color w:val="000000" w:themeColor="text1"/>
        </w:rPr>
      </w:pPr>
      <w:r w:rsidRPr="00342C61">
        <w:rPr>
          <w:b/>
          <w:color w:val="000000" w:themeColor="text1"/>
        </w:rPr>
        <w:t>Уровень убедительности рекомендаций С (уровень достоверности доказательств 5).</w:t>
      </w:r>
    </w:p>
    <w:p w14:paraId="2CFD1817" w14:textId="0EDE9907" w:rsidR="008A3A44" w:rsidRPr="007C192F" w:rsidRDefault="008A3A44" w:rsidP="008A3A44">
      <w:pPr>
        <w:ind w:firstLine="720"/>
        <w:rPr>
          <w:i/>
        </w:rPr>
      </w:pPr>
      <w:r w:rsidRPr="00F6217A">
        <w:rPr>
          <w:b/>
          <w:color w:val="000000" w:themeColor="text1"/>
        </w:rPr>
        <w:t>Комментарии:</w:t>
      </w:r>
      <w:r>
        <w:rPr>
          <w:b/>
          <w:color w:val="000000" w:themeColor="text1"/>
        </w:rPr>
        <w:t xml:space="preserve"> </w:t>
      </w:r>
      <w:r w:rsidRPr="00F6217A">
        <w:rPr>
          <w:i/>
        </w:rPr>
        <w:t>исследование костного мозга (аспират и трепанат) также рекомендуется при появлении клинически немотивированных цитопении и лихорадки (вне зависимости от наличия исходного поражения).</w:t>
      </w:r>
    </w:p>
    <w:p w14:paraId="0491FF2E" w14:textId="793643CA" w:rsidR="008A3A44" w:rsidRPr="00342C61" w:rsidRDefault="008A3A44" w:rsidP="00A72B1B">
      <w:pPr>
        <w:pStyle w:val="afd"/>
        <w:numPr>
          <w:ilvl w:val="0"/>
          <w:numId w:val="9"/>
        </w:numPr>
        <w:spacing w:before="120" w:after="120"/>
        <w:ind w:left="709" w:hanging="709"/>
      </w:pPr>
      <w:r w:rsidRPr="007C192F">
        <w:t xml:space="preserve">Всем пациентам при установлении диагноза ЛМЗ желудка </w:t>
      </w:r>
      <w:r w:rsidRPr="007C192F">
        <w:rPr>
          <w:b/>
          <w:color w:val="000000" w:themeColor="text1"/>
        </w:rPr>
        <w:t>рекомендуется</w:t>
      </w:r>
      <w:r w:rsidRPr="007C192F">
        <w:rPr>
          <w:color w:val="000000" w:themeColor="text1"/>
        </w:rPr>
        <w:t xml:space="preserve"> выполнить </w:t>
      </w:r>
      <w:r w:rsidRPr="007C192F">
        <w:t>микробиологическое (культуральное) исследование биоптата стенки желудка на хеликобактер</w:t>
      </w:r>
      <w:r>
        <w:t xml:space="preserve"> </w:t>
      </w:r>
      <w:r w:rsidRPr="007C192F">
        <w:t>пилори (Helicobacter</w:t>
      </w:r>
      <w:r>
        <w:t xml:space="preserve"> </w:t>
      </w:r>
      <w:r w:rsidRPr="007C192F">
        <w:t xml:space="preserve">pylori) с определением чувствительности к антибактериальным препаратам </w:t>
      </w:r>
      <w:r w:rsidRPr="00342C61">
        <w:rPr>
          <w:szCs w:val="24"/>
        </w:rPr>
        <w:fldChar w:fldCharType="begin" w:fldLock="1"/>
      </w:r>
      <w:r w:rsidR="00F83A41">
        <w:rPr>
          <w:szCs w:val="24"/>
        </w:rPr>
        <w:instrText>ADDIN CSL_CITATION {"citationItems":[{"id":"ITEM-1","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Савченко.","id":"ITEM-1","issued":{"date-parts":[["2018"]]},"page":"52-58","title":"Лимфома маргинальной зоны","type":"chapter"},"uris":["http://www.mendeley.com/documents/?uuid=041f4bbf-3ac6-4dfd-84b7-b81c4236a79d"]},{"id":"ITEM-2","itemData":{"author":[{"dropping-particle":"","family":"Маев","given":"И.В.","non-dropping-particle":"","parse-names":false,"suffix":""},{"dropping-particle":"","family":"Самсонов","given":"А.А.","non-dropping-particle":"","parse-names":false,"suffix":""},{"dropping-particle":"","family":"Андреев","given":"Д.Н.","non-dropping-particle":"","parse-names":false,"suffix":""},{"dropping-particle":"","family":"Кочетов","given":"С.А.","non-dropping-particle":"","parse-names":false,"suffix":""}],"container-title":"Вестник практического врача","id":"ITEM-2","issued":{"date-parts":[["2012"]]},"title":"Эволюция представлений о диагностике и лечении инфекции Helicobacter pylori (по материалам консенсуса Маастрихт, Флоренция, 2010)","type":"article-journal","volume":"Спецвыпуск"},"uris":["http://www.mendeley.com/documents/?uuid=67c88da0-19e6-4595-9100-80bd36a488a0"]}],"mendeley":{"formattedCitation":"[3,19]","plainTextFormattedCitation":"[3,19]","previouslyFormattedCitation":"[3,19]"},"properties":{"noteIndex":0},"schema":"https://github.com/citation-style-language/schema/raw/master/csl-citation.json"}</w:instrText>
      </w:r>
      <w:r w:rsidRPr="00342C61">
        <w:rPr>
          <w:szCs w:val="24"/>
        </w:rPr>
        <w:fldChar w:fldCharType="separate"/>
      </w:r>
      <w:r w:rsidR="00F83A41" w:rsidRPr="00F83A41">
        <w:rPr>
          <w:noProof/>
          <w:szCs w:val="24"/>
        </w:rPr>
        <w:t>[3,19]</w:t>
      </w:r>
      <w:r w:rsidRPr="00342C61">
        <w:rPr>
          <w:szCs w:val="24"/>
        </w:rPr>
        <w:fldChar w:fldCharType="end"/>
      </w:r>
      <w:r w:rsidRPr="00342C61">
        <w:t>.</w:t>
      </w:r>
    </w:p>
    <w:p w14:paraId="6FF72C80" w14:textId="77777777" w:rsidR="008A3A44" w:rsidRPr="00342C61" w:rsidRDefault="008A3A44" w:rsidP="008A3A44">
      <w:pPr>
        <w:pStyle w:val="afd"/>
        <w:ind w:left="709" w:firstLine="0"/>
        <w:rPr>
          <w:color w:val="000000" w:themeColor="text1"/>
        </w:rPr>
      </w:pPr>
      <w:r w:rsidRPr="00342C61">
        <w:rPr>
          <w:b/>
        </w:rPr>
        <w:t>Уровень убедительности рекомендаций С (уровень достоверности доказательств 5)</w:t>
      </w:r>
    </w:p>
    <w:p w14:paraId="78730B74" w14:textId="28973056" w:rsidR="008A3A44" w:rsidRPr="00342C61" w:rsidRDefault="008A3A44" w:rsidP="008A3A44">
      <w:pPr>
        <w:pStyle w:val="affff1"/>
        <w:ind w:left="709" w:hanging="425"/>
      </w:pPr>
      <w:r w:rsidRPr="00342C61">
        <w:lastRenderedPageBreak/>
        <w:t>Всем пациентам при установлении диагноза ЛМЗ желудка в случае</w:t>
      </w:r>
      <w:r>
        <w:t xml:space="preserve"> отрицательных результатов микробиологического (культурального) </w:t>
      </w:r>
      <w:r w:rsidRPr="00342C61">
        <w:t>исследования биоптата стенки желудка на хеликобактер</w:t>
      </w:r>
      <w:r>
        <w:t xml:space="preserve"> </w:t>
      </w:r>
      <w:r w:rsidRPr="00342C61">
        <w:t>пилори</w:t>
      </w:r>
      <w:r>
        <w:t xml:space="preserve"> </w:t>
      </w:r>
      <w:r w:rsidRPr="00342C61">
        <w:t>(Helicobacter</w:t>
      </w:r>
      <w:r>
        <w:t xml:space="preserve"> </w:t>
      </w:r>
      <w:r w:rsidRPr="00342C61">
        <w:t xml:space="preserve">pylori) </w:t>
      </w:r>
      <w:r w:rsidRPr="00342C61">
        <w:rPr>
          <w:b/>
          <w:color w:val="000000" w:themeColor="text1"/>
        </w:rPr>
        <w:t>рекомендуется</w:t>
      </w:r>
      <w:r w:rsidRPr="00342C61">
        <w:rPr>
          <w:color w:val="000000" w:themeColor="text1"/>
        </w:rPr>
        <w:t xml:space="preserve"> выполнить определение антител к хеликобактер</w:t>
      </w:r>
      <w:r>
        <w:rPr>
          <w:color w:val="000000" w:themeColor="text1"/>
        </w:rPr>
        <w:t xml:space="preserve"> </w:t>
      </w:r>
      <w:r w:rsidRPr="00342C61">
        <w:rPr>
          <w:color w:val="000000" w:themeColor="text1"/>
        </w:rPr>
        <w:t>пилори</w:t>
      </w:r>
      <w:r>
        <w:rPr>
          <w:color w:val="000000" w:themeColor="text1"/>
        </w:rPr>
        <w:t xml:space="preserve"> </w:t>
      </w:r>
      <w:r w:rsidRPr="00342C61">
        <w:rPr>
          <w:color w:val="000000" w:themeColor="text1"/>
        </w:rPr>
        <w:t>(Helicobacter</w:t>
      </w:r>
      <w:r>
        <w:rPr>
          <w:color w:val="000000" w:themeColor="text1"/>
        </w:rPr>
        <w:t xml:space="preserve"> </w:t>
      </w:r>
      <w:r w:rsidRPr="00342C61">
        <w:rPr>
          <w:color w:val="000000" w:themeColor="text1"/>
        </w:rPr>
        <w:t>pylori) в крови, определение антигена хеликобактера</w:t>
      </w:r>
      <w:r>
        <w:rPr>
          <w:color w:val="000000" w:themeColor="text1"/>
        </w:rPr>
        <w:t xml:space="preserve"> </w:t>
      </w:r>
      <w:r w:rsidRPr="00342C61">
        <w:rPr>
          <w:color w:val="000000" w:themeColor="text1"/>
        </w:rPr>
        <w:t xml:space="preserve">пилори в фекалиях и </w:t>
      </w:r>
      <w:r w:rsidRPr="00342C61">
        <w:t>13С-уреазный дыхательный тест на Helicobacter</w:t>
      </w:r>
      <w:r>
        <w:t xml:space="preserve"> </w:t>
      </w:r>
      <w:r w:rsidR="008E50A4">
        <w:rPr>
          <w:lang w:val="en-US"/>
        </w:rPr>
        <w:t>p</w:t>
      </w:r>
      <w:r w:rsidRPr="00342C61">
        <w:t>ylori</w:t>
      </w:r>
      <w:r>
        <w:t xml:space="preserve"> </w:t>
      </w:r>
      <w:r w:rsidRPr="00342C61">
        <w:fldChar w:fldCharType="begin" w:fldLock="1"/>
      </w:r>
      <w:r w:rsidR="00F83A41">
        <w:instrText>ADDIN CSL_CITATION {"citationItems":[{"id":"ITEM-1","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Савченко.","id":"ITEM-1","issued":{"date-parts":[["2018"]]},"page":"52-58","title":"Лимфома маргинальной зоны","type":"chapter"},"uris":["http://www.mendeley.com/documents/?uuid=041f4bbf-3ac6-4dfd-84b7-b81c4236a79d"]},{"id":"ITEM-2","itemData":{"author":[{"dropping-particle":"","family":"Маев","given":"И.В.","non-dropping-particle":"","parse-names":false,"suffix":""},{"dropping-particle":"","family":"Самсонов","given":"А.А.","non-dropping-particle":"","parse-names":false,"suffix":""},{"dropping-particle":"","family":"Андреев","given":"Д.Н.","non-dropping-particle":"","parse-names":false,"suffix":""},{"dropping-particle":"","family":"Кочетов","given":"С.А.","non-dropping-particle":"","parse-names":false,"suffix":""}],"container-title":"Вестник практического врача","id":"ITEM-2","issued":{"date-parts":[["2012"]]},"title":"Эволюция представлений о диагностике и лечении инфекции Helicobacter pylori (по материалам консенсуса Маастрихт, Флоренция, 2010)","type":"article-journal","volume":"Спецвыпуск"},"uris":["http://www.mendeley.com/documents/?uuid=67c88da0-19e6-4595-9100-80bd36a488a0"]}],"mendeley":{"formattedCitation":"[3,19]","plainTextFormattedCitation":"[3,19]","previouslyFormattedCitation":"[3,19]"},"properties":{"noteIndex":0},"schema":"https://github.com/citation-style-language/schema/raw/master/csl-citation.json"}</w:instrText>
      </w:r>
      <w:r w:rsidRPr="00342C61">
        <w:fldChar w:fldCharType="separate"/>
      </w:r>
      <w:r w:rsidR="00F83A41" w:rsidRPr="00F83A41">
        <w:rPr>
          <w:noProof/>
        </w:rPr>
        <w:t>[3,19]</w:t>
      </w:r>
      <w:r w:rsidRPr="00342C61">
        <w:fldChar w:fldCharType="end"/>
      </w:r>
      <w:r w:rsidRPr="00342C61">
        <w:t>.</w:t>
      </w:r>
    </w:p>
    <w:p w14:paraId="708B6323" w14:textId="77777777" w:rsidR="008A3A44" w:rsidRPr="00342C61" w:rsidRDefault="008A3A44" w:rsidP="008A3A44">
      <w:pPr>
        <w:pStyle w:val="afd"/>
        <w:ind w:left="709" w:firstLine="0"/>
        <w:rPr>
          <w:color w:val="000000" w:themeColor="text1"/>
        </w:rPr>
      </w:pPr>
      <w:r w:rsidRPr="00342C61">
        <w:rPr>
          <w:b/>
        </w:rPr>
        <w:t>Уровень убедительности рекомендаций С (уровень достоверности доказательств 5)</w:t>
      </w:r>
    </w:p>
    <w:p w14:paraId="2E673B9D" w14:textId="421F6695" w:rsidR="008A3A44" w:rsidRPr="00342C61" w:rsidRDefault="008A3A44" w:rsidP="008A3A44">
      <w:pPr>
        <w:pStyle w:val="affff1"/>
        <w:ind w:left="709" w:hanging="425"/>
        <w:rPr>
          <w:i/>
        </w:rPr>
      </w:pPr>
      <w:r w:rsidRPr="00342C61">
        <w:t>Всем пациентам с ЛМЗ кожи</w:t>
      </w:r>
      <w:r>
        <w:t xml:space="preserve"> </w:t>
      </w:r>
      <w:r w:rsidRPr="00342C61">
        <w:rPr>
          <w:b/>
          <w:bCs/>
        </w:rPr>
        <w:t>рекомендуется</w:t>
      </w:r>
      <w:r>
        <w:rPr>
          <w:b/>
          <w:bCs/>
        </w:rPr>
        <w:t xml:space="preserve"> </w:t>
      </w:r>
      <w:r w:rsidRPr="00342C61">
        <w:t>молекулярно-биологическое исследование крови и биоптата кожи на возбудителей иксодовых клещевых боррелиозов группы Borrelia</w:t>
      </w:r>
      <w:r>
        <w:t xml:space="preserve"> </w:t>
      </w:r>
      <w:r w:rsidRPr="00342C61">
        <w:t xml:space="preserve">burgdorferisensulato для выявления ассоциированного с данным заболеванием инфекционного агента </w:t>
      </w:r>
      <w:r w:rsidRPr="00342C61">
        <w:fldChar w:fldCharType="begin" w:fldLock="1"/>
      </w:r>
      <w:r w:rsidR="00F83A41">
        <w:instrText>ADDIN CSL_CITATION {"citationItems":[{"id":"ITEM-1","itemData":{"author":[{"dropping-particle":"","family":"Поддубная","given":"И.В.","non-dropping-particle":"","parse-names":false,"suffix":""},{"dropping-particle":"","family":"Птушкин","given":"В.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Савченко.","id":"ITEM-1","issued":{"date-parts":[["2018"]]},"page":"52-58","title":"Лимфома маргинальной зоны","type":"chapter"},"uris":["http://www.mendeley.com/documents/?uuid=041f4bbf-3ac6-4dfd-84b7-b81c4236a79d"]},{"id":"ITEM-2","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Пивника","id":"ITEM-2","issued":{"date-parts":[["2012"]]},"page":"176-187","title":"Неходжкинские лимфомы маргинальной зоны","type":"chapter"},"uris":["http://www.mendeley.com/documents/?uuid=55174691-e9d7-401f-a0a9-f116659e2535"]}],"mendeley":{"formattedCitation":"[3,12]","plainTextFormattedCitation":"[3,12]","previouslyFormattedCitation":"[3,12]"},"properties":{"noteIndex":0},"schema":"https://github.com/citation-style-language/schema/raw/master/csl-citation.json"}</w:instrText>
      </w:r>
      <w:r w:rsidRPr="00342C61">
        <w:fldChar w:fldCharType="separate"/>
      </w:r>
      <w:r w:rsidR="00F83A41" w:rsidRPr="00F83A41">
        <w:rPr>
          <w:noProof/>
        </w:rPr>
        <w:t>[3,12]</w:t>
      </w:r>
      <w:r w:rsidRPr="00342C61">
        <w:fldChar w:fldCharType="end"/>
      </w:r>
      <w:r w:rsidRPr="00342C61">
        <w:t>.</w:t>
      </w:r>
    </w:p>
    <w:p w14:paraId="4966C04A" w14:textId="77777777" w:rsidR="008A3A44" w:rsidRPr="009F231E" w:rsidRDefault="008A3A44" w:rsidP="008A3A44">
      <w:pPr>
        <w:ind w:left="709" w:firstLine="0"/>
        <w:contextualSpacing/>
        <w:rPr>
          <w:b/>
        </w:rPr>
      </w:pPr>
      <w:r w:rsidRPr="00342C61">
        <w:rPr>
          <w:b/>
        </w:rPr>
        <w:t>Уровень убедительности рекомендаций С (уровень достоверности доказательств 5).</w:t>
      </w:r>
    </w:p>
    <w:p w14:paraId="05EBB0F3" w14:textId="1F8E8035" w:rsidR="008A3A44" w:rsidRPr="00215DAB" w:rsidRDefault="008A3A44" w:rsidP="008A3A44">
      <w:pPr>
        <w:pStyle w:val="affff1"/>
        <w:ind w:left="709" w:hanging="425"/>
        <w:rPr>
          <w:lang w:eastAsia="ru-RU"/>
        </w:rPr>
      </w:pPr>
      <w:r>
        <w:t xml:space="preserve">Пациентам с верифицированной ЛМЗ при первичном обследовании и планировании терапии </w:t>
      </w:r>
      <w:r w:rsidRPr="000578EF">
        <w:rPr>
          <w:b/>
          <w:lang w:eastAsia="ru-RU"/>
        </w:rPr>
        <w:t>рекомендуется</w:t>
      </w:r>
      <w:r w:rsidR="008E50A4">
        <w:rPr>
          <w:b/>
          <w:lang w:eastAsia="ru-RU"/>
        </w:rPr>
        <w:t xml:space="preserve"> </w:t>
      </w:r>
      <w:r w:rsidRPr="00377FE8">
        <w:rPr>
          <w:lang w:eastAsia="ru-RU"/>
        </w:rPr>
        <w:t>в зависимости от сопутствующей патологии</w:t>
      </w:r>
      <w:r w:rsidR="008E50A4">
        <w:rPr>
          <w:lang w:eastAsia="ru-RU"/>
        </w:rPr>
        <w:t xml:space="preserve"> </w:t>
      </w:r>
      <w:r>
        <w:rPr>
          <w:lang w:eastAsia="ru-RU"/>
        </w:rPr>
        <w:t>прием (о</w:t>
      </w:r>
      <w:r>
        <w:t>смотр, консультация)</w:t>
      </w:r>
      <w:r w:rsidRPr="00377FE8">
        <w:rPr>
          <w:lang w:eastAsia="ru-RU"/>
        </w:rPr>
        <w:t>врача-кардиолога, врача-эндокринолога, врача-невролога</w:t>
      </w:r>
      <w:r>
        <w:rPr>
          <w:lang w:eastAsia="ru-RU"/>
        </w:rPr>
        <w:t>,</w:t>
      </w:r>
      <w:r w:rsidRPr="00377FE8">
        <w:rPr>
          <w:lang w:eastAsia="ru-RU"/>
        </w:rPr>
        <w:t xml:space="preserve"> врача- инфекциониста и других врачей-специалистов</w:t>
      </w:r>
      <w:r>
        <w:rPr>
          <w:lang w:eastAsia="ru-RU"/>
        </w:rPr>
        <w:t xml:space="preserve"> для определения необходимости терапии сопутствующих заболеваний</w:t>
      </w:r>
      <w:r w:rsidR="008E50A4" w:rsidRPr="008E50A4">
        <w:rPr>
          <w:lang w:eastAsia="ru-RU"/>
        </w:rPr>
        <w:t xml:space="preserve"> </w:t>
      </w:r>
      <w:r>
        <w:fldChar w:fldCharType="begin" w:fldLock="1"/>
      </w:r>
      <w: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fldChar w:fldCharType="separate"/>
      </w:r>
      <w:r w:rsidRPr="00090D97">
        <w:rPr>
          <w:noProof/>
        </w:rPr>
        <w:t>[4]</w:t>
      </w:r>
      <w:r>
        <w:fldChar w:fldCharType="end"/>
      </w:r>
      <w:r w:rsidRPr="00377FE8">
        <w:rPr>
          <w:lang w:eastAsia="ru-RU"/>
        </w:rPr>
        <w:t>.</w:t>
      </w:r>
    </w:p>
    <w:p w14:paraId="3DF01A7E" w14:textId="77777777" w:rsidR="008A3A44" w:rsidRDefault="008A3A44" w:rsidP="008A3A44">
      <w:pPr>
        <w:ind w:left="709" w:firstLine="0"/>
        <w:rPr>
          <w:b/>
        </w:rPr>
      </w:pPr>
      <w:r w:rsidRPr="00342C61">
        <w:rPr>
          <w:b/>
        </w:rPr>
        <w:t>Уровень убедительности рекомендаций С (уровень достоверности доказательств 5)</w:t>
      </w:r>
    </w:p>
    <w:p w14:paraId="3F3520CD" w14:textId="395D7CD5" w:rsidR="008A3A44" w:rsidRPr="00215DAB" w:rsidRDefault="008A3A44" w:rsidP="008A3A44">
      <w:pPr>
        <w:pStyle w:val="affff1"/>
        <w:ind w:left="709" w:hanging="425"/>
        <w:rPr>
          <w:rFonts w:eastAsia="Times New Roman"/>
          <w:lang w:eastAsia="ru-RU"/>
        </w:rPr>
      </w:pPr>
      <w:r>
        <w:t xml:space="preserve">Пациентам с верифицированной ЛМЗ при первичном обследовании и планировании терапии </w:t>
      </w:r>
      <w:r w:rsidRPr="000578EF">
        <w:rPr>
          <w:rFonts w:eastAsia="Times New Roman"/>
          <w:b/>
          <w:lang w:eastAsia="ru-RU"/>
        </w:rPr>
        <w:t>рекомендуется</w:t>
      </w:r>
      <w:r w:rsidR="008E50A4" w:rsidRPr="008E50A4">
        <w:rPr>
          <w:rFonts w:eastAsia="Times New Roman"/>
          <w:b/>
          <w:lang w:eastAsia="ru-RU"/>
        </w:rPr>
        <w:t xml:space="preserve"> </w:t>
      </w:r>
      <w:r>
        <w:rPr>
          <w:rFonts w:eastAsia="Times New Roman"/>
          <w:lang w:eastAsia="ru-RU"/>
        </w:rPr>
        <w:t>оценить</w:t>
      </w:r>
      <w:r w:rsidR="008E50A4" w:rsidRPr="008E50A4">
        <w:rPr>
          <w:rFonts w:eastAsia="Times New Roman"/>
          <w:lang w:eastAsia="ru-RU"/>
        </w:rPr>
        <w:t xml:space="preserve"> </w:t>
      </w:r>
      <w:r w:rsidRPr="005F5F5B">
        <w:t xml:space="preserve">риск развития венозных </w:t>
      </w:r>
      <w:r w:rsidRPr="00A4325F">
        <w:t>тромбоэмболических осложнений (шкала оценки риска ВТЭО по Khorana – см. приложение Г</w:t>
      </w:r>
      <w:r>
        <w:t>2</w:t>
      </w:r>
      <w:r w:rsidRPr="00A4325F">
        <w:t xml:space="preserve"> данных рекомендаций) для выявления пациентов, требующих назначения и</w:t>
      </w:r>
      <w:r w:rsidRPr="005F5F5B">
        <w:t xml:space="preserve"> определения способов профилактики тромботических  осложнений при проведении цитостатической терапии</w:t>
      </w:r>
      <w:r w:rsidR="008E50A4" w:rsidRPr="008E50A4">
        <w:t xml:space="preserve"> </w:t>
      </w:r>
      <w:r>
        <w:rPr>
          <w:rFonts w:eastAsia="Times New Roman"/>
        </w:rPr>
        <w:fldChar w:fldCharType="begin" w:fldLock="1"/>
      </w:r>
      <w:r w:rsidR="00F83A41">
        <w:rPr>
          <w:rFonts w:eastAsia="Times New Roman"/>
        </w:rPr>
        <w:instrText>ADDIN CSL_CITATION {"citationItems":[{"id":"ITEM-1","itemData":{"author":[{"dropping-particle":"","family":"Бокерия","given":"Л.А.","non-dropping-particle":"","parse-names":false,"suffix":""},{"dropping-particle":"","family":"Затевахин","given":"И.И.","non-dropping-particle":"","parse-names":false,"suffix":""},{"dropping-particle":"","family":"Кириенко","given":"А.И.","non-dropping-particle":"","parse-names":false,"suffix":""}],"container-title":"Флебология","id":"ITEM-1","issue":"2","issued":{"date-parts":[["2015"]]},"page":"3-52","title":"Российские клинические рекомендации по диагностике, лечению и профилактике венозных тромбоэмболических осложнений (ВТЭО).","type":"article-journal","volume":"4"},"uris":["http://www.mendeley.com/documents/?uuid=86c98716-7768-469e-9d28-62b6dd34948f"]},{"id":"ITEM-2","itemData":{"author":[{"dropping-particle":"","family":"Кириенко","given":"А.И.","non-dropping-particle":"","parse-names":false,"suffix":""},{"dropping-particle":"","family":"Галстян","given":"Г.М.","non-dropping-particle":"","parse-names":false,"suffix":""},{"dropping-particle":"","family":"Савченко","given":"В.Г.","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Савченко.","id":"ITEM-2","issued":{"date-parts":[["2018"]]},"page":"268-278","title":"Профилактика венозных тромбоэмболических осложнений при лимфопролиферативных заболеваниях","type":"chapter"},"uris":["http://www.mendeley.com/documents/?uuid=cc775b4e-6cf7-4317-b2fc-ce2a5210744b"]},{"id":"ITEM-3","itemData":{"DOI":"10.1016/s0049-3848(16)30136-0","ISSN":"00493848","abstract":"BACKGROUND\\nRecent studies show that the risk of VTE in NHL pts is similar to that observed in high risk solid tumors (i.e. pancreatic, ovarian cancer). VTE in NHL occurs in most cases within three months from diagnosis and can have substantial impact on treatment delivery and outcome as well as on quality of life. However few data are available on potential predictors. \\n\\nAIMS\\nTo better clarify the epidemiology of early (within six months from treatment start) VTE in NHL we conducted a pooled data analysis of 12 clinical trials from FIL. Our analysis included basic demographic features, lymphoma-related characteristics as well the Khorana score (based on histology, BMI, platelets WBC and HB counts) which is extensively used in solid tumors to predict VTE risk. \\n\\nPATIENTS AND METHODS\\nFrom Jan. 2010 to Dec. 2014, all pts with B-cell NHL enrolled in prospective clinical trials from FIL for frontline treatment were included. For 9 studies study period included the entire trial population was included. The analyses were conducted based on CRFs as well as pharmacovigilance reports. VTE definition and grading was stated according to standard criteria of toxicity (CTCAE V4.0). Cumulative incidence of VTE from the study enrollment was estimated using the method described by Gooley et al. accounting for death from any causes as a competing risk. The Fine &amp; Gray survival model was used to identify predictors of VTE among NHL pts. Factors predicting the grade of VTE were investigated using an ordinal logistic regression model. This pooled data analysis was approved by local IRB. \\n\\nRESULTS\\nOverall, 1,717 patients belonging to 12 studies were evaluated. Eight were phase I/II or II (25% of pts) and 4 phase III (75% of pts). M/F ratio was 1.41, Median age was 57, (IQ range (IQR) 49-66). Histologies were: DLCL-B 34%, FL 41%, MCL 18%, other 6%. Median BMI was 25 (IQR 22-28). Median Hb, WBC and platelets counts were 13g/dl) (IQR 11.5-14.2), 7.1*10^9/l (IQR 5.6-10.3), 224*10^9/l (IQR 169-298), respectively. 1189 pts were evaluable Khorana score: 58% low risk, 30% intermediate risk, 12% were high risk. Human erythropoetin support was given to 9% of patients. All pts received Rituximab. Planned therapeutic programs included ASCT in 27% of pts, conventional chemotherapy in 67% a conventional chemotherapy plus lenalidomide in 6%. Overall 59 any grade VTE episodes occurred in 51 pts (2.9%), including 21 grade III-IV VTE (18 pts). None was fatal. Median time from study …","author":[{"dropping-particle":"","family":"Santi","given":"R.M.","non-dropping-particle":"","parse-names":false,"suffix":""},{"dropping-particle":"","family":"Ceccarelli","given":"M.","non-dropping-particle":"","parse-names":false,"suffix":""},{"dropping-particle":"","family":"Catania","given":"G.","non-dropping-particle":"","parse-names":false,"suffix":""},{"dropping-particle":"","family":"Monagheddu","given":"C.","non-dropping-particle":"","parse-names":false,"suffix":""},{"dropping-particle":"","family":"Evangelista","given":"A.","non-dropping-particle":"","parse-names":false,"suffix":""},{"dropping-particle":"","family":"Bernocco","given":"E.","non-dropping-particle":"","parse-names":false,"suffix":""},{"dropping-particle":"","family":"Monaco","given":"F.","non-dropping-particle":"","parse-names":false,"suffix":""},{"dropping-particle":"","family":"Federico","given":"M.","non-dropping-particle":"","parse-names":false,"suffix":""},{"dropping-particle":"","family":"Vitolo","given":"U.","non-dropping-particle":"","parse-names":false,"suffix":""},{"dropping-particle":"","family":"Cortelazzo","given":"S.","non-dropping-particle":"","parse-names":false,"suffix":""},{"dropping-particle":"","family":"Cabras","given":"M.G.","non-dropping-particle":"","parse-names":false,"suffix":""},{"dropping-particle":"","family":"Spina","given":"M.","non-dropping-particle":"","parse-names":false,"suffix":""},{"dropping-particle":"","family":"Baldini","given":"L.","non-dropping-particle":"","parse-names":false,"suffix":""},{"dropping-particle":"","family":"Boccomini","given":"C.","non-dropping-particle":"","parse-names":false,"suffix":""},{"dropping-particle":"","family":"Chiappella","given":"A.","non-dropping-particle":"","parse-names":false,"suffix":""},{"dropping-particle":"","family":"Bari","given":"A.","non-dropping-particle":"","parse-names":false,"suffix":""},{"dropping-particle":"","family":"Luminari","given":"S.","non-dropping-particle":"","parse-names":false,"suffix":""},{"dropping-particle":"","family":"Calabrese","given":"M.","non-dropping-particle":"","parse-names":false,"suffix":""},{"dropping-particle":"","family":"Levis","given":"A.","non-dropping-particle":"","parse-names":false,"suffix":""},{"dropping-particle":"","family":"Visco","given":"C.","non-dropping-particle":"","parse-names":false,"suffix":""},{"dropping-particle":"","family":"Contino","given":"L.","non-dropping-particle":"","parse-names":false,"suffix":""},{"dropping-particle":"","family":"Ciccone","given":"G.","non-dropping-particle":"","parse-names":false,"suffix":""},{"dropping-particle":"","family":"Ladetto","given":"M.","non-dropping-particle":"","parse-names":false,"suffix":""}],"container-title":"Thrombosis Research","id":"ITEM-3","issued":{"date-parts":[["2016","4","1"]]},"page":"S177","publisher":"Elsevier BV","title":"PO-03 - Khorana score and histotype predict the incidence of early venous thromboembolism (VTE) in Non Hodgkin Lymphoma (NHL). A pooled data analysis of twelve clinical trials of Fondazione Italiana Linfomi (FIL)","type":"article-journal","volume":"140"},"uris":["http://www.mendeley.com/documents/?uuid=f8991f19-b353-3dbf-93ae-ea021c37a7dc"]},{"id":"ITEM-4","itemData":{"DOI":"10.1160/TH16-11-0895","ISSN":"03406245","abstract":"Current data suggests that the risk of venous thromboembolism (VTE) in patients with non-Hodgkin lymphoma (NHL) is comparable to that observed in patients with solid tumours, although more robust confirmatory analyses are required. With that in mind, we investigated the occurrence of VTE in a pooled analysis of 12 “Fondazione Italiana Linfomi” (FIL) prospective clinical studies. Specifically, we wished to assess the cumulative incidence of VTE in NHL patients, evaluate the predictive value of the Khorana Score (KS), and identify other potential risk factors for VTEs. Data for VTE occurrence were retrieved from study databases and pharmacovigilance reports. Our analysis includes 1717 patients from 12 prospective phase II and III trials, including newly diagnosed NHL. We observed 53 VTEs (any grade) in 46 patients, with 20 severe VTEs in 17 patients. The cumulative incidences for „all-grade“ or grade ≥3 VTEs were 2.9 % (95 % CI: 2.1-3.8) and 1.1 % (95 % CI: 0.6-1.6), respectively. KS categories were positively associated with the risk of VTE of any grade, and with severe events (i. e. grade ≥3; Gray’s test p-values = 0.048 and 0.012, respectively). Among NHL patients, those with diffuse large B-cell lymphoma (DLBCL) showed a greater risk of (any grade) VTE (HR: 3.42, 95 % CI: 1.32-8.84, p-value = 0.011). Our study indicates that 1) VTE is a relevant complication for NHL patients, 2) KS is predictive of VTE events and 3) DLBCL histotype is an independent risk factor for VTE incidence, for which preventative interventions could be considered.","author":[{"dropping-particle":"","family":"Santi","given":"Roberto Mario","non-dropping-particle":"","parse-names":false,"suffix":""},{"dropping-particle":"","family":"Ceccarelli","given":"Manuela","non-dropping-particle":"","parse-names":false,"suffix":""},{"dropping-particle":"","family":"Bernocco","given":"Elisa","non-dropping-particle":"","parse-names":false,"suffix":""},{"dropping-particle":"","family":"Monagheddu","given":"Chiara","non-dropping-particle":"","parse-names":false,"suffix":""},{"dropping-particle":"","family":"Evangelista","given":"Andrea","non-dropping-particle":"","parse-names":false,"suffix":""},{"dropping-particle":"","family":"Valeri","given":"Federica","non-dropping-particle":"","parse-names":false,"suffix":""},{"dropping-particle":"","family":"Monaco","given":"Federico","non-dropping-particle":"","parse-names":false,"suffix":""},{"dropping-particle":"","family":"Vitolo","given":"Umberto","non-dropping-particle":"","parse-names":false,"suffix":""},{"dropping-particle":"","family":"Cortelazzo","given":"Sergio","non-dropping-particle":"","parse-names":false,"suffix":""},{"dropping-particle":"","family":"Cabras","given":"Maria Giuseppina","non-dropping-particle":"","parse-names":false,"suffix":""},{"dropping-particle":"","family":"Spina","given":"Michele","non-dropping-particle":"","parse-names":false,"suffix":""},{"dropping-particle":"","family":"Baldini","given":"Luca","non-dropping-particle":"","parse-names":false,"suffix":""},{"dropping-particle":"","family":"Boccomini","given":"Carola","non-dropping-particle":"","parse-names":false,"suffix":""},{"dropping-particle":"","family":"Chiappella","given":"Annalisa","non-dropping-particle":"","parse-names":false,"suffix":""},{"dropping-particle":"","family":"Bari","given":"Alessia","non-dropping-particle":"","parse-names":false,"suffix":""},{"dropping-particle":"","family":"Luminari","given":"Stefano","non-dropping-particle":"","parse-names":false,"suffix":""},{"dropping-particle":"","family":"Visco","given":"Carlo","non-dropping-particle":"","parse-names":false,"suffix":""},{"dropping-particle":"","family":"Calabrese","given":"Marco","non-dropping-particle":"","parse-names":false,"suffix":""},{"dropping-particle":"","family":"Limberti","given":"Giulia","non-dropping-particle":"","parse-names":false,"suffix":""},{"dropping-particle":"","family":"Levis","given":"Alessandro","non-dropping-particle":"","parse-names":false,"suffix":""},{"dropping-particle":"","family":"Contino","given":"Laura","non-dropping-particle":"","parse-names":false,"suffix":""},{"dropping-particle":"","family":"Ciccone","given":"Giovannino","non-dropping-particle":"","parse-names":false,"suffix":""},{"dropping-particle":"","family":"Ladetto","given":"Marco","non-dropping-particle":"","parse-names":false,"suffix":""}],"container-title":"Thrombosis and Haemostasis","id":"ITEM-4","issue":"8","issued":{"date-parts":[["2017","4","27"]]},"page":"1615-1621","publisher":"Schattauer GmbH","title":"Khorana score and histotype predicts incidence of early venous thromboembolism in Non-Hodgkin lymphomas: A Pooled-Data analysis of 12 clinical trials of fondazione italiana linfomi (FIL)","type":"article-journal","volume":"117"},"uris":["http://www.mendeley.com/documents/?uuid=08ff1c42-56b9-3c28-b502-37fb28c97ec6"]},{"id":"ITEM-5","itemData":{"DOI":"10.1634/theoncologist.2015-0361","ISSN":"1083-7159","abstract":"© AlphaMed Press 2016. Background. Retrospective studies have suggested an association between cancer-associated venous thromboembolism (VTE) and patient survival.Weevaluated a previously validated VTE Clinical Risk Score in also predicting early mortality and cancer progression. Methods. A large, nationwide, prospective cohort study of adults with solid tumors orlymphoma initiating chemotherapy was conducted from 2002 to 2006 at 115 U.S. practice sites. Survivalandcancer progressionwereestimatedbythemethod of Kaplan and Meier. Multivariate analysis was based on Cox regression analysis adjusted for major prognostic factors including VTE itself. Results. Of 4,405 patients, 134 (3.0%) died and 330 (7.5%) experienced disease progression during the first 4 months of therapy (median follow-up 75 days). Patients deemed high risk (n = 540, 12.3%) by the Clinical Risk Score had a 120-day mortality rate of 12.7% (adjusted hazard ratio [aHR] 3.00, 95% confidence interval [CI]  1.4-6.3), and intermediate-risk patients (n = 2,665, 60.5%) had a mortality rate of 5.9% (aHR 2.3, 95% CI 1.2-4.4) compared with only 1.4% for low-risk patients (n = 1,200, 27.2%). At 120 days of follow-up, cancer progression occurred in 27.2% of high-risk patients (aHR 2.2, 95% CI 1.4-3.5) and 16.4% of intermediate-risk patients (aHR 1.9, 95% CI 1.3-2.7) compared with only 8.5% of low-risk patients (p  &lt;  .0001). Conclusion. The Clinical Risk Score, originally developed to predict the occurrence of VTE, is also predictive of early mortality and cancer progression during the first four cycles of outpatient chemotherapy, independent from other major prognostic factors including VTE itself. Ongoing and future studies will help determine the impact of VTE prophylaxis on survival.","author":[{"dropping-particle":"","family":"Kuderer","given":"Nicole M.","non-dropping-particle":"","parse-names":false,"suffix":""},{"dropping-particle":"","family":"Culakova","given":"Eva","non-dropping-particle":"","parse-names":false,"suffix":""},{"dropping-particle":"","family":"Lyman","given":"Gary H.","non-dropping-particle":"","parse-names":false,"suffix":""},{"dropping-particle":"","family":"Francis","given":"Charles","non-dropping-particle":"","parse-names":false,"suffix":""},{"dropping-particle":"","family":"Falanga","given":"Anna","non-dropping-particle":"","parse-names":false,"suffix":""},{"dropping-particle":"","family":"Khorana","given":"Alok A.","non-dropping-particle":"","parse-names":false,"suffix":""}],"container-title":"The Oncologist","id":"ITEM-5","issue":"7","issued":{"date-parts":[["2016","7"]]},"page":"861-867","publisher":"Alphamed Press","title":"A Validated Risk Score for Venous Thromboembolism Is Predictive of Cancer Progression and Mortality","type":"article-journal","volume":"21"},"uris":["http://www.mendeley.com/documents/?uuid=18a4966e-5d62-3c04-83a9-fd95d5e2da41"]}],"mendeley":{"formattedCitation":"[6,7,20–22]","plainTextFormattedCitation":"[6,7,20–22]","previouslyFormattedCitation":"[6,7,20–22]"},"properties":{"noteIndex":0},"schema":"https://github.com/citation-style-language/schema/raw/master/csl-citation.json"}</w:instrText>
      </w:r>
      <w:r>
        <w:rPr>
          <w:rFonts w:eastAsia="Times New Roman"/>
        </w:rPr>
        <w:fldChar w:fldCharType="separate"/>
      </w:r>
      <w:r w:rsidR="00F83A41" w:rsidRPr="00F83A41">
        <w:rPr>
          <w:rFonts w:eastAsia="Times New Roman"/>
          <w:noProof/>
        </w:rPr>
        <w:t>[6,7,20–22]</w:t>
      </w:r>
      <w:r>
        <w:rPr>
          <w:rFonts w:eastAsia="Times New Roman"/>
        </w:rPr>
        <w:fldChar w:fldCharType="end"/>
      </w:r>
      <w:r w:rsidRPr="00377FE8">
        <w:rPr>
          <w:rFonts w:eastAsia="Times New Roman"/>
          <w:lang w:eastAsia="ru-RU"/>
        </w:rPr>
        <w:t>.</w:t>
      </w:r>
    </w:p>
    <w:p w14:paraId="743827D2" w14:textId="00FAC23A" w:rsidR="008A3A44" w:rsidRDefault="008A3A44" w:rsidP="008A3A44">
      <w:pPr>
        <w:ind w:left="709" w:firstLine="0"/>
        <w:rPr>
          <w:b/>
        </w:rPr>
      </w:pPr>
      <w:r w:rsidRPr="00342C61">
        <w:rPr>
          <w:b/>
        </w:rPr>
        <w:t xml:space="preserve">Уровень убедительности рекомендаций </w:t>
      </w:r>
      <w:r w:rsidRPr="00342C61">
        <w:rPr>
          <w:b/>
          <w:lang w:val="en-US"/>
        </w:rPr>
        <w:t>B</w:t>
      </w:r>
      <w:r w:rsidR="008E50A4" w:rsidRPr="008E50A4">
        <w:rPr>
          <w:b/>
        </w:rPr>
        <w:t xml:space="preserve"> </w:t>
      </w:r>
      <w:r w:rsidRPr="00342C61">
        <w:rPr>
          <w:b/>
        </w:rPr>
        <w:t>(уровень достоверности доказательств 3).</w:t>
      </w:r>
    </w:p>
    <w:p w14:paraId="23A76F4D" w14:textId="6A941904" w:rsidR="008E50A4" w:rsidRPr="008E50A4" w:rsidRDefault="008A3A44" w:rsidP="008E50A4">
      <w:pPr>
        <w:pStyle w:val="affff1"/>
        <w:ind w:left="709" w:hanging="425"/>
      </w:pPr>
      <w:r w:rsidRPr="008E50A4">
        <w:t>Всем женщинам детородного возраста с впервые выявленной ЛМЗ, а также с рецидивом ЛМЗ</w:t>
      </w:r>
      <w:r w:rsidR="008E50A4" w:rsidRPr="008E50A4">
        <w:t xml:space="preserve"> </w:t>
      </w:r>
      <w:r w:rsidRPr="008E50A4">
        <w:t xml:space="preserve">перед началом терапии </w:t>
      </w:r>
      <w:r w:rsidRPr="008E50A4">
        <w:rPr>
          <w:b/>
          <w:bCs/>
        </w:rPr>
        <w:t>рекомендуется</w:t>
      </w:r>
      <w:r w:rsidR="008E50A4" w:rsidRPr="008E50A4">
        <w:t xml:space="preserve"> </w:t>
      </w:r>
      <w:r w:rsidRPr="008E50A4">
        <w:t>выполнение комплекса исследований по определению беременности</w:t>
      </w:r>
      <w:r w:rsidR="008E50A4" w:rsidRPr="008E50A4">
        <w:t xml:space="preserve"> </w:t>
      </w:r>
      <w:r w:rsidRPr="008E50A4">
        <w:t xml:space="preserve">для коррекции терапевтической тактики и </w:t>
      </w:r>
      <w:r w:rsidRPr="008E50A4">
        <w:lastRenderedPageBreak/>
        <w:t xml:space="preserve">консультации акушера-гинеколога в случае наличия беременности и желания женщины ее сохранить </w:t>
      </w:r>
      <w:r w:rsidRPr="008E50A4">
        <w:fldChar w:fldCharType="begin" w:fldLock="1"/>
      </w:r>
      <w:r w:rsidR="00F83A41">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Шмаков","given":"Р.Г.","non-dropping-particle":"","parse-names":false,"suffix":""},{"dropping-particle":"","family":"Демина","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Савченко.","id":"ITEM-2","issued":{"date-parts":[["2018"]]},"page":"143-150","title":"Лимфомы и беременность","type":"chapter"},"uris":["http://www.mendeley.com/documents/?uuid=1b144eff-cfc3-4cd9-b619-e66b3bbc7228"]}],"mendeley":{"formattedCitation":"[4,23]","plainTextFormattedCitation":"[4,23]","previouslyFormattedCitation":"[4,23]"},"properties":{"noteIndex":0},"schema":"https://github.com/citation-style-language/schema/raw/master/csl-citation.json"}</w:instrText>
      </w:r>
      <w:r w:rsidRPr="008E50A4">
        <w:fldChar w:fldCharType="separate"/>
      </w:r>
      <w:r w:rsidR="00F83A41" w:rsidRPr="00F83A41">
        <w:rPr>
          <w:noProof/>
        </w:rPr>
        <w:t>[4,23]</w:t>
      </w:r>
      <w:r w:rsidRPr="008E50A4">
        <w:fldChar w:fldCharType="end"/>
      </w:r>
      <w:r w:rsidRPr="008E50A4">
        <w:t>.</w:t>
      </w:r>
      <w:r w:rsidR="008E50A4" w:rsidRPr="008E50A4">
        <w:t xml:space="preserve"> </w:t>
      </w:r>
    </w:p>
    <w:p w14:paraId="5E473524" w14:textId="5E7E058A" w:rsidR="008A3A44" w:rsidRPr="008E50A4" w:rsidRDefault="008A3A44" w:rsidP="008E50A4">
      <w:pPr>
        <w:ind w:left="709" w:firstLine="0"/>
        <w:rPr>
          <w:b/>
        </w:rPr>
      </w:pPr>
      <w:r w:rsidRPr="008E50A4">
        <w:rPr>
          <w:b/>
        </w:rPr>
        <w:t>Уровень убедительности рекомендаций С (уровень достоверности доказательств 5).</w:t>
      </w:r>
    </w:p>
    <w:p w14:paraId="455A2852" w14:textId="3861C35C" w:rsidR="008E50A4" w:rsidRDefault="008E50A4" w:rsidP="008E50A4">
      <w:pPr>
        <w:pStyle w:val="affff1"/>
        <w:ind w:left="709" w:hanging="425"/>
      </w:pPr>
      <w:r>
        <w:t>В</w:t>
      </w:r>
      <w:r w:rsidRPr="00544312">
        <w:t xml:space="preserve">сем </w:t>
      </w:r>
      <w:r>
        <w:t>женщинам детородного возраста с индолентным течением</w:t>
      </w:r>
      <w:r w:rsidRPr="007556B4">
        <w:t xml:space="preserve"> </w:t>
      </w:r>
      <w:r>
        <w:t>ЛМЗ и при желании пациентки сохранить детородную функцию</w:t>
      </w:r>
      <w:r w:rsidRPr="00544312">
        <w:t xml:space="preserve"> </w:t>
      </w:r>
      <w:r w:rsidRPr="008E50A4">
        <w:rPr>
          <w:b/>
          <w:bCs/>
        </w:rPr>
        <w:t>рекомендуется</w:t>
      </w:r>
      <w:r w:rsidRPr="008E50A4">
        <w:t xml:space="preserve"> </w:t>
      </w:r>
      <w:r>
        <w:t xml:space="preserve">консультация гинеколога для решения вопроса о возможности заготовки яйцеклеток перед началом химиотерапии и в последующем – проведении овариопротекции </w:t>
      </w:r>
      <w:r>
        <w:fldChar w:fldCharType="begin" w:fldLock="1"/>
      </w:r>
      <w:r w:rsidR="00F83A41">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Шмаков","given":"Р.Г.","non-dropping-particle":"","parse-names":false,"suffix":""},{"dropping-particle":"","family":"Демина","given":"Е.А.","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Савченко.","id":"ITEM-2","issued":{"date-parts":[["2018"]]},"page":"143-150","title":"Лимфомы и беременность","type":"chapter"},"uris":["http://www.mendeley.com/documents/?uuid=1b144eff-cfc3-4cd9-b619-e66b3bbc7228"]}],"mendeley":{"formattedCitation":"[4,23]","plainTextFormattedCitation":"[4,23]","previouslyFormattedCitation":"[4,23]"},"properties":{"noteIndex":0},"schema":"https://github.com/citation-style-language/schema/raw/master/csl-citation.json"}</w:instrText>
      </w:r>
      <w:r>
        <w:fldChar w:fldCharType="separate"/>
      </w:r>
      <w:r w:rsidR="00F83A41" w:rsidRPr="00F83A41">
        <w:rPr>
          <w:noProof/>
        </w:rPr>
        <w:t>[4,23]</w:t>
      </w:r>
      <w:r>
        <w:fldChar w:fldCharType="end"/>
      </w:r>
      <w:r>
        <w:t xml:space="preserve">. </w:t>
      </w:r>
    </w:p>
    <w:p w14:paraId="2EC9B4B2" w14:textId="77777777" w:rsidR="008E50A4" w:rsidRDefault="008E50A4" w:rsidP="008E50A4">
      <w:pPr>
        <w:ind w:left="709" w:firstLine="0"/>
        <w:rPr>
          <w:b/>
        </w:rPr>
      </w:pPr>
      <w:r w:rsidRPr="00342C61">
        <w:rPr>
          <w:b/>
        </w:rPr>
        <w:t>Уровень убедительности рекомендаций С (уровень достоверности доказательств 5).</w:t>
      </w:r>
    </w:p>
    <w:p w14:paraId="2B85C16C" w14:textId="77777777" w:rsidR="008E50A4" w:rsidRDefault="008E50A4" w:rsidP="008A3A44">
      <w:pPr>
        <w:pStyle w:val="afd"/>
        <w:spacing w:before="120" w:after="120"/>
        <w:ind w:left="709" w:firstLine="0"/>
        <w:rPr>
          <w:b/>
        </w:rPr>
      </w:pPr>
    </w:p>
    <w:p w14:paraId="1AB891CD" w14:textId="7B6348A3" w:rsidR="00094ED6" w:rsidRPr="00C81573" w:rsidRDefault="00094ED6" w:rsidP="00094ED6">
      <w:pPr>
        <w:pStyle w:val="aff2"/>
      </w:pPr>
    </w:p>
    <w:p w14:paraId="35BE28D6" w14:textId="77777777" w:rsidR="000414F6" w:rsidRPr="00C81573" w:rsidRDefault="00CB71DA" w:rsidP="00C4630C">
      <w:pPr>
        <w:pStyle w:val="afff1"/>
      </w:pPr>
      <w:bookmarkStart w:id="43" w:name="_Toc11747742"/>
      <w:bookmarkStart w:id="44" w:name="_Toc103332094"/>
      <w:r w:rsidRPr="00C81573">
        <w:lastRenderedPageBreak/>
        <w:t>3. Лечение</w:t>
      </w:r>
      <w:bookmarkEnd w:id="42"/>
      <w:r w:rsidR="0038545E" w:rsidRPr="00C81573">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43"/>
      <w:bookmarkEnd w:id="44"/>
    </w:p>
    <w:p w14:paraId="5F935C8E" w14:textId="77777777" w:rsidR="00B23B74" w:rsidRDefault="00B23B74" w:rsidP="00B23B74">
      <w:pPr>
        <w:pStyle w:val="affff"/>
        <w:spacing w:beforeAutospacing="0" w:afterAutospacing="0" w:line="360" w:lineRule="auto"/>
        <w:divId w:val="1767193717"/>
        <w:rPr>
          <w:i/>
          <w:iCs/>
        </w:rPr>
      </w:pPr>
      <w:bookmarkStart w:id="45" w:name="_Toc469402341"/>
      <w:bookmarkStart w:id="46" w:name="_Toc468273538"/>
      <w:bookmarkStart w:id="47" w:name="_Toc468273456"/>
      <w:bookmarkEnd w:id="45"/>
      <w:bookmarkEnd w:id="46"/>
      <w:bookmarkEnd w:id="47"/>
      <w:r w:rsidRPr="004403B5">
        <w:rPr>
          <w:i/>
          <w:iCs/>
        </w:rPr>
        <w:t>При выборе тактики и проведении терапии следует учитывать, что у</w:t>
      </w:r>
      <w:r w:rsidRPr="00BD6E2A">
        <w:rPr>
          <w:i/>
          <w:iCs/>
        </w:rPr>
        <w:t xml:space="preserve"> пациента</w:t>
      </w:r>
      <w:r w:rsidRPr="00FF7B75">
        <w:rPr>
          <w:i/>
          <w:iCs/>
        </w:rPr>
        <w:t xml:space="preserve"> могут быть нестандартные проявления болезни, а 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и лечения.</w:t>
      </w:r>
    </w:p>
    <w:p w14:paraId="726367EF" w14:textId="3352A8ED" w:rsidR="00CC5156" w:rsidRPr="00C81573" w:rsidRDefault="00B23B74" w:rsidP="00B23B74">
      <w:pPr>
        <w:pStyle w:val="2-6"/>
        <w:divId w:val="1767193717"/>
      </w:pPr>
      <w:r w:rsidRPr="00F533A5">
        <w:rPr>
          <w:i/>
        </w:rPr>
        <w:t xml:space="preserve">Пациент прекращает лечение по протоколу в случаях прогрессии заболевания или токсических эффектов, не позволяющих продолжать химиотерапию в </w:t>
      </w:r>
      <w:r w:rsidRPr="00FE0969">
        <w:rPr>
          <w:i/>
        </w:rPr>
        <w:t>необходимом объеме.</w:t>
      </w:r>
    </w:p>
    <w:p w14:paraId="3748F2D3" w14:textId="25195A11" w:rsidR="006425FF" w:rsidRDefault="00B23B74" w:rsidP="00B23B74">
      <w:pPr>
        <w:pStyle w:val="aff1"/>
        <w:ind w:left="0" w:firstLine="709"/>
        <w:rPr>
          <w:b w:val="0"/>
          <w:i/>
        </w:rPr>
      </w:pPr>
      <w:bookmarkStart w:id="48" w:name="_Toc35277454"/>
      <w:bookmarkStart w:id="49" w:name="__RefHeading___doc_4"/>
      <w:r>
        <w:t xml:space="preserve">3.1 Лечение пациентов c ранними </w:t>
      </w:r>
      <w:r w:rsidRPr="009C1559">
        <w:t>(IE1, IЕ2, IIЕ)</w:t>
      </w:r>
      <w:r>
        <w:t xml:space="preserve"> стадиями </w:t>
      </w:r>
      <w:r>
        <w:rPr>
          <w:lang w:val="en-US"/>
        </w:rPr>
        <w:t>MALT</w:t>
      </w:r>
      <w:r w:rsidRPr="004403B5">
        <w:t>-</w:t>
      </w:r>
      <w:r>
        <w:t>лимфомы желудка</w:t>
      </w:r>
      <w:bookmarkEnd w:id="48"/>
      <w:r w:rsidRPr="00C81573">
        <w:rPr>
          <w:b w:val="0"/>
          <w:i/>
        </w:rPr>
        <w:t xml:space="preserve"> </w:t>
      </w:r>
    </w:p>
    <w:p w14:paraId="72567168" w14:textId="77777777" w:rsidR="00B23B74" w:rsidRDefault="00B23B74" w:rsidP="00B23B74">
      <w:pPr>
        <w:spacing w:before="120" w:after="120"/>
        <w:rPr>
          <w:i/>
          <w:iCs/>
        </w:rPr>
      </w:pPr>
      <w:r w:rsidRPr="004403B5">
        <w:rPr>
          <w:i/>
          <w:iCs/>
        </w:rPr>
        <w:t xml:space="preserve">Выбор тактики лечения </w:t>
      </w:r>
      <w:r>
        <w:rPr>
          <w:i/>
          <w:iCs/>
        </w:rPr>
        <w:t xml:space="preserve">пациентов с ранними стадиями </w:t>
      </w:r>
      <w:r w:rsidRPr="004403B5">
        <w:rPr>
          <w:i/>
          <w:iCs/>
        </w:rPr>
        <w:t>MALT-лимфом</w:t>
      </w:r>
      <w:r>
        <w:rPr>
          <w:i/>
          <w:iCs/>
        </w:rPr>
        <w:t>ы</w:t>
      </w:r>
      <w:r w:rsidRPr="004403B5">
        <w:rPr>
          <w:i/>
          <w:iCs/>
        </w:rPr>
        <w:t xml:space="preserve"> желудка зависит от инфицированности H. Pylori.</w:t>
      </w:r>
    </w:p>
    <w:p w14:paraId="79499A97" w14:textId="4DF089C9" w:rsidR="00B23B74" w:rsidRPr="004A4546" w:rsidRDefault="00B23B74" w:rsidP="00B23B74">
      <w:pPr>
        <w:pStyle w:val="affff1"/>
        <w:ind w:left="709" w:hanging="425"/>
      </w:pPr>
      <w:r>
        <w:t xml:space="preserve">Пациентам с верифицированными ранними стадиями </w:t>
      </w:r>
      <w:r w:rsidRPr="006E5E8C">
        <w:t>MALT-лимфомы желудка</w:t>
      </w:r>
      <w:r>
        <w:t xml:space="preserve">, инфицированным </w:t>
      </w:r>
      <w:r>
        <w:rPr>
          <w:lang w:val="en-US"/>
        </w:rPr>
        <w:t>H</w:t>
      </w:r>
      <w:r w:rsidRPr="005C25FB">
        <w:t xml:space="preserve">. </w:t>
      </w:r>
      <w:r>
        <w:rPr>
          <w:lang w:val="en-US"/>
        </w:rPr>
        <w:t>Pylori</w:t>
      </w:r>
      <w:r>
        <w:t xml:space="preserve">, </w:t>
      </w:r>
      <w:r w:rsidRPr="0038639D">
        <w:rPr>
          <w:b/>
        </w:rPr>
        <w:t>рекоменд</w:t>
      </w:r>
      <w:r>
        <w:rPr>
          <w:b/>
        </w:rPr>
        <w:t xml:space="preserve">овано </w:t>
      </w:r>
      <w:r>
        <w:t xml:space="preserve">проведение эрадикационной терапии </w:t>
      </w:r>
      <w:r>
        <w:rPr>
          <w:lang w:val="en-US"/>
        </w:rPr>
        <w:t>H</w:t>
      </w:r>
      <w:r w:rsidRPr="005C25FB">
        <w:t xml:space="preserve">. </w:t>
      </w:r>
      <w:r>
        <w:rPr>
          <w:lang w:val="en-US"/>
        </w:rPr>
        <w:t>pylori</w:t>
      </w:r>
      <w:r>
        <w:t xml:space="preserve"> в соответствии с клиническими рекомендациями по язвенной болезни  у взрослых пациентов </w:t>
      </w:r>
      <w:r>
        <w:fldChar w:fldCharType="begin" w:fldLock="1"/>
      </w:r>
      <w:r w:rsidR="00F83A41">
        <w:instrText>ADDIN CSL_CITATION {"citationItems":[{"id":"ITEM-1","itemData":{"DOI":"10.1093/annonc/mdn760","ISSN":"1569-8041","PMID":"19193705","abstract":"BACKGROUND Treatment aimed at eradicating Helicobacter pylori infection results in lymphoma remission in most localized gastric mucosa-associated lymphoid tissue (MALT) lymphomas. The aim of this survey is to investigate the long-term effect of this therapeutic approach in a large series of patients. METHODS One hundred and five patients with localized gastric MALT lymphoma were initially treated only with H. pylori eradication regimens. Lymphoma responses were graded using the Wotherspoon score. RESULTS Helicobacter pylori, detected by histology in 81% of cases, was eradicated in all positive patients. Histological regression of the lymphoma was achieved in 78 of 102 assessable patients [76%, 95% confidence interval (CI): 67% to 84%] with complete remission (score 0-2) in 66 and partial remission (score 3) in 12. At a median follow-up time of 6.3 years, histological remission was consistently confirmed in 33 of 74 assessable patients, while 25 had score fluctuations (from 0 to 4) and 13 presented a lymphoma relapse (score 5). Only one patient had a distant progression. Transformation to a large-cell lymphoma was seen in two cases. The 5- and 10-year overall survival is 92% (95% CI: 84% to 96%) and 83% (95% CI: 70% to 91%), respectively. Only one patient died of lymphoma after transformation to a high-grade lymphoma. CONCLUSIONS Helicobacter pylori eradication resulted in complete lymphoma remission in the majority of cases. Long-term clinical disease control was achieved in most patients. A watch and wait policy appears to be safe in patients with minimal residual disease or histological-only local relapse.","author":[{"dropping-particle":"","family":"Stathis","given":"A","non-dropping-particle":"","parse-names":false,"suffix":""},{"dropping-particle":"","family":"Chini","given":"C","non-dropping-particle":"","parse-names":false,"suffix":""},{"dropping-particle":"","family":"Bertoni","given":"F","non-dropping-particle":"","parse-names":false,"suffix":""},{"dropping-particle":"","family":"Proserpio","given":"I","non-dropping-particle":"","parse-names":false,"suffix":""},{"dropping-particle":"","family":"Capella","given":"C","non-dropping-particle":"","parse-names":false,"suffix":""},{"dropping-particle":"","family":"Mazzucchelli","given":"L","non-dropping-particle":"","parse-names":false,"suffix":""},{"dropping-particle":"","family":"Pedrinis","given":"E","non-dropping-particle":"","parse-names":false,"suffix":""},{"dropping-particle":"","family":"Cavalli","given":"F","non-dropping-particle":"","parse-names":false,"suffix":""},{"dropping-particle":"","family":"Pinotti","given":"G","non-dropping-particle":"","parse-names":false,"suffix":""},{"dropping-particle":"","family":"Zucca","given":"E","non-dropping-particle":"","parse-names":false,"suffix":""}],"container-title":"Annals of oncology : official journal of the European Society for Medical Oncology","id":"ITEM-1","issue":"6","issued":{"date-parts":[["2009","6"]]},"page":"1086-93","title":"Long-term outcome following Helicobacter pylori eradication in a retrospective study of 105 patients with localized gastric marginal zone B-cell lymphoma of MALT type.","type":"article-journal","volume":"20"},"uris":["http://www.mendeley.com/documents/?uuid=d710a385-c1b5-39cc-bfa8-79c0a4eb170e"]}],"mendeley":{"formattedCitation":"[24]","plainTextFormattedCitation":"[24]","previouslyFormattedCitation":"[24]"},"properties":{"noteIndex":0},"schema":"https://github.com/citation-style-language/schema/raw/master/csl-citation.json"}</w:instrText>
      </w:r>
      <w:r>
        <w:fldChar w:fldCharType="separate"/>
      </w:r>
      <w:r w:rsidR="00F83A41" w:rsidRPr="00F83A41">
        <w:rPr>
          <w:noProof/>
        </w:rPr>
        <w:t>[24]</w:t>
      </w:r>
      <w:r>
        <w:fldChar w:fldCharType="end"/>
      </w:r>
      <w:r w:rsidRPr="00ED0B3A">
        <w:t>.</w:t>
      </w:r>
    </w:p>
    <w:p w14:paraId="17BC7DC8" w14:textId="77777777" w:rsidR="00B23B74" w:rsidRDefault="00B23B74" w:rsidP="00B23B74">
      <w:pPr>
        <w:ind w:left="709" w:firstLine="0"/>
        <w:contextualSpacing/>
        <w:rPr>
          <w:b/>
        </w:rPr>
      </w:pPr>
      <w:r w:rsidRPr="00F6217A">
        <w:rPr>
          <w:b/>
        </w:rPr>
        <w:t>Уровень убедительности рекомендаций С (уровень достоверности доказательств 4)</w:t>
      </w:r>
    </w:p>
    <w:p w14:paraId="58A0F672" w14:textId="5888A9DA" w:rsidR="00B23B74" w:rsidRDefault="00B23B74" w:rsidP="00B23B74">
      <w:pPr>
        <w:pStyle w:val="aff1"/>
        <w:ind w:left="0" w:firstLine="709"/>
        <w:rPr>
          <w:b w:val="0"/>
          <w:bCs/>
        </w:rPr>
      </w:pPr>
      <w:r w:rsidRPr="008E7EEC">
        <w:t>Комментарий:</w:t>
      </w:r>
      <w:r>
        <w:t xml:space="preserve"> </w:t>
      </w:r>
      <w:r w:rsidRPr="00B23B74">
        <w:rPr>
          <w:b w:val="0"/>
          <w:bCs/>
          <w:i/>
        </w:rPr>
        <w:t>необходимо эндоскопическое подтверждение эрадикации</w:t>
      </w:r>
      <w:r>
        <w:rPr>
          <w:b w:val="0"/>
          <w:bCs/>
          <w:i/>
        </w:rPr>
        <w:t xml:space="preserve"> </w:t>
      </w:r>
      <w:r w:rsidRPr="00B23B74">
        <w:rPr>
          <w:rStyle w:val="affa"/>
          <w:b w:val="0"/>
          <w:bCs/>
        </w:rPr>
        <w:t>H. pylori через 3 месяца или раньше, если симптомы лимфомы сохраняются на фоне антибиотикотерапии</w:t>
      </w:r>
      <w:r w:rsidRPr="00B23B74">
        <w:rPr>
          <w:b w:val="0"/>
          <w:bCs/>
        </w:rPr>
        <w:t>.</w:t>
      </w:r>
    </w:p>
    <w:p w14:paraId="5E0BC45A" w14:textId="7FDB97F8" w:rsidR="00B23B74" w:rsidRPr="004A4546" w:rsidRDefault="00B23B74" w:rsidP="00A72B1B">
      <w:pPr>
        <w:pStyle w:val="afd"/>
        <w:numPr>
          <w:ilvl w:val="0"/>
          <w:numId w:val="11"/>
        </w:numPr>
        <w:spacing w:before="120"/>
        <w:ind w:left="709" w:hanging="709"/>
      </w:pPr>
      <w:r>
        <w:t xml:space="preserve">Пациентам с верифицированными ранними стадиями </w:t>
      </w:r>
      <w:r w:rsidRPr="006E5E8C">
        <w:t>MALT-лимфомы</w:t>
      </w:r>
      <w:r>
        <w:t xml:space="preserve"> </w:t>
      </w:r>
      <w:r w:rsidRPr="006E5E8C">
        <w:t>желудка</w:t>
      </w:r>
      <w:r>
        <w:t xml:space="preserve"> с выявленной </w:t>
      </w:r>
      <w:r>
        <w:rPr>
          <w:lang w:val="en-US"/>
        </w:rPr>
        <w:t>t</w:t>
      </w:r>
      <w:r w:rsidRPr="008A0973">
        <w:t>(11;8),</w:t>
      </w:r>
      <w:r>
        <w:t xml:space="preserve"> инфицированным </w:t>
      </w:r>
      <w:r>
        <w:rPr>
          <w:lang w:val="en-US"/>
        </w:rPr>
        <w:t>H</w:t>
      </w:r>
      <w:r w:rsidRPr="005C25FB">
        <w:t xml:space="preserve">. </w:t>
      </w:r>
      <w:r>
        <w:rPr>
          <w:lang w:val="en-US"/>
        </w:rPr>
        <w:t>Pylori</w:t>
      </w:r>
      <w:r w:rsidRPr="008A0973">
        <w:t xml:space="preserve">, </w:t>
      </w:r>
      <w:r>
        <w:t xml:space="preserve">после завершения эрадикационной терапии </w:t>
      </w:r>
      <w:r>
        <w:rPr>
          <w:lang w:val="en-US"/>
        </w:rPr>
        <w:t>H</w:t>
      </w:r>
      <w:r w:rsidRPr="005C25FB">
        <w:t xml:space="preserve">. </w:t>
      </w:r>
      <w:r>
        <w:rPr>
          <w:lang w:val="en-US"/>
        </w:rPr>
        <w:t>pylori</w:t>
      </w:r>
      <w:r>
        <w:t xml:space="preserve">, независимо от ее эффективности, </w:t>
      </w:r>
      <w:r w:rsidRPr="0038639D">
        <w:rPr>
          <w:b/>
        </w:rPr>
        <w:t>рекоменд</w:t>
      </w:r>
      <w:r>
        <w:rPr>
          <w:b/>
        </w:rPr>
        <w:t xml:space="preserve">овано </w:t>
      </w:r>
      <w:r w:rsidRPr="008A0973">
        <w:t>назначение монотерапии</w:t>
      </w:r>
      <w:r>
        <w:t xml:space="preserve"> </w:t>
      </w:r>
      <w:r w:rsidRPr="008A0973">
        <w:t>ритуксимабом</w:t>
      </w:r>
      <w:r w:rsidRPr="008D50EC">
        <w:t>**</w:t>
      </w:r>
      <w:r w:rsidRPr="008A0973">
        <w:t xml:space="preserve"> или лучевой терапии (ЛТ) СОД 24-30</w:t>
      </w:r>
      <w:r>
        <w:t xml:space="preserve"> </w:t>
      </w:r>
      <w:r w:rsidRPr="008A0973">
        <w:t>Гр</w:t>
      </w:r>
      <w:r>
        <w:t xml:space="preserve"> </w:t>
      </w:r>
      <w:r>
        <w:fldChar w:fldCharType="begin" w:fldLock="1"/>
      </w:r>
      <w:r w:rsidR="00F83A41">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00F83A41" w:rsidRPr="00F83A41">
        <w:rPr>
          <w:noProof/>
        </w:rPr>
        <w:t>[5,11,12]</w:t>
      </w:r>
      <w:r>
        <w:fldChar w:fldCharType="end"/>
      </w:r>
      <w:r w:rsidRPr="008A0973">
        <w:t>.</w:t>
      </w:r>
    </w:p>
    <w:p w14:paraId="04788CA3" w14:textId="77777777" w:rsidR="00B23B74" w:rsidRDefault="00B23B74" w:rsidP="00B23B74">
      <w:pPr>
        <w:ind w:left="709" w:firstLine="0"/>
        <w:contextualSpacing/>
        <w:rPr>
          <w:b/>
        </w:rPr>
      </w:pPr>
      <w:r w:rsidRPr="00F6217A">
        <w:rPr>
          <w:b/>
        </w:rPr>
        <w:t>Уровень убедительности рекомендаций С (уровень достоверности доказательств 5).</w:t>
      </w:r>
    </w:p>
    <w:p w14:paraId="1FB7F7D3" w14:textId="77777777" w:rsidR="00B23B74" w:rsidRDefault="00B23B74" w:rsidP="00B23B74">
      <w:pPr>
        <w:pStyle w:val="affff"/>
        <w:spacing w:beforeAutospacing="0" w:afterAutospacing="0" w:line="360" w:lineRule="auto"/>
        <w:rPr>
          <w:rStyle w:val="affa"/>
        </w:rPr>
      </w:pPr>
      <w:r w:rsidRPr="006641A3">
        <w:rPr>
          <w:b/>
        </w:rPr>
        <w:t>Комментарий:</w:t>
      </w:r>
      <w:r>
        <w:rPr>
          <w:b/>
        </w:rPr>
        <w:t xml:space="preserve"> </w:t>
      </w:r>
      <w:r w:rsidRPr="006641A3">
        <w:rPr>
          <w:rStyle w:val="affa"/>
        </w:rPr>
        <w:t xml:space="preserve">параметры лучевой терапии определяются в зависимости от первичной распространенности процесса, локализации и объема опухолевого поражения.  Определение исходных очагов поражения должно осуществляться с использованием </w:t>
      </w:r>
      <w:r w:rsidRPr="006641A3">
        <w:rPr>
          <w:rStyle w:val="affa"/>
        </w:rPr>
        <w:lastRenderedPageBreak/>
        <w:t xml:space="preserve">компьютерной томографии с внутривенным контрастированием, позитронно-эмиссионной томографии. </w:t>
      </w:r>
    </w:p>
    <w:p w14:paraId="2799E41A" w14:textId="240D6B48" w:rsidR="00B23B74" w:rsidRPr="00F44253" w:rsidRDefault="00B23B74" w:rsidP="00B23B74">
      <w:pPr>
        <w:pStyle w:val="affff"/>
        <w:spacing w:beforeAutospacing="0" w:afterAutospacing="0" w:line="360" w:lineRule="auto"/>
        <w:rPr>
          <w:i/>
        </w:rPr>
      </w:pPr>
      <w:r w:rsidRPr="00F83A41">
        <w:rPr>
          <w:i/>
        </w:rPr>
        <w:t xml:space="preserve">Для снижения частоты локорегионарных рецидивов должна проводиться современная 3D-конформная дистанционная ЛТ на линейных ускорителях электронов с многолепестковыми коллиматорами диафрагмы или на протонном ускорителе с использованием протонного пучка. При отсутствии линейных ускорителей электронов дистанционную ЛТ рекомендуется проводить на дистанционных гамма-терапевтических аппаратах. При проведении ЛТ должны использоваться специальные фиксирующие приспособления для повышения точности и воспроизводимости укладок больных. </w:t>
      </w:r>
      <w:r w:rsidR="00F83A41" w:rsidRPr="00F83A41">
        <w:rPr>
          <w:i/>
        </w:rPr>
        <w:t>Необходимо</w:t>
      </w:r>
      <w:r w:rsidRPr="00F83A41">
        <w:rPr>
          <w:i/>
        </w:rPr>
        <w:t xml:space="preserve"> выполнять объемное планирование с оконтуриванием легочной, сердечной тканей, контралатеральной молочной железы для минимизации дозовой нагрузки на них. Дозу в заданной мишени рассчитывают согласно рекомендациям Международной комиссии по радиационным единицам и измерениям МКРЕ-50, 62 и 83</w:t>
      </w:r>
      <w:r w:rsidR="00F83A41" w:rsidRPr="00F83A41">
        <w:rPr>
          <w:i/>
        </w:rPr>
        <w:t xml:space="preserve"> </w:t>
      </w:r>
      <w:r w:rsidR="00F83A41" w:rsidRPr="00F83A41">
        <w:rPr>
          <w:i/>
        </w:rPr>
        <w:fldChar w:fldCharType="begin" w:fldLock="1"/>
      </w:r>
      <w:r w:rsidR="00F83A41" w:rsidRPr="00F83A41">
        <w:rPr>
          <w:i/>
        </w:rPr>
        <w:instrText>ADDIN CSL_CITATION {"citationItems":[{"id":"ITEM-1","itemData":{"DOI":"10.1007/S00066-011-0015-X","ISSN":"1439-099X","PMID":"22234506","author":[{"dropping-particle":"","family":"Hodapp","given":"N.","non-dropping-particle":"","parse-names":false,"suffix":""}],"container-title":"Strahlentherapie und Onkologie : Organ der Deutschen Rontgengesellschaft ... [et al]","id":"ITEM-1","issue":"1","issued":{"date-parts":[["2012","1"]]},"page":"97-99","publisher":"Strahlenther Onkol","title":"[The ICRU Report 83: prescribing, recording and reporting photon-beam intensity-modulated radiation therapy (IMRT)]","type":"article-journal","volume":"188"},"uris":["http://www.mendeley.com/documents/?uuid=63280e79-01d4-3202-a229-99298069d2c0"]}],"mendeley":{"formattedCitation":"[25]","plainTextFormattedCitation":"[25]","previouslyFormattedCitation":"[25]"},"properties":{"noteIndex":0},"schema":"https://github.com/citation-style-language/schema/raw/master/csl-citation.json"}</w:instrText>
      </w:r>
      <w:r w:rsidR="00F83A41" w:rsidRPr="00F83A41">
        <w:rPr>
          <w:i/>
        </w:rPr>
        <w:fldChar w:fldCharType="separate"/>
      </w:r>
      <w:r w:rsidR="00F83A41" w:rsidRPr="00F83A41">
        <w:rPr>
          <w:noProof/>
        </w:rPr>
        <w:t>[25]</w:t>
      </w:r>
      <w:r w:rsidR="00F83A41" w:rsidRPr="00F83A41">
        <w:rPr>
          <w:i/>
        </w:rPr>
        <w:fldChar w:fldCharType="end"/>
      </w:r>
      <w:r w:rsidRPr="00F83A41">
        <w:rPr>
          <w:i/>
        </w:rPr>
        <w:t>, дозы в нормальных тканях рекомендуется ограничивать согласно данным QUANTEC, но без ущерба для покрытия планируемого лечебного объема</w:t>
      </w:r>
      <w:r w:rsidR="00F83A41" w:rsidRPr="00F83A41">
        <w:rPr>
          <w:i/>
        </w:rPr>
        <w:t xml:space="preserve"> </w:t>
      </w:r>
      <w:r w:rsidR="00F83A41" w:rsidRPr="00F83A41">
        <w:rPr>
          <w:i/>
        </w:rPr>
        <w:fldChar w:fldCharType="begin" w:fldLock="1"/>
      </w:r>
      <w:r w:rsidR="00F83A41">
        <w:rPr>
          <w:i/>
        </w:rPr>
        <w:instrText>ADDIN CSL_CITATION {"citationItems":[{"id":"ITEM-1","itemData":{"DOI":"10.1016/J.IJROBP.2009.07.1754","ISSN":"1879-355X","PMID":"20171502","abstract":"The Quantitative Analysis of Normal Tissue Effects in the Clinic (QUANTEC) review summarizes the currently available three-dimensional dose/volume/outcome data to update and refine the normal tissue dose/volume tolerance guidelines provided by the classic Emami et al. paper published in 1991. A \"clinician's view\" on using the QUANTEC information in a responsible manner is presented along with a description of the most commonly used normal tissue complication probability (NTCP) models. A summary of organ-specific dose/volume/outcome data, based on the QUANTEC reviews, is included. © 2010 Elsevier Inc. All rights reserved.","author":[{"dropping-particle":"","family":"Marks","given":"Lawrence B.","non-dropping-particle":"","parse-names":false,"suffix":""},{"dropping-particle":"","family":"Yorke","given":"Ellen D.","non-dropping-particle":"","parse-names":false,"suffix":""},{"dropping-particle":"","family":"Jackson","given":"Andrew","non-dropping-particle":"","parse-names":false,"suffix":""},{"dropping-particle":"","family":"Haken","given":"Randall K.","non-dropping-particle":"Ten","parse-names":false,"suffix":""},{"dropping-particle":"","family":"Constine","given":"Louis S.","non-dropping-particle":"","parse-names":false,"suffix":""},{"dropping-particle":"","family":"Eisbruch","given":"Avraham","non-dropping-particle":"","parse-names":false,"suffix":""},{"dropping-particle":"","family":"Bentzen","given":"Søren M.","non-dropping-particle":"","parse-names":false,"suffix":""},{"dropping-particle":"","family":"Nam","given":"Jiho","non-dropping-particle":"","parse-names":false,"suffix":""},{"dropping-particle":"","family":"Deasy","given":"Joseph O.","non-dropping-particle":"","parse-names":false,"suffix":""}],"container-title":"International journal of radiation oncology, biology, physics","id":"ITEM-1","issue":"3 Suppl","issued":{"date-parts":[["2010","3","1"]]},"publisher":"Int J Radiat Oncol Biol Phys","title":"Use of normal tissue complication probability models in the clinic","type":"article-journal","volume":"76"},"uris":["http://www.mendeley.com/documents/?uuid=f880a204-55d1-33f6-a4f6-ce2a7eed48b7"]}],"mendeley":{"formattedCitation":"[26]","plainTextFormattedCitation":"[26]","previouslyFormattedCitation":"[26]"},"properties":{"noteIndex":0},"schema":"https://github.com/citation-style-language/schema/raw/master/csl-citation.json"}</w:instrText>
      </w:r>
      <w:r w:rsidR="00F83A41" w:rsidRPr="00F83A41">
        <w:rPr>
          <w:i/>
        </w:rPr>
        <w:fldChar w:fldCharType="separate"/>
      </w:r>
      <w:r w:rsidR="00F83A41" w:rsidRPr="00F83A41">
        <w:rPr>
          <w:noProof/>
        </w:rPr>
        <w:t>[26]</w:t>
      </w:r>
      <w:r w:rsidR="00F83A41" w:rsidRPr="00F83A41">
        <w:rPr>
          <w:i/>
        </w:rPr>
        <w:fldChar w:fldCharType="end"/>
      </w:r>
      <w:r w:rsidR="00F83A41" w:rsidRPr="00F44253">
        <w:rPr>
          <w:i/>
        </w:rPr>
        <w:t>.</w:t>
      </w:r>
    </w:p>
    <w:p w14:paraId="2F9B963E" w14:textId="5EFA583D" w:rsidR="00F83A41" w:rsidRPr="004A4546" w:rsidRDefault="00F83A41" w:rsidP="00F83A41">
      <w:pPr>
        <w:pStyle w:val="affff1"/>
        <w:ind w:left="709" w:hanging="425"/>
      </w:pPr>
      <w:r>
        <w:t>Пациентам с</w:t>
      </w:r>
      <w:r w:rsidRPr="00F83A41">
        <w:t xml:space="preserve"> </w:t>
      </w:r>
      <w:r>
        <w:t xml:space="preserve">верифицированными ранними стадиями </w:t>
      </w:r>
      <w:r w:rsidRPr="006E5E8C">
        <w:t>MALT-лимфомы желудка</w:t>
      </w:r>
      <w:r>
        <w:t>,</w:t>
      </w:r>
      <w:r w:rsidRPr="00F83A41">
        <w:t xml:space="preserve"> </w:t>
      </w:r>
      <w:r>
        <w:t xml:space="preserve">инфицированным </w:t>
      </w:r>
      <w:r>
        <w:rPr>
          <w:lang w:val="en-US"/>
        </w:rPr>
        <w:t>H</w:t>
      </w:r>
      <w:r w:rsidRPr="005C25FB">
        <w:t xml:space="preserve">. </w:t>
      </w:r>
      <w:r>
        <w:rPr>
          <w:lang w:val="en-US"/>
        </w:rPr>
        <w:t>Pylori</w:t>
      </w:r>
      <w:r>
        <w:t>,</w:t>
      </w:r>
      <w:r w:rsidRPr="008A0973">
        <w:t xml:space="preserve"> пр</w:t>
      </w:r>
      <w:r>
        <w:t>и</w:t>
      </w:r>
      <w:r w:rsidRPr="008A0973">
        <w:t xml:space="preserve"> морфологически доказанной регрессии лимфомы и эрадикации H. pylori через 3 месяца</w:t>
      </w:r>
      <w:r w:rsidRPr="00F83A41">
        <w:t xml:space="preserve"> </w:t>
      </w:r>
      <w:r>
        <w:t>эрадикационной</w:t>
      </w:r>
      <w:r w:rsidRPr="00F83A41">
        <w:t xml:space="preserve"> </w:t>
      </w:r>
      <w:r>
        <w:t xml:space="preserve">терапии </w:t>
      </w:r>
      <w:r w:rsidRPr="0038639D">
        <w:rPr>
          <w:b/>
        </w:rPr>
        <w:t>рекоменд</w:t>
      </w:r>
      <w:r>
        <w:rPr>
          <w:b/>
        </w:rPr>
        <w:t xml:space="preserve">овано </w:t>
      </w:r>
      <w:r>
        <w:t xml:space="preserve">динамическое наблюдение </w:t>
      </w:r>
      <w:r>
        <w:fldChar w:fldCharType="begin" w:fldLock="1"/>
      </w:r>
      <w:r w:rsidR="004F1429">
        <w:instrText>ADDIN CSL_CITATION {"citationItems":[{"id":"ITEM-1","itemData":{"DOI":"10.1093/annonc/mdn760","ISSN":"1569-8041","PMID":"19193705","abstract":"BACKGROUND Treatment aimed at eradicating Helicobacter pylori infection results in lymphoma remission in most localized gastric mucosa-associated lymphoid tissue (MALT) lymphomas. The aim of this survey is to investigate the long-term effect of this therapeutic approach in a large series of patients. METHODS One hundred and five patients with localized gastric MALT lymphoma were initially treated only with H. pylori eradication regimens. Lymphoma responses were graded using the Wotherspoon score. RESULTS Helicobacter pylori, detected by histology in 81% of cases, was eradicated in all positive patients. Histological regression of the lymphoma was achieved in 78 of 102 assessable patients [76%, 95% confidence interval (CI): 67% to 84%] with complete remission (score 0-2) in 66 and partial remission (score 3) in 12. At a median follow-up time of 6.3 years, histological remission was consistently confirmed in 33 of 74 assessable patients, while 25 had score fluctuations (from 0 to 4) and 13 presented a lymphoma relapse (score 5). Only one patient had a distant progression. Transformation to a large-cell lymphoma was seen in two cases. The 5- and 10-year overall survival is 92% (95% CI: 84% to 96%) and 83% (95% CI: 70% to 91%), respectively. Only one patient died of lymphoma after transformation to a high-grade lymphoma. CONCLUSIONS Helicobacter pylori eradication resulted in complete lymphoma remission in the majority of cases. Long-term clinical disease control was achieved in most patients. A watch and wait policy appears to be safe in patients with minimal residual disease or histological-only local relapse.","author":[{"dropping-particle":"","family":"Stathis","given":"A","non-dropping-particle":"","parse-names":false,"suffix":""},{"dropping-particle":"","family":"Chini","given":"C","non-dropping-particle":"","parse-names":false,"suffix":""},{"dropping-particle":"","family":"Bertoni","given":"F","non-dropping-particle":"","parse-names":false,"suffix":""},{"dropping-particle":"","family":"Proserpio","given":"I","non-dropping-particle":"","parse-names":false,"suffix":""},{"dropping-particle":"","family":"Capella","given":"C","non-dropping-particle":"","parse-names":false,"suffix":""},{"dropping-particle":"","family":"Mazzucchelli","given":"L","non-dropping-particle":"","parse-names":false,"suffix":""},{"dropping-particle":"","family":"Pedrinis","given":"E","non-dropping-particle":"","parse-names":false,"suffix":""},{"dropping-particle":"","family":"Cavalli","given":"F","non-dropping-particle":"","parse-names":false,"suffix":""},{"dropping-particle":"","family":"Pinotti","given":"G","non-dropping-particle":"","parse-names":false,"suffix":""},{"dropping-particle":"","family":"Zucca","given":"E","non-dropping-particle":"","parse-names":false,"suffix":""}],"container-title":"Annals of oncology : official journal of the European Society for Medical Oncology","id":"ITEM-1","issue":"6","issued":{"date-parts":[["2009","6"]]},"page":"1086-93","title":"Long-term outcome following Helicobacter pylori eradication in a retrospective study of 105 patients with localized gastric marginal zone B-cell lymphoma of MALT type.","type":"article-journal","volume":"20"},"uris":["http://www.mendeley.com/documents/?uuid=d710a385-c1b5-39cc-bfa8-79c0a4eb170e"]}],"mendeley":{"formattedCitation":"[24]","plainTextFormattedCitation":"[24]","previouslyFormattedCitation":"[24]"},"properties":{"noteIndex":0},"schema":"https://github.com/citation-style-language/schema/raw/master/csl-citation.json"}</w:instrText>
      </w:r>
      <w:r>
        <w:fldChar w:fldCharType="separate"/>
      </w:r>
      <w:r w:rsidRPr="00F83A41">
        <w:rPr>
          <w:noProof/>
        </w:rPr>
        <w:t>[24]</w:t>
      </w:r>
      <w:r>
        <w:fldChar w:fldCharType="end"/>
      </w:r>
      <w:r w:rsidRPr="008A0973">
        <w:t>.</w:t>
      </w:r>
    </w:p>
    <w:p w14:paraId="5F99F011" w14:textId="55B19878" w:rsidR="00F83A41" w:rsidRDefault="00F83A41" w:rsidP="00F83A41">
      <w:pPr>
        <w:pStyle w:val="affff"/>
        <w:spacing w:beforeAutospacing="0" w:afterAutospacing="0" w:line="360" w:lineRule="auto"/>
        <w:ind w:left="709" w:firstLine="0"/>
        <w:rPr>
          <w:b/>
        </w:rPr>
      </w:pPr>
      <w:r w:rsidRPr="00F6217A">
        <w:rPr>
          <w:b/>
        </w:rPr>
        <w:t>Уровень убедительности рекомендаций С (уровень достоверности доказательств 4).</w:t>
      </w:r>
    </w:p>
    <w:p w14:paraId="52B65519" w14:textId="7C65DA48" w:rsidR="00F83A41" w:rsidRPr="004A4546" w:rsidRDefault="00F83A41" w:rsidP="00A72B1B">
      <w:pPr>
        <w:pStyle w:val="afd"/>
        <w:numPr>
          <w:ilvl w:val="0"/>
          <w:numId w:val="11"/>
        </w:numPr>
        <w:spacing w:before="120"/>
        <w:ind w:left="709" w:hanging="709"/>
      </w:pPr>
      <w:r>
        <w:t xml:space="preserve">Пациентам с верифицированными ранними стадиями </w:t>
      </w:r>
      <w:r w:rsidRPr="006E5E8C">
        <w:t>MALT-лимфомы желудка</w:t>
      </w:r>
      <w:r>
        <w:t>,</w:t>
      </w:r>
      <w:r w:rsidRPr="006F55E0">
        <w:t xml:space="preserve"> </w:t>
      </w:r>
      <w:r>
        <w:t xml:space="preserve">инфицированным </w:t>
      </w:r>
      <w:r>
        <w:rPr>
          <w:lang w:val="en-US"/>
        </w:rPr>
        <w:t>H</w:t>
      </w:r>
      <w:r w:rsidRPr="005C25FB">
        <w:t xml:space="preserve">. </w:t>
      </w:r>
      <w:r>
        <w:rPr>
          <w:lang w:val="en-US"/>
        </w:rPr>
        <w:t>Pylori</w:t>
      </w:r>
      <w:r>
        <w:t>,</w:t>
      </w:r>
      <w:r w:rsidRPr="008A0973">
        <w:t xml:space="preserve"> пр</w:t>
      </w:r>
      <w:r>
        <w:t>и</w:t>
      </w:r>
      <w:r w:rsidRPr="006F55E0">
        <w:t xml:space="preserve"> </w:t>
      </w:r>
      <w:r>
        <w:t xml:space="preserve">сохранении инфицированности </w:t>
      </w:r>
      <w:r w:rsidRPr="008A0973">
        <w:t>H. pylori через 3 месяца</w:t>
      </w:r>
      <w:r w:rsidRPr="006F55E0">
        <w:t xml:space="preserve"> </w:t>
      </w:r>
      <w:r>
        <w:t xml:space="preserve">эрадикационной терапии </w:t>
      </w:r>
      <w:r w:rsidRPr="0038639D">
        <w:rPr>
          <w:b/>
        </w:rPr>
        <w:t>рекоменд</w:t>
      </w:r>
      <w:r>
        <w:rPr>
          <w:b/>
        </w:rPr>
        <w:t xml:space="preserve">ована </w:t>
      </w:r>
      <w:r w:rsidRPr="00C648C4">
        <w:t>антихеликобактерная терапия 2 линии до полной эрадикации инфекции</w:t>
      </w:r>
      <w:r>
        <w:t xml:space="preserve"> (в соответсвии с профильными рекомендациями по лечению язвенной болезни желудка), а при отсутствии регрессии опухоли – дополнительно ЛТ на фоне антихеликобактерной терапии</w:t>
      </w:r>
      <w:r w:rsidR="00960C32" w:rsidRPr="006F55E0">
        <w:t xml:space="preserve"> </w:t>
      </w:r>
      <w:r>
        <w:fldChar w:fldCharType="begin" w:fldLock="1"/>
      </w:r>
      <w:r>
        <w:instrText>ADDIN CSL_CITATION {"citationItems":[{"id":"ITEM-1","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Oncology","id":"ITEM-1","issue":"1","issued":{"date-parts":[["2020","1","1"]]},"page":"17-29","publisher":"Elsevier Ltd","title":"Marginal zone lymphomas: ESMO Clinical Practice Guidelines for diagnosis, treatment and follow-up","type":"article-journal","volume":"31"},"uris":["http://www.mendeley.com/documents/?uuid=fbdf0c05-49c8-3abf-834c-701e85508549"]}],"mendeley":{"formattedCitation":"[5]","plainTextFormattedCitation":"[5]","previouslyFormattedCitation":"[5]"},"properties":{"noteIndex":0},"schema":"https://github.com/citation-style-language/schema/raw/master/csl-citation.json"}</w:instrText>
      </w:r>
      <w:r>
        <w:fldChar w:fldCharType="separate"/>
      </w:r>
      <w:r w:rsidRPr="00F6217A">
        <w:rPr>
          <w:noProof/>
        </w:rPr>
        <w:t>[5]</w:t>
      </w:r>
      <w:r>
        <w:fldChar w:fldCharType="end"/>
      </w:r>
      <w:r w:rsidRPr="008A0973">
        <w:t>.</w:t>
      </w:r>
    </w:p>
    <w:p w14:paraId="37EB8550" w14:textId="77777777" w:rsidR="00F83A41" w:rsidRDefault="00F83A41" w:rsidP="00F83A41">
      <w:pPr>
        <w:ind w:left="709" w:firstLine="0"/>
        <w:contextualSpacing/>
        <w:rPr>
          <w:b/>
        </w:rPr>
      </w:pPr>
      <w:r w:rsidRPr="00F6217A">
        <w:rPr>
          <w:b/>
        </w:rPr>
        <w:t>Уровень убедительности рекомендаций С (уровень достоверности доказательств 5)</w:t>
      </w:r>
    </w:p>
    <w:p w14:paraId="616610BF" w14:textId="02B51C95" w:rsidR="00F83A41" w:rsidRPr="00960C32" w:rsidRDefault="00F83A41" w:rsidP="00960C32">
      <w:pPr>
        <w:contextualSpacing/>
        <w:rPr>
          <w:i/>
        </w:rPr>
      </w:pPr>
      <w:r w:rsidRPr="00960C32">
        <w:rPr>
          <w:b/>
        </w:rPr>
        <w:t>Комментарий:</w:t>
      </w:r>
      <w:r w:rsidRPr="00960C32">
        <w:rPr>
          <w:i/>
        </w:rPr>
        <w:t xml:space="preserve"> </w:t>
      </w:r>
      <w:r w:rsidR="00960C32" w:rsidRPr="00960C32">
        <w:rPr>
          <w:i/>
        </w:rPr>
        <w:t xml:space="preserve">в </w:t>
      </w:r>
      <w:r w:rsidRPr="00960C32">
        <w:rPr>
          <w:i/>
        </w:rPr>
        <w:t>связи с частым мультифокальным поражением в  зону облучения необходимо включать весь желудок от</w:t>
      </w:r>
      <w:r w:rsidR="00960C32" w:rsidRPr="00960C32">
        <w:rPr>
          <w:i/>
        </w:rPr>
        <w:t xml:space="preserve"> </w:t>
      </w:r>
      <w:r w:rsidRPr="00960C32">
        <w:rPr>
          <w:i/>
        </w:rPr>
        <w:t>гастроэзофагеального перехода до выхода за пределы луковицы 12-перстной кишки и перигастральные лимфатические узлы (даже без признаков их поражения)</w:t>
      </w:r>
      <w:r w:rsidR="00960C32" w:rsidRPr="00960C32">
        <w:rPr>
          <w:i/>
        </w:rPr>
        <w:t>.</w:t>
      </w:r>
    </w:p>
    <w:p w14:paraId="239D628E" w14:textId="619BCBF1" w:rsidR="00F83A41" w:rsidRPr="00960C32" w:rsidRDefault="00F83A41" w:rsidP="00960C32">
      <w:pPr>
        <w:contextualSpacing/>
        <w:rPr>
          <w:i/>
        </w:rPr>
      </w:pPr>
      <w:r w:rsidRPr="00960C32">
        <w:rPr>
          <w:i/>
        </w:rPr>
        <w:lastRenderedPageBreak/>
        <w:t>Поражённые или подозрительные лимфатические узлы ворот печени, парааортальные лимфатические узлы также должны быть включены в лечебный объём</w:t>
      </w:r>
      <w:r w:rsidR="00960C32" w:rsidRPr="00960C32">
        <w:rPr>
          <w:i/>
        </w:rPr>
        <w:t>.</w:t>
      </w:r>
    </w:p>
    <w:p w14:paraId="67DA9C07" w14:textId="30EBC2AE" w:rsidR="00F83A41" w:rsidRPr="00960C32" w:rsidRDefault="00F83A41" w:rsidP="00960C32">
      <w:pPr>
        <w:contextualSpacing/>
        <w:rPr>
          <w:i/>
        </w:rPr>
      </w:pPr>
      <w:r w:rsidRPr="00960C32">
        <w:rPr>
          <w:i/>
        </w:rPr>
        <w:t>Органами риска являются почки, печень, сердце, легкие, кишечник, спинной мозг. Предлучевую подготовку и лечение больных с лимфомой желудка целесообразно проводить натощак (не менее 4 часов после приёма пищи). Перед началом лечения обязательно исследование выделительной функции обеих почек. Желательно оценивать движения лёгких, проводить ЛТ с задержкой дыхания на вдохе (респираторный гейтинг).</w:t>
      </w:r>
    </w:p>
    <w:p w14:paraId="48A0AC75" w14:textId="57607249" w:rsidR="00F83A41" w:rsidRDefault="00F83A41" w:rsidP="00960C32">
      <w:pPr>
        <w:contextualSpacing/>
        <w:rPr>
          <w:i/>
          <w:lang w:val="en-US"/>
        </w:rPr>
      </w:pPr>
      <w:r w:rsidRPr="00960C32">
        <w:rPr>
          <w:i/>
        </w:rPr>
        <w:t xml:space="preserve">Суммарные дозы </w:t>
      </w:r>
      <w:r w:rsidR="00960C32" w:rsidRPr="00960C32">
        <w:rPr>
          <w:i/>
        </w:rPr>
        <w:t>–</w:t>
      </w:r>
      <w:r w:rsidRPr="00960C32">
        <w:rPr>
          <w:i/>
        </w:rPr>
        <w:t xml:space="preserve"> 24-30</w:t>
      </w:r>
      <w:r w:rsidR="00960C32">
        <w:rPr>
          <w:i/>
          <w:lang w:val="en-US"/>
        </w:rPr>
        <w:t> </w:t>
      </w:r>
      <w:r w:rsidRPr="00960C32">
        <w:rPr>
          <w:i/>
        </w:rPr>
        <w:t>Гр с разовой дозой 1,5-2</w:t>
      </w:r>
      <w:r w:rsidR="00960C32">
        <w:rPr>
          <w:i/>
          <w:lang w:val="en-US"/>
        </w:rPr>
        <w:t> </w:t>
      </w:r>
      <w:r w:rsidRPr="00960C32">
        <w:rPr>
          <w:i/>
        </w:rPr>
        <w:t>Гр (для минимизации гастроинтестинальной токсичности)</w:t>
      </w:r>
      <w:r w:rsidR="00960C32" w:rsidRPr="00960C32">
        <w:rPr>
          <w:i/>
        </w:rPr>
        <w:t xml:space="preserve"> ±</w:t>
      </w:r>
      <w:r w:rsidRPr="00960C32">
        <w:rPr>
          <w:i/>
        </w:rPr>
        <w:t xml:space="preserve"> «буст» на определяемую опухоль 6</w:t>
      </w:r>
      <w:r w:rsidR="00960C32">
        <w:rPr>
          <w:i/>
          <w:lang w:val="en-US"/>
        </w:rPr>
        <w:t> </w:t>
      </w:r>
      <w:r w:rsidRPr="00960C32">
        <w:rPr>
          <w:i/>
        </w:rPr>
        <w:t>Гр, в отдельных случаях суммарные дозы могут достигать 36</w:t>
      </w:r>
      <w:r w:rsidR="00960C32">
        <w:rPr>
          <w:i/>
          <w:lang w:val="en-US"/>
        </w:rPr>
        <w:t> </w:t>
      </w:r>
      <w:r w:rsidRPr="00960C32">
        <w:rPr>
          <w:i/>
        </w:rPr>
        <w:t xml:space="preserve">Гр. Использование передовых технологий ЛТ, таких как 3D конформная ЛТ и её варианты (IMRT, VMAT), позволяет подвести высокую дозу к органу-мишени и снизить её на органы риска </w:t>
      </w:r>
      <w:r w:rsidRPr="00960C32">
        <w:rPr>
          <w:i/>
        </w:rPr>
        <w:fldChar w:fldCharType="begin" w:fldLock="1"/>
      </w:r>
      <w:r w:rsidR="004A6A9D">
        <w:rPr>
          <w:i/>
        </w:rPr>
        <w:instrText>ADDIN CSL_CITATION {"citationItems":[{"id":"ITEM-1","itemData":{"DOI":"10.1016/j.ijrobp.2015.01.009","ISSN":"1879355X","PMID":"25863751","abstract":"Extranodal lymphomas (ENLs) comprise about a third of all non-Hodgkin lymphomas (NHL). Radiation therapy (RT) is frequently used as either primary therapy (particularly for indolent ENL), consolidation after systemic therapy, salvage treatment, or palliation. The wide range of presentations of ENL, involving any organ in the body and the spectrum of histological sub-types, poses a challenge both for routine clinical care and for the conduct of prospective and retrospective studies. This has led to uncertainty and lack of consistency in RT approaches between centers and clinicians. Thus far there is a lack of guidelines for the use of RT in the management of ENL. This report presents an effort by the International Lymphoma Radiation Oncology Group (ILROG) to harmonize and standardize the principles of treatment of ENL, and to address the technical challenges of simulation, volume definition and treatment planning for the most frequently involved organs. Specifically, detailed recommendations for RT volumes are provided. We have applied the same modern principles of involved site radiation therapy as previously developed and published as guidelines for Hodgkin lymphoma and nodal NHL. We have adopted RT volume definitions based on the International Commission on Radiation Units and Measurements (ICRU), as has been widely adopted by the field of radiation oncology for solid tumors. Organ-specific recommendations take into account histological subtype, anatomy, the treatment intent, and other treatment modalities that may be have been used before RT. Ó 2015 The Authors. Published by Elsevier Inc. This is an open access article under the CC BY-NC-ND license (http://creativecommons.org/licenses/by-nc-nd/4.0/).","author":[{"dropping-particle":"","family":"Yahalom","given":"Joachim","non-dropping-particle":"","parse-names":false,"suffix":""},{"dropping-particle":"","family":"Illidge","given":"Tim","non-dropping-particle":"","parse-names":false,"suffix":""},{"dropping-particle":"","family":"Specht","given":"Lena","non-dropping-particle":"","parse-names":false,"suffix":""},{"dropping-particle":"","family":"Hoppe","given":"Richard T.","non-dropping-particle":"","parse-names":false,"suffix":""},{"dropping-particle":"","family":"Li","given":"Ye Xiong","non-dropping-particle":"","parse-names":false,"suffix":""},{"dropping-particle":"","family":"Tsang","given":"Richard","non-dropping-particle":"","parse-names":false,"suffix":""},{"dropping-particle":"","family":"Wirth","given":"Andrew","non-dropping-particle":"","parse-names":false,"suffix":""}],"container-title":"International Journal of Radiation Oncology Biology Physics","id":"ITEM-1","issue":"1","issued":{"date-parts":[["2015","5","1"]]},"page":"11-31","publisher":"Elsevier Inc.","title":"Modern radiation therapy for extranodal lymphomas: Field and dose guidelines from the international lymphoma radiation oncology group","type":"article-journal","volume":"92"},"uris":["http://www.mendeley.com/documents/?uuid=2b33c6fe-d720-42ef-a239-7cff59ad1efc"]}],"mendeley":{"formattedCitation":"[27]","plainTextFormattedCitation":"[27]","previouslyFormattedCitation":"[27]"},"properties":{"noteIndex":0},"schema":"https://github.com/citation-style-language/schema/raw/master/csl-citation.json"}</w:instrText>
      </w:r>
      <w:r w:rsidRPr="00960C32">
        <w:rPr>
          <w:i/>
        </w:rPr>
        <w:fldChar w:fldCharType="separate"/>
      </w:r>
      <w:r w:rsidRPr="00960C32">
        <w:rPr>
          <w:noProof/>
        </w:rPr>
        <w:t>[27]</w:t>
      </w:r>
      <w:r w:rsidRPr="00960C32">
        <w:rPr>
          <w:i/>
        </w:rPr>
        <w:fldChar w:fldCharType="end"/>
      </w:r>
      <w:r w:rsidR="00960C32">
        <w:rPr>
          <w:i/>
          <w:lang w:val="en-US"/>
        </w:rPr>
        <w:t>.</w:t>
      </w:r>
    </w:p>
    <w:p w14:paraId="66C7B1D0" w14:textId="46EE5B3E" w:rsidR="00960C32" w:rsidRPr="004A4546" w:rsidRDefault="00960C32" w:rsidP="00960C32">
      <w:pPr>
        <w:pStyle w:val="affff1"/>
        <w:ind w:left="709" w:hanging="425"/>
      </w:pPr>
      <w:r>
        <w:t xml:space="preserve">Пациентам с верифицированными ранними стадиями </w:t>
      </w:r>
      <w:r w:rsidRPr="006E5E8C">
        <w:t>MALT-лимфомы желудка</w:t>
      </w:r>
      <w:r>
        <w:t>,</w:t>
      </w:r>
      <w:r w:rsidRPr="00960C32">
        <w:t xml:space="preserve"> </w:t>
      </w:r>
      <w:r>
        <w:t xml:space="preserve">инфицированным </w:t>
      </w:r>
      <w:r>
        <w:rPr>
          <w:lang w:val="en-US"/>
        </w:rPr>
        <w:t>H</w:t>
      </w:r>
      <w:r w:rsidRPr="005C25FB">
        <w:t xml:space="preserve">. </w:t>
      </w:r>
      <w:r>
        <w:rPr>
          <w:lang w:val="en-US"/>
        </w:rPr>
        <w:t>Pylori</w:t>
      </w:r>
      <w:r>
        <w:t>,</w:t>
      </w:r>
      <w:r w:rsidRPr="00960C32">
        <w:t xml:space="preserve"> </w:t>
      </w:r>
      <w:r w:rsidRPr="008A0973">
        <w:t>пр</w:t>
      </w:r>
      <w:r>
        <w:t>и</w:t>
      </w:r>
      <w:r w:rsidRPr="00960C32">
        <w:t xml:space="preserve"> </w:t>
      </w:r>
      <w:r>
        <w:t>эрадикации</w:t>
      </w:r>
      <w:r w:rsidRPr="00960C32">
        <w:t xml:space="preserve"> </w:t>
      </w:r>
      <w:r w:rsidRPr="008A0973">
        <w:t>H. pylori</w:t>
      </w:r>
      <w:r w:rsidRPr="00960C32">
        <w:t xml:space="preserve">, </w:t>
      </w:r>
      <w:r>
        <w:t>но сохранении лимфомы без клинических симптомов</w:t>
      </w:r>
      <w:r w:rsidRPr="00960C32">
        <w:t>,</w:t>
      </w:r>
      <w:r>
        <w:t xml:space="preserve"> </w:t>
      </w:r>
      <w:r w:rsidRPr="0038639D">
        <w:rPr>
          <w:b/>
        </w:rPr>
        <w:t>рекоменд</w:t>
      </w:r>
      <w:r>
        <w:rPr>
          <w:b/>
        </w:rPr>
        <w:t>ована</w:t>
      </w:r>
      <w:r w:rsidRPr="00960C32">
        <w:rPr>
          <w:b/>
        </w:rPr>
        <w:t xml:space="preserve"> </w:t>
      </w:r>
      <w:r w:rsidRPr="00ED0B3A">
        <w:t>выжидательная тактика с регулярным эндоскопическим мониторингом (каждые 3 месяца)</w:t>
      </w:r>
      <w:r w:rsidRPr="00960C32">
        <w:t xml:space="preserve"> </w:t>
      </w:r>
      <w:r>
        <w:fldChar w:fldCharType="begin" w:fldLock="1"/>
      </w:r>
      <w:r w:rsidR="00FC0BA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004F1429" w:rsidRPr="004F1429">
        <w:rPr>
          <w:noProof/>
        </w:rPr>
        <w:t>[5,11,12]</w:t>
      </w:r>
      <w:r>
        <w:fldChar w:fldCharType="end"/>
      </w:r>
      <w:r w:rsidRPr="008A0973">
        <w:t>.</w:t>
      </w:r>
    </w:p>
    <w:p w14:paraId="67FCC2BD" w14:textId="311D198D" w:rsidR="00960C32" w:rsidRDefault="00960C32" w:rsidP="00960C32">
      <w:pPr>
        <w:ind w:left="709" w:firstLine="0"/>
        <w:contextualSpacing/>
        <w:rPr>
          <w:b/>
        </w:rPr>
      </w:pPr>
      <w:r w:rsidRPr="00F6217A">
        <w:rPr>
          <w:b/>
        </w:rPr>
        <w:t>Уровень убедительности рекомендаций С (уровень достоверности доказательств 5).</w:t>
      </w:r>
    </w:p>
    <w:p w14:paraId="45DA1091" w14:textId="1EB0B64A" w:rsidR="00960C32" w:rsidRPr="004A4546" w:rsidRDefault="00960C32" w:rsidP="00960C32">
      <w:pPr>
        <w:pStyle w:val="affff1"/>
        <w:ind w:left="709" w:hanging="425"/>
      </w:pPr>
      <w:r>
        <w:t xml:space="preserve">Пациентам </w:t>
      </w:r>
      <w:r>
        <w:rPr>
          <w:lang w:val="en-US"/>
        </w:rPr>
        <w:t>c</w:t>
      </w:r>
      <w:r w:rsidRPr="00960C32">
        <w:t xml:space="preserve"> </w:t>
      </w:r>
      <w:r>
        <w:t xml:space="preserve">верифицированными ранними стадиями </w:t>
      </w:r>
      <w:r w:rsidRPr="006E5E8C">
        <w:t>MALT-лимфомы желудка</w:t>
      </w:r>
      <w:r>
        <w:t>,</w:t>
      </w:r>
      <w:r w:rsidRPr="00960C32">
        <w:t xml:space="preserve"> </w:t>
      </w:r>
      <w:r>
        <w:t xml:space="preserve">у которых </w:t>
      </w:r>
      <w:r>
        <w:rPr>
          <w:lang w:val="en-US"/>
        </w:rPr>
        <w:t>H</w:t>
      </w:r>
      <w:r w:rsidRPr="005C25FB">
        <w:t xml:space="preserve">. </w:t>
      </w:r>
      <w:r>
        <w:rPr>
          <w:lang w:val="en-US"/>
        </w:rPr>
        <w:t>Pylori</w:t>
      </w:r>
      <w:r>
        <w:t xml:space="preserve"> и антитела к нему не обнаружены,</w:t>
      </w:r>
      <w:r w:rsidRPr="00960C32">
        <w:t xml:space="preserve"> </w:t>
      </w:r>
      <w:r w:rsidRPr="0038639D">
        <w:rPr>
          <w:b/>
        </w:rPr>
        <w:t>рекоменд</w:t>
      </w:r>
      <w:r>
        <w:rPr>
          <w:b/>
        </w:rPr>
        <w:t xml:space="preserve">ована </w:t>
      </w:r>
      <w:r w:rsidRPr="008D50EC">
        <w:rPr>
          <w:bCs/>
        </w:rPr>
        <w:t>ЛТ</w:t>
      </w:r>
      <w:r>
        <w:t xml:space="preserve"> (программа такая же, как при неэффективности антихеликобактерной терапии) </w:t>
      </w:r>
      <w:r>
        <w:fldChar w:fldCharType="begin" w:fldLock="1"/>
      </w:r>
      <w:r w:rsidR="00FC0BA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004F1429" w:rsidRPr="004F1429">
        <w:rPr>
          <w:noProof/>
        </w:rPr>
        <w:t>[5,11,12]</w:t>
      </w:r>
      <w:r>
        <w:fldChar w:fldCharType="end"/>
      </w:r>
      <w:r w:rsidRPr="008A0973">
        <w:t>.</w:t>
      </w:r>
    </w:p>
    <w:p w14:paraId="59BA54A1" w14:textId="77777777" w:rsidR="00960C32" w:rsidRDefault="00960C32" w:rsidP="00960C32">
      <w:pPr>
        <w:ind w:left="709" w:firstLine="0"/>
        <w:contextualSpacing/>
        <w:rPr>
          <w:b/>
        </w:rPr>
      </w:pPr>
      <w:r w:rsidRPr="00F6217A">
        <w:rPr>
          <w:b/>
        </w:rPr>
        <w:t>Уровень убедительности рекомендаций С (уровень достоверности доказательств 5).</w:t>
      </w:r>
    </w:p>
    <w:p w14:paraId="5C4D890A" w14:textId="1E4221B3" w:rsidR="00960C32" w:rsidRDefault="00960C32" w:rsidP="00960C32">
      <w:pPr>
        <w:contextualSpacing/>
        <w:rPr>
          <w:i/>
        </w:rPr>
      </w:pPr>
      <w:r w:rsidRPr="008E7EEC">
        <w:rPr>
          <w:b/>
        </w:rPr>
        <w:t>Комментарий:</w:t>
      </w:r>
      <w:r w:rsidRPr="00960C32">
        <w:rPr>
          <w:b/>
        </w:rPr>
        <w:t xml:space="preserve"> </w:t>
      </w:r>
      <w:r>
        <w:rPr>
          <w:i/>
        </w:rPr>
        <w:t>пациентам</w:t>
      </w:r>
      <w:r w:rsidRPr="008D50EC">
        <w:rPr>
          <w:i/>
        </w:rPr>
        <w:t xml:space="preserve"> с t(11;18) необходимо увеличивать дозу ЛТ. В таких ситуациях после подведения СОД 30 Гр целесообразно сделать 2-3-недельный перерыв с повторной оценкой степени регрессии опухоли, при наличии остаточной опухоли – дополнительное локальное облучение (10-14 Гр).</w:t>
      </w:r>
    </w:p>
    <w:p w14:paraId="258F3BB2" w14:textId="77777777" w:rsidR="00960C32" w:rsidRDefault="00960C32" w:rsidP="00960C32">
      <w:pPr>
        <w:contextualSpacing/>
        <w:rPr>
          <w:i/>
        </w:rPr>
      </w:pPr>
      <w:r w:rsidRPr="00021834">
        <w:rPr>
          <w:i/>
        </w:rPr>
        <w:t>Через 3-6 месяцев после завершения ЛТ необходимо проведение рестадирования с эндоскопическим исследованием и биопсией зон поражения. При полной ремиссии (ПР) рекомендуется обследование каждые 3-6 месяцев и затем – ежегодно. Персистенция или прогрессирование лимфомы через 3-6 месяцев после ЛТ является основанием для химиотерапии по схемам для фолликулярной лимфомы (ФЛ) I-II цитологического типа.</w:t>
      </w:r>
    </w:p>
    <w:p w14:paraId="6D2372C9" w14:textId="06945D99" w:rsidR="00960C32" w:rsidRDefault="00960C32" w:rsidP="00960C32">
      <w:pPr>
        <w:pStyle w:val="affff1"/>
        <w:ind w:left="709" w:hanging="425"/>
      </w:pPr>
      <w:r>
        <w:lastRenderedPageBreak/>
        <w:t>Пациентам</w:t>
      </w:r>
      <w:r w:rsidRPr="00960C32">
        <w:t xml:space="preserve"> </w:t>
      </w:r>
      <w:r>
        <w:rPr>
          <w:lang w:val="en-US"/>
        </w:rPr>
        <w:t>c</w:t>
      </w:r>
      <w:r>
        <w:t xml:space="preserve"> верифицированными ранними стадиями </w:t>
      </w:r>
      <w:r w:rsidRPr="006E5E8C">
        <w:t>MALT-лимфомы желудка</w:t>
      </w:r>
      <w:r>
        <w:t>,</w:t>
      </w:r>
      <w:r w:rsidRPr="00960C32">
        <w:t xml:space="preserve"> </w:t>
      </w:r>
      <w:r>
        <w:t xml:space="preserve">у которых </w:t>
      </w:r>
      <w:r>
        <w:rPr>
          <w:lang w:val="en-US"/>
        </w:rPr>
        <w:t>H</w:t>
      </w:r>
      <w:r w:rsidRPr="005C25FB">
        <w:t xml:space="preserve">. </w:t>
      </w:r>
      <w:r>
        <w:rPr>
          <w:lang w:val="en-US"/>
        </w:rPr>
        <w:t>Pylori</w:t>
      </w:r>
      <w:r>
        <w:t xml:space="preserve"> и антитела к нему не обнаружены, при наличии противопоказаний или невозможности проведения ЛТ</w:t>
      </w:r>
      <w:r w:rsidRPr="00960C32">
        <w:t xml:space="preserve"> </w:t>
      </w:r>
      <w:r w:rsidRPr="0038639D">
        <w:rPr>
          <w:b/>
        </w:rPr>
        <w:t>рекоменд</w:t>
      </w:r>
      <w:r>
        <w:rPr>
          <w:b/>
        </w:rPr>
        <w:t xml:space="preserve">ована </w:t>
      </w:r>
      <w:r>
        <w:rPr>
          <w:bCs/>
        </w:rPr>
        <w:t>монотерапия</w:t>
      </w:r>
      <w:r w:rsidRPr="00960C32">
        <w:rPr>
          <w:bCs/>
        </w:rPr>
        <w:t xml:space="preserve"> </w:t>
      </w:r>
      <w:r>
        <w:rPr>
          <w:bCs/>
        </w:rPr>
        <w:t>ритуксимабом</w:t>
      </w:r>
      <w:r w:rsidRPr="00021834">
        <w:rPr>
          <w:bCs/>
        </w:rPr>
        <w:t>**</w:t>
      </w:r>
      <w:r w:rsidRPr="00960C32">
        <w:rPr>
          <w:bCs/>
        </w:rPr>
        <w:t xml:space="preserve"> </w:t>
      </w:r>
      <w:r>
        <w:fldChar w:fldCharType="begin" w:fldLock="1"/>
      </w:r>
      <w:r w:rsidR="00FC0BA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004F1429" w:rsidRPr="004F1429">
        <w:rPr>
          <w:noProof/>
        </w:rPr>
        <w:t>[5,11,12]</w:t>
      </w:r>
      <w:r>
        <w:fldChar w:fldCharType="end"/>
      </w:r>
      <w:r w:rsidRPr="008A0973">
        <w:t>.</w:t>
      </w:r>
    </w:p>
    <w:p w14:paraId="4469F922" w14:textId="764CED1B" w:rsidR="00960C32" w:rsidRDefault="00960C32" w:rsidP="00960C32">
      <w:pPr>
        <w:ind w:left="709" w:firstLine="0"/>
        <w:contextualSpacing/>
        <w:rPr>
          <w:b/>
        </w:rPr>
      </w:pPr>
      <w:r w:rsidRPr="00960C32">
        <w:rPr>
          <w:b/>
        </w:rPr>
        <w:t>Уровень убедительности рекомендаций С (уровень достоверности доказательств 5).</w:t>
      </w:r>
    </w:p>
    <w:p w14:paraId="5CA982DE" w14:textId="65D59752" w:rsidR="00960C32" w:rsidRDefault="00960C32" w:rsidP="00960C32">
      <w:pPr>
        <w:pStyle w:val="affff1"/>
        <w:ind w:left="709" w:hanging="425"/>
      </w:pPr>
      <w:r>
        <w:t xml:space="preserve">Пациентам с верифицированными ранними стадиями </w:t>
      </w:r>
      <w:r w:rsidRPr="006E5E8C">
        <w:t>MALT-лимфомы желудка</w:t>
      </w:r>
      <w:r w:rsidRPr="008D50EC">
        <w:t xml:space="preserve"> при изъязвленной </w:t>
      </w:r>
      <w:r w:rsidRPr="0049725A">
        <w:t>кровоточащей</w:t>
      </w:r>
      <w:r w:rsidRPr="008D50EC">
        <w:t xml:space="preserve"> опухоли </w:t>
      </w:r>
      <w:r w:rsidRPr="0038639D">
        <w:rPr>
          <w:b/>
        </w:rPr>
        <w:t>рекоменд</w:t>
      </w:r>
      <w:r>
        <w:rPr>
          <w:b/>
        </w:rPr>
        <w:t>овано</w:t>
      </w:r>
      <w:r w:rsidRPr="008D50EC">
        <w:t xml:space="preserve"> хирургическое лечение с послеоперационной ЛТ 30 Гр</w:t>
      </w:r>
      <w:r w:rsidR="004F1429" w:rsidRPr="004F1429">
        <w:t xml:space="preserve"> </w:t>
      </w:r>
      <w:r>
        <w:fldChar w:fldCharType="begin" w:fldLock="1"/>
      </w:r>
      <w:r w:rsidR="00FC0BA2">
        <w:instrText>ADDIN CSL_CITATION {"citationItems":[{"id":"ITEM-1","itemData":{"DOI":"10.1159/000347176","ISSN":"02572753","abstract":"Treatment of gastric marginal zone B cell lymphoma of MALT (mucosa-associated lymphoid tissue) is nowadays standardized as outlined in the German S3 guideline of 2009 and the European (EGILS) consensus report of 2011. The first choice of treatment is Helicobacter pylori eradication in any case irrespective of H. pylori status and lymphoma stage. Some 70-80% of patients reveal complete remission of MALT lymphoma following successful eradication of the bacterium. Those patients with histologically persisting lymphoma residuals are managed by a watch-and-wait strategy. Nonresponders to H. pylori eradication are referred to radiation with a curative intention in stages I and II. The rare cases of MALT lymphoma of stage III and IV should be treated by chemotherapy. Surgery no longer plays a role in the therapy of gastric MALT lymphoma except for very rare complications such as perforation or bleeding that cannot be controlled endoscopically. Diffuse large B cell lymphoma (DLBCL) is the second most common gastric lymphoma. H. pylori eradication may lead to regression of DLBCL in the individual case. However, immunochemotherapy by a combination of rituximab and the CHOP protocol represents the standard treatment approach in patients with DLBCL and offers a good curative chance. © 2013 S. Karger AG, Basel.","author":[{"dropping-particle":"","family":"Fischbach","given":"Wolfgang","non-dropping-particle":"","parse-names":false,"suffix":""}],"container-title":"Digestive Diseases","id":"ITEM-1","issue":"1","issued":{"date-parts":[["2013","6"]]},"page":"38-42","title":"MALT lymphoma: Forget surgery?","type":"article-journal","volume":"31"},"uris":["http://www.mendeley.com/documents/?uuid=46e7e95a-94fe-3343-8d47-681f86a78aeb"]}],"mendeley":{"formattedCitation":"[28]","plainTextFormattedCitation":"[28]","previouslyFormattedCitation":"[28]"},"properties":{"noteIndex":0},"schema":"https://github.com/citation-style-language/schema/raw/master/csl-citation.json"}</w:instrText>
      </w:r>
      <w:r>
        <w:fldChar w:fldCharType="separate"/>
      </w:r>
      <w:r w:rsidR="004F1429" w:rsidRPr="004F1429">
        <w:rPr>
          <w:noProof/>
        </w:rPr>
        <w:t>[28]</w:t>
      </w:r>
      <w:r>
        <w:fldChar w:fldCharType="end"/>
      </w:r>
      <w:r w:rsidRPr="008A0973">
        <w:t>.</w:t>
      </w:r>
    </w:p>
    <w:p w14:paraId="6E0E64A0" w14:textId="49630574" w:rsidR="00960C32" w:rsidRDefault="00960C32" w:rsidP="004F1429">
      <w:pPr>
        <w:pStyle w:val="afd"/>
        <w:ind w:left="709" w:firstLine="0"/>
        <w:rPr>
          <w:b/>
        </w:rPr>
      </w:pPr>
      <w:r w:rsidRPr="00F6217A">
        <w:rPr>
          <w:b/>
        </w:rPr>
        <w:t>Уровень убедительности рекомендаций С (уровень достоверности доказательств 5).</w:t>
      </w:r>
    </w:p>
    <w:p w14:paraId="76D51A64" w14:textId="77777777" w:rsidR="00FC0BA2" w:rsidRDefault="00FC0BA2" w:rsidP="004F1429">
      <w:pPr>
        <w:pStyle w:val="afd"/>
        <w:ind w:left="709" w:firstLine="0"/>
        <w:rPr>
          <w:b/>
        </w:rPr>
      </w:pPr>
    </w:p>
    <w:p w14:paraId="4761D469" w14:textId="395DEB93" w:rsidR="00FC0BA2" w:rsidRDefault="00FC0BA2" w:rsidP="00FC0BA2">
      <w:pPr>
        <w:pStyle w:val="2"/>
        <w:contextualSpacing/>
      </w:pPr>
      <w:bookmarkStart w:id="50" w:name="_Toc35277455"/>
      <w:bookmarkStart w:id="51" w:name="_Toc103332095"/>
      <w:r>
        <w:t>3.2 Лечение пациентов c ранними стадиями</w:t>
      </w:r>
      <w:r w:rsidR="006F55E0">
        <w:t xml:space="preserve"> </w:t>
      </w:r>
      <w:r>
        <w:rPr>
          <w:lang w:val="en-US"/>
        </w:rPr>
        <w:t>MALT</w:t>
      </w:r>
      <w:r w:rsidRPr="004403B5">
        <w:t>-</w:t>
      </w:r>
      <w:r>
        <w:t>лимфомы других локализаций</w:t>
      </w:r>
      <w:bookmarkEnd w:id="50"/>
      <w:bookmarkEnd w:id="51"/>
    </w:p>
    <w:p w14:paraId="0F1EA2FA" w14:textId="5D410FB2" w:rsidR="00FC0BA2" w:rsidRDefault="00FC0BA2" w:rsidP="00FC0BA2">
      <w:pPr>
        <w:pStyle w:val="affff1"/>
        <w:ind w:left="709" w:hanging="425"/>
      </w:pPr>
      <w:r>
        <w:t xml:space="preserve">Пациентам с </w:t>
      </w:r>
      <w:r>
        <w:rPr>
          <w:lang w:val="en-US"/>
        </w:rPr>
        <w:t>MALT</w:t>
      </w:r>
      <w:r w:rsidRPr="00E505FF">
        <w:t>-</w:t>
      </w:r>
      <w:r>
        <w:t xml:space="preserve">лимфомами других локализаций </w:t>
      </w:r>
      <w:r w:rsidRPr="0038639D">
        <w:rPr>
          <w:b/>
        </w:rPr>
        <w:t>рекоменд</w:t>
      </w:r>
      <w:r>
        <w:rPr>
          <w:b/>
        </w:rPr>
        <w:t xml:space="preserve">овано </w:t>
      </w:r>
      <w:r>
        <w:rPr>
          <w:bCs/>
        </w:rPr>
        <w:t xml:space="preserve">начало специфической терапии при наличии одного из следующих симптомов </w:t>
      </w:r>
      <w:r>
        <w:fldChar w:fldCharType="begin" w:fldLock="1"/>
      </w:r>
      <w:r w:rsidR="00443900">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Pr="00FC0BA2">
        <w:rPr>
          <w:noProof/>
        </w:rPr>
        <w:t>[5,11,12]</w:t>
      </w:r>
      <w:r>
        <w:fldChar w:fldCharType="end"/>
      </w:r>
      <w:r>
        <w:t>:</w:t>
      </w:r>
    </w:p>
    <w:p w14:paraId="255F1AB4" w14:textId="77777777" w:rsidR="00FC0BA2" w:rsidRDefault="00FC0BA2" w:rsidP="00A72B1B">
      <w:pPr>
        <w:pStyle w:val="afd"/>
        <w:numPr>
          <w:ilvl w:val="1"/>
          <w:numId w:val="11"/>
        </w:numPr>
        <w:spacing w:before="120" w:after="120"/>
      </w:pPr>
      <w:r w:rsidRPr="009865B8">
        <w:t xml:space="preserve">болевой синдром, </w:t>
      </w:r>
    </w:p>
    <w:p w14:paraId="4C90229D" w14:textId="77777777" w:rsidR="00FC0BA2" w:rsidRDefault="00FC0BA2" w:rsidP="00A72B1B">
      <w:pPr>
        <w:pStyle w:val="afd"/>
        <w:numPr>
          <w:ilvl w:val="1"/>
          <w:numId w:val="11"/>
        </w:numPr>
        <w:spacing w:before="120" w:after="120"/>
      </w:pPr>
      <w:r w:rsidRPr="009865B8">
        <w:t xml:space="preserve">нарушение функции органа, </w:t>
      </w:r>
    </w:p>
    <w:p w14:paraId="508CB5DA" w14:textId="77777777" w:rsidR="00FC0BA2" w:rsidRDefault="00FC0BA2" w:rsidP="00A72B1B">
      <w:pPr>
        <w:pStyle w:val="afd"/>
        <w:numPr>
          <w:ilvl w:val="1"/>
          <w:numId w:val="11"/>
        </w:numPr>
        <w:spacing w:before="120" w:after="120"/>
      </w:pPr>
      <w:r w:rsidRPr="009865B8">
        <w:t xml:space="preserve">кровотечение, </w:t>
      </w:r>
    </w:p>
    <w:p w14:paraId="41295DB6" w14:textId="77777777" w:rsidR="00FC0BA2" w:rsidRPr="004A4546" w:rsidRDefault="00FC0BA2" w:rsidP="00A72B1B">
      <w:pPr>
        <w:pStyle w:val="afd"/>
        <w:numPr>
          <w:ilvl w:val="1"/>
          <w:numId w:val="11"/>
        </w:numPr>
        <w:spacing w:before="120" w:after="120"/>
      </w:pPr>
      <w:r w:rsidRPr="009865B8">
        <w:t>массивное поражение</w:t>
      </w:r>
    </w:p>
    <w:p w14:paraId="0031143B" w14:textId="686253B4" w:rsidR="00960C32" w:rsidRDefault="00FC0BA2" w:rsidP="00FC0BA2">
      <w:pPr>
        <w:ind w:left="709" w:firstLine="0"/>
        <w:contextualSpacing/>
        <w:rPr>
          <w:b/>
        </w:rPr>
      </w:pPr>
      <w:r w:rsidRPr="00F6217A">
        <w:rPr>
          <w:b/>
        </w:rPr>
        <w:t>Уровень убедительности рекомендаций С (уровень достоверности доказательств 5).</w:t>
      </w:r>
    </w:p>
    <w:p w14:paraId="1F321774" w14:textId="065C1696" w:rsidR="00FC0BA2" w:rsidRDefault="00FC0BA2" w:rsidP="00FC0BA2">
      <w:pPr>
        <w:ind w:left="709" w:firstLine="0"/>
        <w:contextualSpacing/>
        <w:rPr>
          <w:i/>
        </w:rPr>
      </w:pPr>
      <w:r w:rsidRPr="008E7EEC">
        <w:rPr>
          <w:b/>
        </w:rPr>
        <w:t>Комментарий:</w:t>
      </w:r>
      <w:r w:rsidRPr="00FC0BA2">
        <w:rPr>
          <w:b/>
        </w:rPr>
        <w:t xml:space="preserve"> </w:t>
      </w:r>
      <w:r w:rsidRPr="009865B8">
        <w:rPr>
          <w:i/>
        </w:rPr>
        <w:t>при отсутствии показаний возможно динамическое наблюдение</w:t>
      </w:r>
      <w:r>
        <w:rPr>
          <w:i/>
        </w:rPr>
        <w:t xml:space="preserve"> (при возможности его полноценного осуществления) с приемом врача-специалиста (лечащего врача) не реже 1 раза в</w:t>
      </w:r>
      <w:r w:rsidRPr="00267769">
        <w:rPr>
          <w:i/>
        </w:rPr>
        <w:t xml:space="preserve"> 3 </w:t>
      </w:r>
      <w:r>
        <w:rPr>
          <w:i/>
        </w:rPr>
        <w:t>месяца в течение первого года после установки диагноза, далее – не реже 1 раза в 6 месяцев.</w:t>
      </w:r>
    </w:p>
    <w:p w14:paraId="0C6C8C6A" w14:textId="706EAFDC" w:rsidR="00FC0BA2" w:rsidRPr="004A4546" w:rsidRDefault="00FC0BA2" w:rsidP="00FC0BA2">
      <w:pPr>
        <w:pStyle w:val="affff1"/>
        <w:ind w:left="709" w:hanging="425"/>
      </w:pPr>
      <w:r>
        <w:t xml:space="preserve">Пациентам с ранними стадиями </w:t>
      </w:r>
      <w:r>
        <w:rPr>
          <w:lang w:val="en-US"/>
        </w:rPr>
        <w:t>MALT</w:t>
      </w:r>
      <w:r w:rsidRPr="00E505FF">
        <w:t>-</w:t>
      </w:r>
      <w:r>
        <w:t xml:space="preserve">лимфомы других локализаций при наличии показаний к началу терапии </w:t>
      </w:r>
      <w:r w:rsidRPr="0038639D">
        <w:rPr>
          <w:b/>
        </w:rPr>
        <w:t>рекоменд</w:t>
      </w:r>
      <w:r>
        <w:rPr>
          <w:b/>
        </w:rPr>
        <w:t xml:space="preserve">ована </w:t>
      </w:r>
      <w:r w:rsidRPr="008D50EC">
        <w:rPr>
          <w:bCs/>
        </w:rPr>
        <w:t>ЛТ</w:t>
      </w:r>
      <w:r>
        <w:rPr>
          <w:bCs/>
        </w:rPr>
        <w:t xml:space="preserve"> на вовлеченные области СОД 30-36 Гр</w:t>
      </w:r>
      <w:r w:rsidRPr="00FC0BA2">
        <w:rPr>
          <w:bCs/>
        </w:rPr>
        <w:t xml:space="preserve"> </w:t>
      </w:r>
      <w:r>
        <w:fldChar w:fldCharType="begin" w:fldLock="1"/>
      </w:r>
      <w:r w:rsidR="00443900">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Pr="00FC0BA2">
        <w:rPr>
          <w:noProof/>
        </w:rPr>
        <w:t>[5,11,12]</w:t>
      </w:r>
      <w:r>
        <w:fldChar w:fldCharType="end"/>
      </w:r>
      <w:r w:rsidRPr="008A0973">
        <w:t>.</w:t>
      </w:r>
    </w:p>
    <w:p w14:paraId="3B536399" w14:textId="77777777" w:rsidR="00FC0BA2" w:rsidRDefault="00FC0BA2" w:rsidP="00FC0BA2">
      <w:pPr>
        <w:ind w:left="709" w:firstLine="0"/>
        <w:contextualSpacing/>
        <w:rPr>
          <w:b/>
        </w:rPr>
      </w:pPr>
      <w:r w:rsidRPr="00F6217A">
        <w:rPr>
          <w:b/>
        </w:rPr>
        <w:t>Уровень убедительности рекомендаций С (уровень достоверности доказательств 5)</w:t>
      </w:r>
    </w:p>
    <w:p w14:paraId="47B4ACBA" w14:textId="19E94E0D" w:rsidR="00FC0BA2" w:rsidRPr="00FC0BA2" w:rsidRDefault="00FC0BA2" w:rsidP="00FC0BA2">
      <w:pPr>
        <w:contextualSpacing/>
        <w:rPr>
          <w:i/>
        </w:rPr>
      </w:pPr>
      <w:r w:rsidRPr="00FC0BA2">
        <w:rPr>
          <w:b/>
        </w:rPr>
        <w:lastRenderedPageBreak/>
        <w:t>Комментарий:</w:t>
      </w:r>
      <w:r w:rsidRPr="00FC0BA2">
        <w:rPr>
          <w:i/>
        </w:rPr>
        <w:t xml:space="preserve"> при проведении ЛТ больным с MALT-лимфомой</w:t>
      </w:r>
      <w:r w:rsidR="00443900" w:rsidRPr="00443900">
        <w:rPr>
          <w:i/>
        </w:rPr>
        <w:t xml:space="preserve"> </w:t>
      </w:r>
      <w:r w:rsidRPr="00FC0BA2">
        <w:rPr>
          <w:i/>
        </w:rPr>
        <w:t>орбиты</w:t>
      </w:r>
      <w:r w:rsidR="00443900" w:rsidRPr="00443900">
        <w:rPr>
          <w:i/>
        </w:rPr>
        <w:t xml:space="preserve"> </w:t>
      </w:r>
      <w:r w:rsidRPr="00FC0BA2">
        <w:rPr>
          <w:i/>
        </w:rPr>
        <w:t xml:space="preserve">в объём облучения включается вся орбита и явные или предполагаемые экстраорбитальные проявления. При поражении конъюнктивы клинический лечебный объём  включает в себя весь конъюнктивальный мешок. При этом следует экранировать передние отделы глаза для снижения лучевой нагрузки на хрусталик, но без ущерба для подведения адекватной дозы к опухоли </w:t>
      </w:r>
      <w:r>
        <w:rPr>
          <w:i/>
        </w:rPr>
        <w:fldChar w:fldCharType="begin" w:fldLock="1"/>
      </w:r>
      <w:r w:rsidR="004A6A9D">
        <w:rPr>
          <w:i/>
        </w:rPr>
        <w:instrText>ADDIN CSL_CITATION {"citationItems":[{"id":"ITEM-1","itemData":{"DOI":"10.1016/j.ijrobp.2015.01.009","ISSN":"1879355X","PMID":"25863751","abstract":"Extranodal lymphomas (ENLs) comprise about a third of all non-Hodgkin lymphomas (NHL). Radiation therapy (RT) is frequently used as either primary therapy (particularly for indolent ENL), consolidation after systemic therapy, salvage treatment, or palliation. The wide range of presentations of ENL, involving any organ in the body and the spectrum of histological sub-types, poses a challenge both for routine clinical care and for the conduct of prospective and retrospective studies. This has led to uncertainty and lack of consistency in RT approaches between centers and clinicians. Thus far there is a lack of guidelines for the use of RT in the management of ENL. This report presents an effort by the International Lymphoma Radiation Oncology Group (ILROG) to harmonize and standardize the principles of treatment of ENL, and to address the technical challenges of simulation, volume definition and treatment planning for the most frequently involved organs. Specifically, detailed recommendations for RT volumes are provided. We have applied the same modern principles of involved site radiation therapy as previously developed and published as guidelines for Hodgkin lymphoma and nodal NHL. We have adopted RT volume definitions based on the International Commission on Radiation Units and Measurements (ICRU), as has been widely adopted by the field of radiation oncology for solid tumors. Organ-specific recommendations take into account histological subtype, anatomy, the treatment intent, and other treatment modalities that may be have been used before RT. Ó 2015 The Authors. Published by Elsevier Inc. This is an open access article under the CC BY-NC-ND license (http://creativecommons.org/licenses/by-nc-nd/4.0/).","author":[{"dropping-particle":"","family":"Yahalom","given":"Joachim","non-dropping-particle":"","parse-names":false,"suffix":""},{"dropping-particle":"","family":"Illidge","given":"Tim","non-dropping-particle":"","parse-names":false,"suffix":""},{"dropping-particle":"","family":"Specht","given":"Lena","non-dropping-particle":"","parse-names":false,"suffix":""},{"dropping-particle":"","family":"Hoppe","given":"Richard T.","non-dropping-particle":"","parse-names":false,"suffix":""},{"dropping-particle":"","family":"Li","given":"Ye Xiong","non-dropping-particle":"","parse-names":false,"suffix":""},{"dropping-particle":"","family":"Tsang","given":"Richard","non-dropping-particle":"","parse-names":false,"suffix":""},{"dropping-particle":"","family":"Wirth","given":"Andrew","non-dropping-particle":"","parse-names":false,"suffix":""}],"container-title":"International Journal of Radiation Oncology Biology Physics","id":"ITEM-1","issue":"1","issued":{"date-parts":[["2015","5","1"]]},"page":"11-31","publisher":"Elsevier Inc.","title":"Modern radiation therapy for extranodal lymphomas: Field and dose guidelines from the international lymphoma radiation oncology group","type":"article-journal","volume":"92"},"uris":["http://www.mendeley.com/documents/?uuid=2b33c6fe-d720-42ef-a239-7cff59ad1efc"]},{"id":"ITEM-2","itemData":{"DOI":"10.1016/J.CANRAD.2016.07.089","ISSN":"1769-6658","PMID":"27614509","abstract":"Primary gastric and orbital MALT lymphomas are both low grade (indolent) B-cell non-Hodgkin's lymphomas. Traditionally, these tumors are radiosensitive and have a good prognosis. In localized orbital and stages IE–IIE gastric MALT lymphomas without Helicobacter pylori infection or in case of persistent H. pylori infection after eradication therapy, several retrospective studies have shown that radiotherapy was an effective and well-tolerated treatment.","author":[{"dropping-particle":"","family":"Quéro","given":"L.","non-dropping-particle":"","parse-names":false,"suffix":""},{"dropping-particle":"","family":"Hennequin","given":"C.","non-dropping-particle":"","parse-names":false,"suffix":""},{"dropping-particle":"","family":"Amorim","given":"S.","non-dropping-particle":"","parse-names":false,"suffix":""},{"dropping-particle":"","family":"Guillerm","given":"S.","non-dropping-particle":"","parse-names":false,"suffix":""},{"dropping-particle":"","family":"Ruskoné-Fourmestraux","given":"A.","non-dropping-particle":"","parse-names":false,"suffix":""},{"dropping-particle":"","family":"Thieblemont","given":"C.","non-dropping-particle":"","parse-names":false,"suffix":""}],"container-title":"Cancer radiotherapie : journal de la Societe francaise de radiotherapie oncologique","id":"ITEM-2","issue":"6-7","issued":{"date-parts":[["2016","10","1"]]},"page":"543-546","publisher":"Cancer Radiother","title":"[Radiotherapy for localized gastric and orbital MALT lymphomas]","type":"article-journal","volume":"20"},"uris":["http://www.mendeley.com/documents/?uuid=a1048ac9-d34e-353a-843e-a7eb442630c6"]}],"mendeley":{"formattedCitation":"[27,29]","plainTextFormattedCitation":"[27,29]","previouslyFormattedCitation":"[27,29]"},"properties":{"noteIndex":0},"schema":"https://github.com/citation-style-language/schema/raw/master/csl-citation.json"}</w:instrText>
      </w:r>
      <w:r>
        <w:rPr>
          <w:i/>
        </w:rPr>
        <w:fldChar w:fldCharType="separate"/>
      </w:r>
      <w:r w:rsidR="00443900" w:rsidRPr="00443900">
        <w:rPr>
          <w:noProof/>
        </w:rPr>
        <w:t>[27,29]</w:t>
      </w:r>
      <w:r>
        <w:rPr>
          <w:i/>
        </w:rPr>
        <w:fldChar w:fldCharType="end"/>
      </w:r>
      <w:r w:rsidRPr="00FC0BA2">
        <w:rPr>
          <w:i/>
        </w:rPr>
        <w:t>.</w:t>
      </w:r>
    </w:p>
    <w:p w14:paraId="79532E96" w14:textId="37145BBD" w:rsidR="00FC0BA2" w:rsidRPr="00FC0BA2" w:rsidRDefault="00FC0BA2" w:rsidP="00FC0BA2">
      <w:pPr>
        <w:contextualSpacing/>
        <w:rPr>
          <w:i/>
        </w:rPr>
      </w:pPr>
      <w:r w:rsidRPr="00FC0BA2">
        <w:rPr>
          <w:i/>
        </w:rPr>
        <w:t>Рекомендуемые дозы ЛТ – 24-30</w:t>
      </w:r>
      <w:r w:rsidR="00443900">
        <w:rPr>
          <w:i/>
          <w:lang w:val="en-US"/>
        </w:rPr>
        <w:t> </w:t>
      </w:r>
      <w:r w:rsidRPr="00FC0BA2">
        <w:rPr>
          <w:i/>
        </w:rPr>
        <w:t>Гр, при значительном распространении обсуждается их повышение до 36</w:t>
      </w:r>
      <w:r w:rsidR="00443900">
        <w:rPr>
          <w:i/>
          <w:lang w:val="en-US"/>
        </w:rPr>
        <w:t> </w:t>
      </w:r>
      <w:r w:rsidRPr="00FC0BA2">
        <w:rPr>
          <w:i/>
        </w:rPr>
        <w:t>Гр, разовые дозы 1,5-2</w:t>
      </w:r>
      <w:r w:rsidR="00443900">
        <w:rPr>
          <w:i/>
          <w:lang w:val="en-US"/>
        </w:rPr>
        <w:t> </w:t>
      </w:r>
      <w:r w:rsidRPr="00FC0BA2">
        <w:rPr>
          <w:i/>
        </w:rPr>
        <w:t>Гр</w:t>
      </w:r>
    </w:p>
    <w:p w14:paraId="15DB2D9F" w14:textId="421D7FC8" w:rsidR="00FC0BA2" w:rsidRPr="00960C32" w:rsidRDefault="00FC0BA2" w:rsidP="00FC0BA2">
      <w:pPr>
        <w:contextualSpacing/>
        <w:rPr>
          <w:b/>
        </w:rPr>
      </w:pPr>
      <w:r w:rsidRPr="00FC0BA2">
        <w:rPr>
          <w:i/>
        </w:rPr>
        <w:t>В случае развития помутнения хрусталика (лучевая катаракта по данным разных исследований развивается в сроки 24-150</w:t>
      </w:r>
      <w:r w:rsidR="00443900">
        <w:rPr>
          <w:i/>
          <w:lang w:val="en-US"/>
        </w:rPr>
        <w:t> </w:t>
      </w:r>
      <w:r w:rsidRPr="00FC0BA2">
        <w:rPr>
          <w:i/>
        </w:rPr>
        <w:t>мес.) возможна замена его искусственным. Лучевые повреждения – сухость роговицы, кератит, макулярная дегенерация – возникают не так часто (8-12%) и достаточно успешно лечатся с помощью препаратов, стимулирующих процессы регенерации и репарации тканей глаза, улучшающих метаболизм, укрепляющих сосуды глаза (таурин, метилэтилпиридинол, солкосерил).</w:t>
      </w:r>
    </w:p>
    <w:p w14:paraId="2D312C65" w14:textId="3282C9EB" w:rsidR="00443900" w:rsidRPr="004A4546" w:rsidRDefault="00443900" w:rsidP="00A72B1B">
      <w:pPr>
        <w:pStyle w:val="afd"/>
        <w:numPr>
          <w:ilvl w:val="0"/>
          <w:numId w:val="11"/>
        </w:numPr>
        <w:ind w:left="709" w:hanging="709"/>
      </w:pPr>
      <w:r>
        <w:t xml:space="preserve">Пациентам с ранними стадиями </w:t>
      </w:r>
      <w:r>
        <w:rPr>
          <w:lang w:val="en-US"/>
        </w:rPr>
        <w:t>MALT</w:t>
      </w:r>
      <w:r w:rsidRPr="00E505FF">
        <w:t>-</w:t>
      </w:r>
      <w:r>
        <w:t xml:space="preserve">лимфомы других локализаций при наличии показаний к началу терапии и при наличии противопоказаний или невозможности проведения ЛТ </w:t>
      </w:r>
      <w:r w:rsidRPr="0038639D">
        <w:rPr>
          <w:b/>
        </w:rPr>
        <w:t>рекоменд</w:t>
      </w:r>
      <w:r>
        <w:rPr>
          <w:b/>
        </w:rPr>
        <w:t xml:space="preserve">ована </w:t>
      </w:r>
      <w:r>
        <w:rPr>
          <w:bCs/>
        </w:rPr>
        <w:t>монотерапия ритуксимабом</w:t>
      </w:r>
      <w:r w:rsidRPr="00021834">
        <w:rPr>
          <w:bCs/>
        </w:rPr>
        <w:t>**</w:t>
      </w:r>
      <w:r>
        <w:rPr>
          <w:bCs/>
        </w:rPr>
        <w:t xml:space="preserve"> </w:t>
      </w:r>
      <w:r>
        <w:fldChar w:fldCharType="begin" w:fldLock="1"/>
      </w:r>
      <w:r w:rsidR="007D43B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006F55E0" w:rsidRPr="006F55E0">
        <w:rPr>
          <w:noProof/>
        </w:rPr>
        <w:t>[5,11,12]</w:t>
      </w:r>
      <w:r>
        <w:fldChar w:fldCharType="end"/>
      </w:r>
      <w:r w:rsidRPr="008A0973">
        <w:t>.</w:t>
      </w:r>
    </w:p>
    <w:p w14:paraId="19330A97" w14:textId="53645C44" w:rsidR="00F83A41" w:rsidRDefault="00443900" w:rsidP="00443900">
      <w:pPr>
        <w:pStyle w:val="affff"/>
        <w:spacing w:beforeAutospacing="0" w:afterAutospacing="0" w:line="360" w:lineRule="auto"/>
        <w:ind w:left="709" w:firstLine="0"/>
        <w:rPr>
          <w:b/>
        </w:rPr>
      </w:pPr>
      <w:r w:rsidRPr="00F6217A">
        <w:rPr>
          <w:b/>
        </w:rPr>
        <w:t>Уровень убедительности рекомендаций С (уровень достоверности доказательств 5).</w:t>
      </w:r>
    </w:p>
    <w:p w14:paraId="63FDE614" w14:textId="0F436B99" w:rsidR="00443900" w:rsidRPr="004A4546" w:rsidRDefault="00443900" w:rsidP="00443900">
      <w:pPr>
        <w:pStyle w:val="affff1"/>
        <w:ind w:left="709" w:hanging="425"/>
      </w:pPr>
      <w:r>
        <w:t xml:space="preserve">Полностью обследованным пациентам с солитарным очагом </w:t>
      </w:r>
      <w:r>
        <w:rPr>
          <w:lang w:val="en-US"/>
        </w:rPr>
        <w:t>MALT</w:t>
      </w:r>
      <w:r w:rsidRPr="00E505FF">
        <w:t>-</w:t>
      </w:r>
      <w:r>
        <w:t xml:space="preserve">лимфомы </w:t>
      </w:r>
      <w:r w:rsidRPr="00B05B54">
        <w:t>в</w:t>
      </w:r>
      <w:r>
        <w:t xml:space="preserve"> одном из</w:t>
      </w:r>
      <w:r w:rsidRPr="00B05B54">
        <w:t xml:space="preserve"> таких орган</w:t>
      </w:r>
      <w:r>
        <w:t>ов</w:t>
      </w:r>
      <w:r w:rsidRPr="00B05B54">
        <w:t xml:space="preserve">, как легкие, молочная железа, щитовидная железа, толстая кишка </w:t>
      </w:r>
      <w:r w:rsidRPr="0038639D">
        <w:rPr>
          <w:b/>
        </w:rPr>
        <w:t>рекоменд</w:t>
      </w:r>
      <w:r>
        <w:rPr>
          <w:b/>
        </w:rPr>
        <w:t xml:space="preserve">ована </w:t>
      </w:r>
      <w:r>
        <w:rPr>
          <w:bCs/>
        </w:rPr>
        <w:t xml:space="preserve">консультация врача-хирурга и, при наличии возможности, хирургическое удаление опухоли </w:t>
      </w:r>
      <w:r>
        <w:fldChar w:fldCharType="begin" w:fldLock="1"/>
      </w:r>
      <w:r w:rsidR="007D43B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mendeley":{"formattedCitation":"[12]","plainTextFormattedCitation":"[12]","previouslyFormattedCitation":"[12]"},"properties":{"noteIndex":0},"schema":"https://github.com/citation-style-language/schema/raw/master/csl-citation.json"}</w:instrText>
      </w:r>
      <w:r>
        <w:fldChar w:fldCharType="separate"/>
      </w:r>
      <w:r w:rsidR="006F55E0" w:rsidRPr="006F55E0">
        <w:rPr>
          <w:noProof/>
        </w:rPr>
        <w:t>[12]</w:t>
      </w:r>
      <w:r>
        <w:fldChar w:fldCharType="end"/>
      </w:r>
      <w:r w:rsidRPr="008A0973">
        <w:t>.</w:t>
      </w:r>
    </w:p>
    <w:p w14:paraId="1E707AE3" w14:textId="77777777" w:rsidR="00443900" w:rsidRDefault="00443900" w:rsidP="00443900">
      <w:pPr>
        <w:ind w:left="709" w:firstLine="0"/>
        <w:contextualSpacing/>
        <w:rPr>
          <w:b/>
        </w:rPr>
      </w:pPr>
      <w:r w:rsidRPr="00F6217A">
        <w:rPr>
          <w:b/>
        </w:rPr>
        <w:t>Уровень убедительности рекомендаций С (уровень достоверности доказательств 5).</w:t>
      </w:r>
    </w:p>
    <w:p w14:paraId="5C272656" w14:textId="0A17A429" w:rsidR="00443900" w:rsidRDefault="00443900" w:rsidP="00443900">
      <w:pPr>
        <w:pStyle w:val="afd"/>
        <w:ind w:left="709" w:firstLine="0"/>
        <w:rPr>
          <w:i/>
        </w:rPr>
      </w:pPr>
      <w:r w:rsidRPr="008E7EEC">
        <w:rPr>
          <w:b/>
        </w:rPr>
        <w:t>Комментарий:</w:t>
      </w:r>
      <w:r>
        <w:rPr>
          <w:b/>
        </w:rPr>
        <w:t xml:space="preserve"> </w:t>
      </w:r>
      <w:r w:rsidRPr="00B05B54">
        <w:rPr>
          <w:i/>
        </w:rPr>
        <w:t>обнаружение клеток лимфомы по краю разреза диктует необходимость проведения локорегионарной ЛТ.</w:t>
      </w:r>
    </w:p>
    <w:p w14:paraId="34592B97" w14:textId="464264CB" w:rsidR="00341660" w:rsidRDefault="00341660" w:rsidP="00341660">
      <w:pPr>
        <w:pStyle w:val="affff1"/>
        <w:spacing w:before="0"/>
        <w:ind w:left="709" w:hanging="425"/>
      </w:pPr>
      <w:r>
        <w:t>Пациентам с верифицированными ра</w:t>
      </w:r>
      <w:r>
        <w:rPr>
          <w:lang w:val="en-US"/>
        </w:rPr>
        <w:t>c</w:t>
      </w:r>
      <w:r>
        <w:t xml:space="preserve">пространенными стадиями </w:t>
      </w:r>
      <w:r>
        <w:rPr>
          <w:lang w:val="en-US"/>
        </w:rPr>
        <w:t>MALT</w:t>
      </w:r>
      <w:r w:rsidRPr="00E505FF">
        <w:t>-</w:t>
      </w:r>
      <w:r>
        <w:t xml:space="preserve">лимфомы других локализаций </w:t>
      </w:r>
      <w:r w:rsidRPr="0038639D">
        <w:rPr>
          <w:b/>
        </w:rPr>
        <w:t>рекоменд</w:t>
      </w:r>
      <w:r>
        <w:rPr>
          <w:b/>
        </w:rPr>
        <w:t xml:space="preserve">овано </w:t>
      </w:r>
      <w:r>
        <w:t xml:space="preserve">проведение иммунохимиотерапии в соответствии с рекомендациями для распространенных стадий ФЛ </w:t>
      </w:r>
      <w:r>
        <w:rPr>
          <w:lang w:val="en-US"/>
        </w:rPr>
        <w:t>I</w:t>
      </w:r>
      <w:r w:rsidRPr="009865B8">
        <w:t>-</w:t>
      </w:r>
      <w:r>
        <w:rPr>
          <w:lang w:val="en-US"/>
        </w:rPr>
        <w:t>II</w:t>
      </w:r>
      <w:r>
        <w:t xml:space="preserve"> цитологического типа или </w:t>
      </w:r>
      <w:r w:rsidRPr="009865B8">
        <w:t>локальная ЛТ только на пораженную опухолью часть органа, РОД 2</w:t>
      </w:r>
      <w:r>
        <w:t> </w:t>
      </w:r>
      <w:r w:rsidRPr="009865B8">
        <w:t>Гр, СОД 20-40</w:t>
      </w:r>
      <w:r>
        <w:t> </w:t>
      </w:r>
      <w:r w:rsidRPr="009865B8">
        <w:t>Гр</w:t>
      </w:r>
      <w:r>
        <w:t xml:space="preserve"> (в зависимости от переносимости лечения пациентом) </w:t>
      </w:r>
      <w:r>
        <w:fldChar w:fldCharType="begin" w:fldLock="1"/>
      </w:r>
      <w:r w:rsidR="007D43B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006F55E0" w:rsidRPr="006F55E0">
        <w:rPr>
          <w:noProof/>
        </w:rPr>
        <w:t>[5,11,12]</w:t>
      </w:r>
      <w:r>
        <w:fldChar w:fldCharType="end"/>
      </w:r>
      <w:r>
        <w:t>.</w:t>
      </w:r>
    </w:p>
    <w:p w14:paraId="5BEA047D" w14:textId="2A14197F" w:rsidR="00341660" w:rsidRDefault="00341660" w:rsidP="00341660">
      <w:pPr>
        <w:pStyle w:val="afd"/>
        <w:ind w:left="709" w:firstLine="0"/>
        <w:rPr>
          <w:b/>
        </w:rPr>
      </w:pPr>
      <w:r w:rsidRPr="00F6217A">
        <w:rPr>
          <w:b/>
        </w:rPr>
        <w:lastRenderedPageBreak/>
        <w:t>Уровень убедительности рекомендаций С (уровень достоверности доказательств 5).</w:t>
      </w:r>
    </w:p>
    <w:p w14:paraId="2E5F1D38" w14:textId="77777777" w:rsidR="00341660" w:rsidRPr="009C1559" w:rsidRDefault="00341660" w:rsidP="00341660">
      <w:pPr>
        <w:pStyle w:val="2"/>
      </w:pPr>
      <w:bookmarkStart w:id="52" w:name="_Toc35277456"/>
      <w:bookmarkStart w:id="53" w:name="_Toc103332096"/>
      <w:r>
        <w:t>3.3 Лечение пациентов с распространенными (</w:t>
      </w:r>
      <w:r>
        <w:rPr>
          <w:lang w:val="en-US"/>
        </w:rPr>
        <w:t>III</w:t>
      </w:r>
      <w:r w:rsidRPr="009C1559">
        <w:t>-</w:t>
      </w:r>
      <w:r>
        <w:rPr>
          <w:lang w:val="en-US"/>
        </w:rPr>
        <w:t>IV</w:t>
      </w:r>
      <w:r w:rsidRPr="00ED0B3A">
        <w:t>)</w:t>
      </w:r>
      <w:r>
        <w:t xml:space="preserve"> стадиями </w:t>
      </w:r>
      <w:r>
        <w:rPr>
          <w:lang w:val="en-US"/>
        </w:rPr>
        <w:t>MALT</w:t>
      </w:r>
      <w:r w:rsidRPr="009C1559">
        <w:t>-лимфомы</w:t>
      </w:r>
      <w:bookmarkEnd w:id="52"/>
      <w:bookmarkEnd w:id="53"/>
    </w:p>
    <w:p w14:paraId="11F0B7FA" w14:textId="68E3E613" w:rsidR="00341660" w:rsidRDefault="00341660" w:rsidP="00A72B1B">
      <w:pPr>
        <w:pStyle w:val="afd"/>
        <w:numPr>
          <w:ilvl w:val="0"/>
          <w:numId w:val="11"/>
        </w:numPr>
        <w:spacing w:before="120" w:after="120"/>
        <w:ind w:left="709" w:hanging="709"/>
      </w:pPr>
      <w:r>
        <w:t>Пациентам с верифицированными ра</w:t>
      </w:r>
      <w:r>
        <w:rPr>
          <w:lang w:val="en-US"/>
        </w:rPr>
        <w:t>c</w:t>
      </w:r>
      <w:r>
        <w:t xml:space="preserve">пространенными стадиями </w:t>
      </w:r>
      <w:r>
        <w:rPr>
          <w:lang w:val="en-US"/>
        </w:rPr>
        <w:t>MALT</w:t>
      </w:r>
      <w:r w:rsidRPr="009C1559">
        <w:t>-</w:t>
      </w:r>
      <w:r>
        <w:t xml:space="preserve">лимфомы </w:t>
      </w:r>
      <w:r w:rsidRPr="0038639D">
        <w:rPr>
          <w:b/>
        </w:rPr>
        <w:t>рекоменд</w:t>
      </w:r>
      <w:r>
        <w:rPr>
          <w:b/>
        </w:rPr>
        <w:t xml:space="preserve">овано </w:t>
      </w:r>
      <w:r>
        <w:rPr>
          <w:bCs/>
        </w:rPr>
        <w:t xml:space="preserve">начало специфической терапии при наличии одного из следующих симптомов </w:t>
      </w:r>
      <w:r>
        <w:fldChar w:fldCharType="begin" w:fldLock="1"/>
      </w:r>
      <w:r w:rsidR="007D43B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006F55E0" w:rsidRPr="006F55E0">
        <w:rPr>
          <w:noProof/>
        </w:rPr>
        <w:t>[5,11,12]</w:t>
      </w:r>
      <w:r>
        <w:fldChar w:fldCharType="end"/>
      </w:r>
      <w:r>
        <w:t>:</w:t>
      </w:r>
    </w:p>
    <w:p w14:paraId="5ACEA1FF" w14:textId="77777777" w:rsidR="00341660" w:rsidRDefault="00341660" w:rsidP="00A72B1B">
      <w:pPr>
        <w:pStyle w:val="afd"/>
        <w:numPr>
          <w:ilvl w:val="1"/>
          <w:numId w:val="11"/>
        </w:numPr>
        <w:spacing w:before="120" w:after="120"/>
      </w:pPr>
      <w:r w:rsidRPr="009865B8">
        <w:t xml:space="preserve">болевой синдром, </w:t>
      </w:r>
    </w:p>
    <w:p w14:paraId="4429ABF9" w14:textId="77777777" w:rsidR="00341660" w:rsidRDefault="00341660" w:rsidP="00A72B1B">
      <w:pPr>
        <w:pStyle w:val="afd"/>
        <w:numPr>
          <w:ilvl w:val="1"/>
          <w:numId w:val="11"/>
        </w:numPr>
        <w:spacing w:before="120" w:after="120"/>
      </w:pPr>
      <w:r w:rsidRPr="009865B8">
        <w:t xml:space="preserve">нарушение функции органа, </w:t>
      </w:r>
    </w:p>
    <w:p w14:paraId="0DB73E5C" w14:textId="77777777" w:rsidR="00341660" w:rsidRDefault="00341660" w:rsidP="00A72B1B">
      <w:pPr>
        <w:pStyle w:val="afd"/>
        <w:numPr>
          <w:ilvl w:val="1"/>
          <w:numId w:val="11"/>
        </w:numPr>
        <w:spacing w:before="120" w:after="120"/>
      </w:pPr>
      <w:r w:rsidRPr="009865B8">
        <w:t xml:space="preserve">кровотечение, </w:t>
      </w:r>
    </w:p>
    <w:p w14:paraId="49E00D2A" w14:textId="77777777" w:rsidR="00341660" w:rsidRPr="00F6217A" w:rsidRDefault="00341660" w:rsidP="00A72B1B">
      <w:pPr>
        <w:pStyle w:val="afd"/>
        <w:numPr>
          <w:ilvl w:val="1"/>
          <w:numId w:val="11"/>
        </w:numPr>
        <w:spacing w:before="120" w:after="120"/>
      </w:pPr>
      <w:r w:rsidRPr="00F6217A">
        <w:t>массивное поражение</w:t>
      </w:r>
    </w:p>
    <w:p w14:paraId="3365D183" w14:textId="77777777" w:rsidR="00341660" w:rsidRDefault="00341660" w:rsidP="00341660">
      <w:pPr>
        <w:ind w:left="709" w:firstLine="0"/>
        <w:contextualSpacing/>
        <w:rPr>
          <w:b/>
        </w:rPr>
      </w:pPr>
      <w:r w:rsidRPr="00F6217A">
        <w:rPr>
          <w:b/>
        </w:rPr>
        <w:t>Уровень убедительности рекомендаций С (уровень достоверности доказательств 5).</w:t>
      </w:r>
    </w:p>
    <w:p w14:paraId="64234C7B" w14:textId="7E9BCE9B" w:rsidR="00341660" w:rsidRDefault="00341660" w:rsidP="00341660">
      <w:pPr>
        <w:pStyle w:val="afd"/>
        <w:ind w:left="0"/>
        <w:rPr>
          <w:i/>
        </w:rPr>
      </w:pPr>
      <w:r w:rsidRPr="008E7EEC">
        <w:rPr>
          <w:b/>
        </w:rPr>
        <w:t>Комментарий:</w:t>
      </w:r>
      <w:r>
        <w:rPr>
          <w:b/>
        </w:rPr>
        <w:t xml:space="preserve"> </w:t>
      </w:r>
      <w:r w:rsidRPr="009865B8">
        <w:rPr>
          <w:i/>
        </w:rPr>
        <w:t>при отсутствии показаний возможно динамическое наблюдение</w:t>
      </w:r>
      <w:r>
        <w:rPr>
          <w:i/>
        </w:rPr>
        <w:t>.</w:t>
      </w:r>
    </w:p>
    <w:p w14:paraId="4502353B" w14:textId="22E12DF9" w:rsidR="00341660" w:rsidRPr="00341660" w:rsidRDefault="00341660" w:rsidP="00341660">
      <w:pPr>
        <w:pStyle w:val="affff1"/>
        <w:ind w:left="709" w:hanging="425"/>
      </w:pPr>
      <w:r>
        <w:t>Пациентам с верифицированными ра</w:t>
      </w:r>
      <w:r>
        <w:rPr>
          <w:lang w:val="en-US"/>
        </w:rPr>
        <w:t>c</w:t>
      </w:r>
      <w:r>
        <w:t xml:space="preserve">пространенными стадиями </w:t>
      </w:r>
      <w:r>
        <w:rPr>
          <w:lang w:val="en-US"/>
        </w:rPr>
        <w:t>MALT</w:t>
      </w:r>
      <w:r w:rsidRPr="009C1559">
        <w:t>-</w:t>
      </w:r>
      <w:r>
        <w:t xml:space="preserve">лимфомы с показаниями к началу терапии </w:t>
      </w:r>
      <w:r w:rsidRPr="0038639D">
        <w:rPr>
          <w:b/>
        </w:rPr>
        <w:t>рекоменд</w:t>
      </w:r>
      <w:r>
        <w:rPr>
          <w:b/>
        </w:rPr>
        <w:t xml:space="preserve">овано </w:t>
      </w:r>
      <w:r>
        <w:t xml:space="preserve">проведение иммунохимиотерапии в </w:t>
      </w:r>
      <w:r w:rsidRPr="00341660">
        <w:t xml:space="preserve">соответствии с рекомендациями для распространенных стадий ФЛ </w:t>
      </w:r>
      <w:r w:rsidRPr="00341660">
        <w:rPr>
          <w:lang w:val="en-US"/>
        </w:rPr>
        <w:t>I</w:t>
      </w:r>
      <w:r w:rsidRPr="00341660">
        <w:t>-</w:t>
      </w:r>
      <w:r w:rsidRPr="00341660">
        <w:rPr>
          <w:lang w:val="en-US"/>
        </w:rPr>
        <w:t>II</w:t>
      </w:r>
      <w:r w:rsidRPr="00341660">
        <w:t xml:space="preserve"> цитологического типа (</w:t>
      </w:r>
      <w:r w:rsidRPr="00341660">
        <w:rPr>
          <w:lang w:val="en-US"/>
        </w:rPr>
        <w:t>BRR</w:t>
      </w:r>
      <w:r w:rsidRPr="00341660">
        <w:t>-</w:t>
      </w:r>
      <w:r w:rsidRPr="00341660">
        <w:rPr>
          <w:lang w:val="en-US"/>
        </w:rPr>
        <w:t>CVP</w:t>
      </w:r>
      <w:r w:rsidRPr="00341660">
        <w:t xml:space="preserve">, </w:t>
      </w:r>
      <w:r w:rsidRPr="00341660">
        <w:rPr>
          <w:lang w:val="en-US"/>
        </w:rPr>
        <w:t>R</w:t>
      </w:r>
      <w:r w:rsidRPr="00341660">
        <w:t>-</w:t>
      </w:r>
      <w:r w:rsidRPr="00341660">
        <w:rPr>
          <w:lang w:val="en-US"/>
        </w:rPr>
        <w:t>CHOP</w:t>
      </w:r>
      <w:r w:rsidRPr="00341660">
        <w:t>, монотерапия ритуксимабом**, комбинация ритуксимаба** с хлорамбуцилом**; режимы лечения – см. приложение А3.1)</w:t>
      </w:r>
      <w:r w:rsidR="00BB0E64">
        <w:t xml:space="preserve"> </w:t>
      </w:r>
      <w:r w:rsidRPr="00341660">
        <w:fldChar w:fldCharType="begin" w:fldLock="1"/>
      </w:r>
      <w:r w:rsidR="007D43B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rsidRPr="00341660">
        <w:fldChar w:fldCharType="separate"/>
      </w:r>
      <w:r w:rsidR="006F55E0" w:rsidRPr="006F55E0">
        <w:rPr>
          <w:noProof/>
        </w:rPr>
        <w:t>[5,11,12]</w:t>
      </w:r>
      <w:r w:rsidRPr="00341660">
        <w:fldChar w:fldCharType="end"/>
      </w:r>
      <w:r w:rsidRPr="00341660">
        <w:t>.</w:t>
      </w:r>
    </w:p>
    <w:p w14:paraId="00C0F653" w14:textId="77777777" w:rsidR="00341660" w:rsidRDefault="00341660" w:rsidP="00341660">
      <w:pPr>
        <w:pStyle w:val="afd"/>
        <w:spacing w:after="120"/>
        <w:ind w:left="709" w:firstLine="0"/>
        <w:rPr>
          <w:b/>
        </w:rPr>
      </w:pPr>
      <w:r w:rsidRPr="00F6217A">
        <w:rPr>
          <w:b/>
        </w:rPr>
        <w:t>Уровень убедительности рекомендаций С (уровень достоверности доказательств 5)</w:t>
      </w:r>
    </w:p>
    <w:p w14:paraId="5A08C9B4" w14:textId="334BE6F4" w:rsidR="00341660" w:rsidRDefault="00341660" w:rsidP="00341660">
      <w:pPr>
        <w:pStyle w:val="affff1"/>
        <w:ind w:left="709" w:hanging="425"/>
      </w:pPr>
      <w:r>
        <w:t xml:space="preserve">Пациентам с  </w:t>
      </w:r>
      <w:r>
        <w:rPr>
          <w:lang w:val="en-US"/>
        </w:rPr>
        <w:t>MALT</w:t>
      </w:r>
      <w:r w:rsidRPr="009C1559">
        <w:t>-</w:t>
      </w:r>
      <w:r>
        <w:t xml:space="preserve">лимфомой, у которых иммуногистохимически выделяется крупноклеточный компонент, независимо от стадии заболевания </w:t>
      </w:r>
      <w:r w:rsidRPr="0038639D">
        <w:rPr>
          <w:b/>
        </w:rPr>
        <w:t>рекоменд</w:t>
      </w:r>
      <w:r>
        <w:rPr>
          <w:b/>
        </w:rPr>
        <w:t xml:space="preserve">овано </w:t>
      </w:r>
      <w:r>
        <w:rPr>
          <w:bCs/>
        </w:rPr>
        <w:t xml:space="preserve">проведение иммунохимиотерапии в соответствии с рекомендациями для диффузной В-клеточной крупноклеточной лимфомы (см. клинические рекомендации по лечению агрессивных В-клеточных лимфом) </w:t>
      </w:r>
      <w:r>
        <w:fldChar w:fldCharType="begin" w:fldLock="1"/>
      </w:r>
      <w:r w:rsidR="007D43B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mendeley":{"formattedCitation":"[12]","plainTextFormattedCitation":"[12]","previouslyFormattedCitation":"[12]"},"properties":{"noteIndex":0},"schema":"https://github.com/citation-style-language/schema/raw/master/csl-citation.json"}</w:instrText>
      </w:r>
      <w:r>
        <w:fldChar w:fldCharType="separate"/>
      </w:r>
      <w:r w:rsidR="006F55E0" w:rsidRPr="006F55E0">
        <w:rPr>
          <w:noProof/>
        </w:rPr>
        <w:t>[12]</w:t>
      </w:r>
      <w:r>
        <w:fldChar w:fldCharType="end"/>
      </w:r>
      <w:r>
        <w:t>.</w:t>
      </w:r>
    </w:p>
    <w:p w14:paraId="1E2EF5E7" w14:textId="77777777" w:rsidR="00341660" w:rsidRDefault="00341660" w:rsidP="00341660">
      <w:pPr>
        <w:pStyle w:val="afd"/>
        <w:spacing w:after="120"/>
        <w:ind w:left="709" w:firstLine="0"/>
      </w:pPr>
      <w:r w:rsidRPr="00F6217A">
        <w:rPr>
          <w:b/>
        </w:rPr>
        <w:t>Уровень убедительности рекомендаций С (уровень достоверности доказательств 5)</w:t>
      </w:r>
    </w:p>
    <w:p w14:paraId="258D9243" w14:textId="77777777" w:rsidR="00BB0E64" w:rsidRPr="009C1559" w:rsidRDefault="00BB0E64" w:rsidP="00BB0E64">
      <w:pPr>
        <w:pStyle w:val="2"/>
      </w:pPr>
      <w:bookmarkStart w:id="54" w:name="_Toc35277457"/>
      <w:bookmarkStart w:id="55" w:name="_Toc103332097"/>
      <w:r>
        <w:t>3.4 Лечение пациентов с нодальной лимфомой маргинальной зоны</w:t>
      </w:r>
      <w:bookmarkEnd w:id="54"/>
      <w:bookmarkEnd w:id="55"/>
    </w:p>
    <w:p w14:paraId="4330D2E8" w14:textId="402C1A90" w:rsidR="00BB0E64" w:rsidRDefault="00BB0E64" w:rsidP="00A72B1B">
      <w:pPr>
        <w:pStyle w:val="afd"/>
        <w:numPr>
          <w:ilvl w:val="0"/>
          <w:numId w:val="11"/>
        </w:numPr>
        <w:spacing w:before="120" w:after="120"/>
        <w:ind w:left="709" w:hanging="709"/>
      </w:pPr>
      <w:r>
        <w:lastRenderedPageBreak/>
        <w:t xml:space="preserve">Пациентам с верифицированной нодальной ЛМЗ </w:t>
      </w:r>
      <w:r w:rsidRPr="0038639D">
        <w:rPr>
          <w:b/>
        </w:rPr>
        <w:t>рекоменд</w:t>
      </w:r>
      <w:r>
        <w:rPr>
          <w:b/>
        </w:rPr>
        <w:t xml:space="preserve">овано </w:t>
      </w:r>
      <w:r>
        <w:rPr>
          <w:bCs/>
        </w:rPr>
        <w:t xml:space="preserve">проведение терапии в соответствии с рекомендациями для ФЛ </w:t>
      </w:r>
      <w:r>
        <w:rPr>
          <w:bCs/>
          <w:lang w:val="en-US"/>
        </w:rPr>
        <w:t>I</w:t>
      </w:r>
      <w:r w:rsidRPr="009865B8">
        <w:rPr>
          <w:bCs/>
        </w:rPr>
        <w:t>-</w:t>
      </w:r>
      <w:r>
        <w:rPr>
          <w:bCs/>
          <w:lang w:val="en-US"/>
        </w:rPr>
        <w:t>II</w:t>
      </w:r>
      <w:r>
        <w:rPr>
          <w:bCs/>
        </w:rPr>
        <w:t xml:space="preserve"> цитологического типа </w:t>
      </w:r>
      <w:r w:rsidRPr="00341660">
        <w:rPr>
          <w:szCs w:val="24"/>
        </w:rPr>
        <w:t>(</w:t>
      </w:r>
      <w:r w:rsidRPr="00341660">
        <w:rPr>
          <w:szCs w:val="24"/>
          <w:lang w:val="en-US"/>
        </w:rPr>
        <w:t>BRR</w:t>
      </w:r>
      <w:r w:rsidRPr="00341660">
        <w:rPr>
          <w:szCs w:val="24"/>
        </w:rPr>
        <w:t>-</w:t>
      </w:r>
      <w:r w:rsidRPr="00341660">
        <w:rPr>
          <w:szCs w:val="24"/>
          <w:lang w:val="en-US"/>
        </w:rPr>
        <w:t>CVP</w:t>
      </w:r>
      <w:r w:rsidRPr="00341660">
        <w:rPr>
          <w:szCs w:val="24"/>
        </w:rPr>
        <w:t>,</w:t>
      </w:r>
      <w:r w:rsidRPr="00341660">
        <w:t xml:space="preserve"> </w:t>
      </w:r>
      <w:r w:rsidRPr="00341660">
        <w:rPr>
          <w:szCs w:val="24"/>
          <w:lang w:val="en-US"/>
        </w:rPr>
        <w:t>R</w:t>
      </w:r>
      <w:r w:rsidRPr="00341660">
        <w:rPr>
          <w:szCs w:val="24"/>
        </w:rPr>
        <w:t>-</w:t>
      </w:r>
      <w:r w:rsidRPr="00341660">
        <w:rPr>
          <w:szCs w:val="24"/>
          <w:lang w:val="en-US"/>
        </w:rPr>
        <w:t>CHOP</w:t>
      </w:r>
      <w:r w:rsidRPr="00341660">
        <w:rPr>
          <w:szCs w:val="24"/>
        </w:rPr>
        <w:t>,</w:t>
      </w:r>
      <w:r w:rsidRPr="00341660">
        <w:t xml:space="preserve"> монотерапия ритуксимабом**, комбинация ритуксимаба** с хлорамбуцилом**; режимы лечения – см. приложение А3.1)</w:t>
      </w:r>
      <w:r>
        <w:t xml:space="preserve"> </w:t>
      </w:r>
      <w:r>
        <w:fldChar w:fldCharType="begin" w:fldLock="1"/>
      </w:r>
      <w:r w:rsidR="007D43B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006F55E0" w:rsidRPr="006F55E0">
        <w:rPr>
          <w:noProof/>
        </w:rPr>
        <w:t>[5,11,12]</w:t>
      </w:r>
      <w:r>
        <w:fldChar w:fldCharType="end"/>
      </w:r>
      <w:r>
        <w:t>.</w:t>
      </w:r>
    </w:p>
    <w:p w14:paraId="4317DB75" w14:textId="28A1C6C4" w:rsidR="00BB0E64" w:rsidRDefault="00BB0E64" w:rsidP="00BB0E64">
      <w:pPr>
        <w:pStyle w:val="afd"/>
        <w:spacing w:before="120" w:after="120"/>
        <w:ind w:left="709" w:firstLine="0"/>
        <w:rPr>
          <w:b/>
        </w:rPr>
      </w:pPr>
      <w:r w:rsidRPr="00F6217A">
        <w:rPr>
          <w:b/>
        </w:rPr>
        <w:t>Уровень убедительности рекомендаций С (уровень достоверности доказательств 5)</w:t>
      </w:r>
    </w:p>
    <w:p w14:paraId="7B6C7809" w14:textId="77777777" w:rsidR="00BB0E64" w:rsidRPr="009C1559" w:rsidRDefault="00BB0E64" w:rsidP="00BB0E64">
      <w:pPr>
        <w:pStyle w:val="2"/>
      </w:pPr>
      <w:bookmarkStart w:id="56" w:name="_Toc35277458"/>
      <w:bookmarkStart w:id="57" w:name="_Toc103332098"/>
      <w:r>
        <w:t>3.5 Лечение пациентов с лимфомой маргинальной зоны селезенки</w:t>
      </w:r>
      <w:bookmarkEnd w:id="56"/>
      <w:bookmarkEnd w:id="57"/>
    </w:p>
    <w:p w14:paraId="0B45F7D8" w14:textId="6ECAA535" w:rsidR="00BB0E64" w:rsidRDefault="00BB0E64" w:rsidP="00A72B1B">
      <w:pPr>
        <w:pStyle w:val="afd"/>
        <w:numPr>
          <w:ilvl w:val="0"/>
          <w:numId w:val="11"/>
        </w:numPr>
        <w:spacing w:before="120" w:after="120"/>
        <w:ind w:left="709" w:hanging="709"/>
      </w:pPr>
      <w:r>
        <w:t xml:space="preserve">Пациентам с верифицированной лимфомой маргинальной зоны селезенки </w:t>
      </w:r>
      <w:r w:rsidRPr="0038639D">
        <w:rPr>
          <w:b/>
        </w:rPr>
        <w:t>рекоменд</w:t>
      </w:r>
      <w:r>
        <w:rPr>
          <w:b/>
        </w:rPr>
        <w:t xml:space="preserve">овано </w:t>
      </w:r>
      <w:r>
        <w:rPr>
          <w:bCs/>
        </w:rPr>
        <w:t xml:space="preserve">начало специфической терапии при наличии одного из следующих симптомов </w:t>
      </w:r>
      <w:r>
        <w:fldChar w:fldCharType="begin" w:fldLock="1"/>
      </w:r>
      <w:r w:rsidR="007D43B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006F55E0" w:rsidRPr="006F55E0">
        <w:rPr>
          <w:noProof/>
        </w:rPr>
        <w:t>[5,11,12]</w:t>
      </w:r>
      <w:r>
        <w:fldChar w:fldCharType="end"/>
      </w:r>
      <w:r>
        <w:t>:</w:t>
      </w:r>
    </w:p>
    <w:p w14:paraId="1641E12E" w14:textId="77777777" w:rsidR="00BB0E64" w:rsidRDefault="00BB0E64" w:rsidP="00A72B1B">
      <w:pPr>
        <w:pStyle w:val="afd"/>
        <w:numPr>
          <w:ilvl w:val="1"/>
          <w:numId w:val="11"/>
        </w:numPr>
        <w:spacing w:before="120" w:after="120"/>
      </w:pPr>
      <w:r>
        <w:t>спленомегалия</w:t>
      </w:r>
      <w:r w:rsidRPr="009865B8">
        <w:t xml:space="preserve">, </w:t>
      </w:r>
    </w:p>
    <w:p w14:paraId="78684EAA" w14:textId="77777777" w:rsidR="00BB0E64" w:rsidRPr="004A4546" w:rsidRDefault="00BB0E64" w:rsidP="00A72B1B">
      <w:pPr>
        <w:pStyle w:val="afd"/>
        <w:numPr>
          <w:ilvl w:val="1"/>
          <w:numId w:val="11"/>
        </w:numPr>
        <w:spacing w:before="120" w:after="120"/>
      </w:pPr>
      <w:r>
        <w:t>прогрессирующая цитопения</w:t>
      </w:r>
    </w:p>
    <w:p w14:paraId="549ECF5C" w14:textId="77777777" w:rsidR="00BB0E64" w:rsidRDefault="00BB0E64" w:rsidP="00BB0E64">
      <w:pPr>
        <w:ind w:left="709" w:firstLine="0"/>
        <w:contextualSpacing/>
        <w:rPr>
          <w:b/>
        </w:rPr>
      </w:pPr>
      <w:r w:rsidRPr="00F6217A">
        <w:rPr>
          <w:b/>
        </w:rPr>
        <w:t>Уровень убедительности рекомендаций С (уровень достоверности доказательств 5).</w:t>
      </w:r>
    </w:p>
    <w:p w14:paraId="6B85E325" w14:textId="444AB7A5" w:rsidR="00BB0E64" w:rsidRDefault="00BB0E64" w:rsidP="00BB0E64">
      <w:pPr>
        <w:pStyle w:val="afd"/>
        <w:spacing w:after="120"/>
        <w:ind w:left="709" w:firstLine="0"/>
        <w:rPr>
          <w:i/>
        </w:rPr>
      </w:pPr>
      <w:r w:rsidRPr="008E7EEC">
        <w:rPr>
          <w:b/>
        </w:rPr>
        <w:t>Комментарий:</w:t>
      </w:r>
      <w:r>
        <w:rPr>
          <w:b/>
        </w:rPr>
        <w:t xml:space="preserve"> </w:t>
      </w:r>
      <w:r w:rsidRPr="009865B8">
        <w:rPr>
          <w:i/>
        </w:rPr>
        <w:t>при отсутствии показаний возможно динамическое наблюдение</w:t>
      </w:r>
      <w:r>
        <w:rPr>
          <w:i/>
        </w:rPr>
        <w:t>.</w:t>
      </w:r>
    </w:p>
    <w:p w14:paraId="5455E9F1" w14:textId="7AAC4514" w:rsidR="00FD2D2C" w:rsidRDefault="00FD2D2C" w:rsidP="00FD2D2C">
      <w:pPr>
        <w:pStyle w:val="affff1"/>
        <w:ind w:left="709" w:hanging="425"/>
      </w:pPr>
      <w:r>
        <w:t xml:space="preserve">Пациентам с верифицированной лимфомой маргинальной зоны селезенки с гепатитом С </w:t>
      </w:r>
      <w:r w:rsidRPr="0038639D">
        <w:rPr>
          <w:b/>
        </w:rPr>
        <w:t>рекоменд</w:t>
      </w:r>
      <w:r>
        <w:rPr>
          <w:b/>
        </w:rPr>
        <w:t xml:space="preserve">овано </w:t>
      </w:r>
      <w:r>
        <w:rPr>
          <w:bCs/>
        </w:rPr>
        <w:t>проведение терапии вирусного ге</w:t>
      </w:r>
      <w:r w:rsidRPr="0099072E">
        <w:rPr>
          <w:bCs/>
        </w:rPr>
        <w:t>патита</w:t>
      </w:r>
      <w:r>
        <w:rPr>
          <w:bCs/>
        </w:rPr>
        <w:t xml:space="preserve"> в соответствии с клиническими рекомендациями по лечению гепатита С </w:t>
      </w:r>
      <w:r>
        <w:fldChar w:fldCharType="begin" w:fldLock="1"/>
      </w:r>
      <w:r w:rsidR="007D43B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006F55E0" w:rsidRPr="006F55E0">
        <w:rPr>
          <w:noProof/>
        </w:rPr>
        <w:t>[5,11,12]</w:t>
      </w:r>
      <w:r>
        <w:fldChar w:fldCharType="end"/>
      </w:r>
    </w:p>
    <w:p w14:paraId="7EFCA215" w14:textId="77777777" w:rsidR="00FD2D2C" w:rsidRDefault="00FD2D2C" w:rsidP="00FD2D2C">
      <w:pPr>
        <w:ind w:left="709" w:firstLine="0"/>
        <w:contextualSpacing/>
        <w:rPr>
          <w:b/>
        </w:rPr>
      </w:pPr>
      <w:r w:rsidRPr="00F6217A">
        <w:rPr>
          <w:b/>
        </w:rPr>
        <w:t>Уровень убедительности рекомендаций С (уровень достоверности доказательств 5).</w:t>
      </w:r>
    </w:p>
    <w:p w14:paraId="4BA54998" w14:textId="2F06B37F" w:rsidR="00B810AD" w:rsidRDefault="00B810AD" w:rsidP="00A72B1B">
      <w:pPr>
        <w:pStyle w:val="afd"/>
        <w:numPr>
          <w:ilvl w:val="0"/>
          <w:numId w:val="11"/>
        </w:numPr>
        <w:spacing w:before="120" w:after="120"/>
        <w:ind w:left="709" w:hanging="709"/>
      </w:pPr>
      <w:r>
        <w:t xml:space="preserve">Пациентам с верифицированной лимфомой маргинальной зоны селезенки с негативными результатами обследования на гепатит С или при противопоказаниях к противовирусному лечению </w:t>
      </w:r>
      <w:r w:rsidRPr="0038639D">
        <w:rPr>
          <w:b/>
        </w:rPr>
        <w:t>рекоменд</w:t>
      </w:r>
      <w:r>
        <w:rPr>
          <w:b/>
        </w:rPr>
        <w:t xml:space="preserve">ован </w:t>
      </w:r>
      <w:r>
        <w:rPr>
          <w:bCs/>
        </w:rPr>
        <w:t xml:space="preserve">один из следующих вариантов лечения </w:t>
      </w:r>
      <w:r>
        <w:fldChar w:fldCharType="begin" w:fldLock="1"/>
      </w:r>
      <w:r w:rsidR="007D43B2">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006F55E0" w:rsidRPr="006F55E0">
        <w:rPr>
          <w:noProof/>
        </w:rPr>
        <w:t>[5,11,12]</w:t>
      </w:r>
      <w:r>
        <w:fldChar w:fldCharType="end"/>
      </w:r>
      <w:r>
        <w:t>:</w:t>
      </w:r>
    </w:p>
    <w:p w14:paraId="1F052A68" w14:textId="7D063D23" w:rsidR="00B810AD" w:rsidRDefault="006F55E0" w:rsidP="00A72B1B">
      <w:pPr>
        <w:pStyle w:val="afd"/>
        <w:numPr>
          <w:ilvl w:val="1"/>
          <w:numId w:val="11"/>
        </w:numPr>
        <w:spacing w:before="120" w:after="120"/>
      </w:pPr>
      <w:r>
        <w:t xml:space="preserve">монотерапия </w:t>
      </w:r>
      <w:r w:rsidR="00B810AD">
        <w:t>ритуксимабом</w:t>
      </w:r>
      <w:r w:rsidR="00B810AD" w:rsidRPr="0099072E">
        <w:t>**</w:t>
      </w:r>
      <w:r w:rsidR="00B810AD">
        <w:t>(см. приложение А3.1)</w:t>
      </w:r>
      <w:r>
        <w:t>;</w:t>
      </w:r>
    </w:p>
    <w:p w14:paraId="2438979F" w14:textId="0098C11F" w:rsidR="00B810AD" w:rsidRPr="006F55E0" w:rsidRDefault="006F55E0" w:rsidP="00A72B1B">
      <w:pPr>
        <w:pStyle w:val="afd"/>
        <w:numPr>
          <w:ilvl w:val="1"/>
          <w:numId w:val="11"/>
        </w:numPr>
        <w:spacing w:before="120" w:after="120"/>
      </w:pPr>
      <w:r>
        <w:t>ритуксимаб</w:t>
      </w:r>
      <w:r w:rsidR="00B810AD" w:rsidRPr="0099072E">
        <w:t>**</w:t>
      </w:r>
      <w:r w:rsidR="00B810AD">
        <w:t xml:space="preserve">-содержащая иммунохимиотерапия по одной из схем </w:t>
      </w:r>
      <w:r w:rsidR="00B810AD" w:rsidRPr="006F55E0">
        <w:t>для лечения ФЛ (</w:t>
      </w:r>
      <w:r w:rsidR="00B810AD" w:rsidRPr="006F55E0">
        <w:rPr>
          <w:lang w:val="en-US"/>
        </w:rPr>
        <w:t>BR</w:t>
      </w:r>
      <w:r w:rsidR="00B810AD" w:rsidRPr="006F55E0">
        <w:t>,</w:t>
      </w:r>
      <w:r w:rsidRPr="006F55E0">
        <w:t xml:space="preserve"> </w:t>
      </w:r>
      <w:r w:rsidR="00B810AD" w:rsidRPr="006F55E0">
        <w:rPr>
          <w:lang w:val="en-US"/>
        </w:rPr>
        <w:t>R</w:t>
      </w:r>
      <w:r w:rsidR="00B810AD" w:rsidRPr="006F55E0">
        <w:t>-</w:t>
      </w:r>
      <w:r w:rsidR="00B810AD" w:rsidRPr="006F55E0">
        <w:rPr>
          <w:lang w:val="en-US"/>
        </w:rPr>
        <w:t>CVP</w:t>
      </w:r>
      <w:r w:rsidR="00B810AD" w:rsidRPr="006F55E0">
        <w:t xml:space="preserve">, </w:t>
      </w:r>
      <w:r w:rsidR="00B810AD" w:rsidRPr="006F55E0">
        <w:rPr>
          <w:lang w:val="en-US"/>
        </w:rPr>
        <w:t>R</w:t>
      </w:r>
      <w:r w:rsidR="00B810AD" w:rsidRPr="006F55E0">
        <w:t>-</w:t>
      </w:r>
      <w:r w:rsidR="00B810AD" w:rsidRPr="006F55E0">
        <w:rPr>
          <w:lang w:val="en-US"/>
        </w:rPr>
        <w:t>CHOP</w:t>
      </w:r>
      <w:r w:rsidRPr="006F55E0">
        <w:t xml:space="preserve"> – </w:t>
      </w:r>
      <w:r w:rsidR="00B810AD" w:rsidRPr="006F55E0">
        <w:t>см. приложение А3.1)</w:t>
      </w:r>
      <w:r>
        <w:t>;</w:t>
      </w:r>
    </w:p>
    <w:p w14:paraId="2A1D7F50" w14:textId="68338175" w:rsidR="00B810AD" w:rsidRPr="004A4546" w:rsidRDefault="006F55E0" w:rsidP="00A72B1B">
      <w:pPr>
        <w:pStyle w:val="afd"/>
        <w:numPr>
          <w:ilvl w:val="1"/>
          <w:numId w:val="11"/>
        </w:numPr>
        <w:spacing w:before="120" w:after="120"/>
      </w:pPr>
      <w:r>
        <w:t>спленэктомия.</w:t>
      </w:r>
    </w:p>
    <w:p w14:paraId="61531D4D" w14:textId="48A9DDA7" w:rsidR="00BB0E64" w:rsidRDefault="00B810AD" w:rsidP="00B810AD">
      <w:pPr>
        <w:pStyle w:val="afd"/>
        <w:spacing w:before="120" w:after="120"/>
        <w:ind w:left="709" w:firstLine="0"/>
        <w:rPr>
          <w:b/>
        </w:rPr>
      </w:pPr>
      <w:r w:rsidRPr="00F6217A">
        <w:rPr>
          <w:b/>
        </w:rPr>
        <w:t>Уровень убедительности рекомендаций С (уровень достоверности доказательств 5).</w:t>
      </w:r>
    </w:p>
    <w:p w14:paraId="6022EC2F" w14:textId="77777777" w:rsidR="00341660" w:rsidRDefault="00341660" w:rsidP="00341660">
      <w:pPr>
        <w:pStyle w:val="afd"/>
        <w:ind w:left="709" w:firstLine="0"/>
        <w:rPr>
          <w:b/>
        </w:rPr>
      </w:pPr>
    </w:p>
    <w:p w14:paraId="48016C12" w14:textId="77777777" w:rsidR="00341660" w:rsidRDefault="00341660" w:rsidP="00443900">
      <w:pPr>
        <w:pStyle w:val="afd"/>
        <w:ind w:left="709" w:firstLine="0"/>
        <w:rPr>
          <w:i/>
        </w:rPr>
      </w:pPr>
    </w:p>
    <w:p w14:paraId="122DAA79" w14:textId="2F12B643" w:rsidR="006F55E0" w:rsidRPr="006F55E0" w:rsidRDefault="006F55E0" w:rsidP="006F55E0">
      <w:pPr>
        <w:pStyle w:val="2"/>
        <w:contextualSpacing/>
      </w:pPr>
      <w:bookmarkStart w:id="58" w:name="_Toc65868441"/>
      <w:bookmarkStart w:id="59" w:name="_Toc103332099"/>
      <w:r w:rsidRPr="006F55E0">
        <w:lastRenderedPageBreak/>
        <w:t>3.</w:t>
      </w:r>
      <w:r w:rsidR="007D43B2" w:rsidRPr="007D43B2">
        <w:t>6</w:t>
      </w:r>
      <w:r w:rsidRPr="006F55E0">
        <w:t xml:space="preserve"> Консолидация ремиссии ЛМЗ у пациентов старше 18 лет</w:t>
      </w:r>
      <w:bookmarkEnd w:id="58"/>
      <w:bookmarkEnd w:id="59"/>
    </w:p>
    <w:p w14:paraId="7CF19375" w14:textId="3966A166" w:rsidR="006F55E0" w:rsidRPr="006F55E0" w:rsidRDefault="006F55E0" w:rsidP="00A72B1B">
      <w:pPr>
        <w:pStyle w:val="afd"/>
        <w:numPr>
          <w:ilvl w:val="0"/>
          <w:numId w:val="11"/>
        </w:numPr>
        <w:ind w:left="709" w:hanging="709"/>
      </w:pPr>
      <w:r w:rsidRPr="006F55E0">
        <w:t xml:space="preserve">Пациентам с ЛМЗ, достигшим полной или частичной ремиссии после первой линии терапии с применением монотерапии ритуксимабом** или полихимиотерапии с включением ритуксимаба**, </w:t>
      </w:r>
      <w:r w:rsidRPr="006F55E0">
        <w:rPr>
          <w:bCs/>
          <w:u w:val="single"/>
        </w:rPr>
        <w:t>опционально</w:t>
      </w:r>
      <w:r w:rsidRPr="006F55E0">
        <w:t xml:space="preserve"> </w:t>
      </w:r>
      <w:r w:rsidRPr="006F55E0">
        <w:rPr>
          <w:b/>
        </w:rPr>
        <w:t xml:space="preserve">рекомендовано </w:t>
      </w:r>
      <w:r w:rsidRPr="006F55E0">
        <w:t xml:space="preserve">поддерживающее лечение ритуксимабом** 1 раз в 2 месяца в течение 2 лет, всего 12 введений для поддержания ремиссии </w:t>
      </w:r>
      <w:r w:rsidRPr="006F55E0">
        <w:fldChar w:fldCharType="begin" w:fldLock="1"/>
      </w:r>
      <w:r w:rsidR="007D43B2">
        <w:instrText>ADDIN CSL_CITATION {"citationItems":[{"id":"ITEM-1","itemData":{"DOI":"10.1016/S1470-2045(14)70027-0","ISSN":"14745488","abstract":"Background: Patients with advanced-stage, low-tumour-burden follicular lymphoma have conventionally undergone watchful waiting until disease progression. We assessed whether rituximab use could delay the need for chemotherapy or radiotherapy compared with watchful waiting and the effect of this strategy on quality of life (QoL). Methods: Asymptomatic patients (aged ≥18 years) with low-tumour-burden follicular lymphoma (grades 1, 2, and 3a) were randomly assigned centrally (1:1:1), by the minimisation approach stratified by institution, grade, stage, and age, to watchful waiting, rituximab 375 mg/m2 weekly for 4 weeks (rituximab induction), or rituximab induction followed by a maintenance schedule of 12 further infusions given at 2-monthly intervals for 2 years (maintenance rituximab). On Sept 30, 2007, recruitment into the rituximab induction group was closed and the study was amended to a two-arm study. The primary endpoints were time to start of new treatment and QoL at month 7 (ie, 6 months after completion of rituximab induction). All randomly assigned patients were included in the analysis of time to start of new treatment on an intention-to-treat basis. The main study is now completed and is in long-term follow-up. The study is registered with ClinicalTrials.gov, NCT00112931. Findings: Between Oct 15, 2004, and March 25, 2009, 379 patients from 118 centres in the UK, Australia, New Zealand, Turkey, and Poland were randomly assigned to watchful waiting or maintenance rituximab. 84 patients were recruited to the rituximab induction group before it was closed early. There was a significant difference in the time to start of new treatment, with 46% (95% CI 39-53) of patients in the watchful waiting group not needing treatment at 3 years compared with 88% (83-92) in the maintenance rituximab group (hazard ratio [HR] 0·21, 95% CI 0·14-0·31; p&lt;0·0001). 78% (95% CI 69-87) of patients in the rituximab induction group did not need treatment at 3 years, which was significantly more than in the watchful waiting group (HR 0·35, 95% CI 0·22-0·56; p&lt;0·0001), but no different compared with the maintenance rituximab group (0·75, 0·41-1·34; p=0·33). Compared with the watchful waiting group, patients in the maintenance rituximab group had significant improvements in the Mental Adjustment to Cancer scale score (p=0·0004), and Illness Coping Style score (p=0·0012) between baseline and month 7. Patients in the rituximab induction group did not show improvements in thei…","author":[{"dropping-particle":"","family":"Ardeshna","given":"Kirit M.","non-dropping-particle":"","parse-names":false,"suffix":""},{"dropping-particle":"","family":"Qian","given":"Wendi","non-dropping-particle":"","parse-names":false,"suffix":""},{"dropping-particle":"","family":"Smith","given":"Paul","non-dropping-particle":"","parse-names":false,"suffix":""},{"dropping-particle":"","family":"Braganca","given":"Nivette","non-dropping-particle":"","parse-names":false,"suffix":""},{"dropping-particle":"","family":"Lowry","given":"Lisa","non-dropping-particle":"","parse-names":false,"suffix":""},{"dropping-particle":"","family":"Patrick","given":"Pip","non-dropping-particle":"","parse-names":false,"suffix":""},{"dropping-particle":"","family":"Warden","given":"June","non-dropping-particle":"","parse-names":false,"suffix":""},{"dropping-particle":"","family":"Stevens","given":"Lindsey","non-dropping-particle":"","parse-names":false,"suffix":""},{"dropping-particle":"","family":"Pocock","given":"Christopher F.E.","non-dropping-particle":"","parse-names":false,"suffix":""},{"dropping-particle":"","family":"Miall","given":"Fiona","non-dropping-particle":"","parse-names":false,"suffix":""},{"dropping-particle":"","family":"Cunningham","given":"David","non-dropping-particle":"","parse-names":false,"suffix":""},{"dropping-particle":"","family":"Davies","given":"John","non-dropping-particle":"","parse-names":false,"suffix":""},{"dropping-particle":"","family":"Jack","given":"Andrew","non-dropping-particle":"","parse-names":false,"suffix":""},{"dropping-particle":"","family":"Stephens","given":"Richard","non-dropping-particle":"","parse-names":false,"suffix":""},{"dropping-particle":"","family":"Walewski","given":"Jan","non-dropping-particle":"","parse-names":false,"suffix":""},{"dropping-particle":"","family":"Ferhanoglu","given":"Burhan","non-dropping-particle":"","parse-names":false,"suffix":""},{"dropping-particle":"","family":"Bradstock","given":"Ken","non-dropping-particle":"","parse-names":false,"suffix":""},{"dropping-particle":"","family":"Linch","given":"David C.","non-dropping-particle":"","parse-names":false,"suffix":""}],"container-title":"The Lancet Oncology","id":"ITEM-1","issue":"4","issued":{"date-parts":[["2014","4"]]},"page":"424-435","publisher":"Lancet Publishing Group","title":"Rituximab versus a watch-and-wait approach in patients with advanced-stage, asymptomatic, non-bulky follicular lymphoma: An open-label randomised phase 3 trial","type":"article-journal","volume":"15"},"uris":["http://www.mendeley.com/documents/?uuid=72b023b1-677d-367d-89a9-3120408bebb8"]},{"id":"ITEM-2","itemData":{"DOI":"10.1002/cam4.1549","ISSN":"20457634","abstract":"Standard of care for patients with symptomatic, advanced-stage follicular lymphoma (FL) is rituximab-containing chemoimmunotherapy followed by rituximab maintenance. This prospective, multicenter, noninterventional study analyzed how efficacy and safety data from randomized controlled trials translate into clinical practice in Germany. Both treatment-naïve and relapsed/refractory patients with FL, who responded to rituximab-containing induction and were scheduled for rituximab maintenance, were observed for 24 months. Effectiveness was measured by response and Kaplan-Meier survival analysis. In addition, treatment patterns of induction and maintenance, as well as adverse events, were documented. The evaluable study population consisted of 310 first-line patients and 173 relapsed/refractory patients, including 116 patients with initial Ann-Arbor stage I/II and 20 patients with FL grade 3B. Regarding first-line induction, a shift from R-CHOP (rituximab, cyclophosphamide, doxorubicin, vincristine, prednisone) to R-bendamustine was observed over time, as well as a decline in radiotherapy. 2-year progression-free survival rates were 88.3% (95% confidence interval [CI] 84.0-92.6) for first-line patients and 76.0% (95% CI: 68.8-83.3) for relapsed/refractory patients. Conversion from partial to complete remission (PR, CR) occurred in 53.4% of analyzed first-line patients with PR, resulting in 69.4% CRs at study end (relapsed/refractory: conversion in 42.9%, final CRs 57.9%). Safety results were consistent with the known safety profile of rituximab in this setting. Both treatment-naïve and relapsed/refractory patients with FL show favorable 2-year PFS rates and improvements in the remission status with postinduction rituximab monotherapy as maintenance and consolidation therapy.","author":[{"dropping-particle":"","family":"Dührsen","given":"Ulrich","non-dropping-particle":"","parse-names":false,"suffix":""},{"dropping-particle":"","family":"Broszeit-Luft","given":"Stefanie","non-dropping-particle":"","parse-names":false,"suffix":""},{"dropping-particle":"","family":"Dieing","given":"Annette","non-dropping-particle":"","parse-names":false,"suffix":""},{"dropping-particle":"","family":"Lück","given":"Andreas","non-dropping-particle":"","parse-names":false,"suffix":""},{"dropping-particle":"","family":"Porowski","given":"Piotr","non-dropping-particle":"","parse-names":false,"suffix":""},{"dropping-particle":"","family":"Reiser","given":"Marcel","non-dropping-particle":"","parse-names":false,"suffix":""},{"dropping-particle":"","family":"Schwinger","given":"Ulrike","non-dropping-particle":"","parse-names":false,"suffix":""},{"dropping-particle":"","family":"Klawitter","given":"Sandra","non-dropping-particle":"","parse-names":false,"suffix":""},{"dropping-particle":"","family":"Krumm","given":"Katja","non-dropping-particle":"","parse-names":false,"suffix":""},{"dropping-particle":"","family":"Jentsch-Ullrich","given":"Kathleen","non-dropping-particle":"","parse-names":false,"suffix":""}],"container-title":"Cancer Medicine","id":"ITEM-2","issue":"7","issued":{"date-parts":[["2018","7","1"]]},"page":"2903-2912","publisher":"Blackwell Publishing Ltd","title":"Rituximab maintenance therapy of follicular lymphoma in clinical practice","type":"article-journal","volume":"7"},"uris":["http://www.mendeley.com/documents/?uuid=5241de85-14bf-3a20-b392-53bfdd14aba4"]}],"mendeley":{"formattedCitation":"[30,31]","plainTextFormattedCitation":"[30,31]","previouslyFormattedCitation":"[30,31]"},"properties":{"noteIndex":0},"schema":"https://github.com/citation-style-language/schema/raw/master/csl-citation.json"}</w:instrText>
      </w:r>
      <w:r w:rsidRPr="006F55E0">
        <w:fldChar w:fldCharType="separate"/>
      </w:r>
      <w:r w:rsidRPr="006F55E0">
        <w:rPr>
          <w:noProof/>
        </w:rPr>
        <w:t>[30,31]</w:t>
      </w:r>
      <w:r w:rsidRPr="006F55E0">
        <w:fldChar w:fldCharType="end"/>
      </w:r>
      <w:r w:rsidRPr="006F55E0">
        <w:t>.</w:t>
      </w:r>
    </w:p>
    <w:p w14:paraId="5AB2F5D9" w14:textId="77777777" w:rsidR="006F55E0" w:rsidRPr="006F55E0" w:rsidRDefault="006F55E0" w:rsidP="006F55E0">
      <w:pPr>
        <w:ind w:left="709" w:firstLine="0"/>
        <w:contextualSpacing/>
        <w:rPr>
          <w:b/>
        </w:rPr>
      </w:pPr>
      <w:r w:rsidRPr="006F55E0">
        <w:rPr>
          <w:b/>
        </w:rPr>
        <w:t>Уровень убедительности рекомендаций В (уровень достоверности доказательств 3).</w:t>
      </w:r>
    </w:p>
    <w:p w14:paraId="1E8E79E6" w14:textId="3508321D" w:rsidR="006F55E0" w:rsidRPr="000E7A74" w:rsidRDefault="006F55E0" w:rsidP="006F55E0">
      <w:pPr>
        <w:pStyle w:val="afd"/>
        <w:ind w:left="0"/>
        <w:rPr>
          <w:bCs/>
          <w:i/>
          <w:lang w:val="en-US"/>
        </w:rPr>
      </w:pPr>
      <w:r w:rsidRPr="006F55E0">
        <w:rPr>
          <w:b/>
        </w:rPr>
        <w:t>Комментарий:</w:t>
      </w:r>
      <w:r>
        <w:rPr>
          <w:b/>
        </w:rPr>
        <w:t xml:space="preserve"> </w:t>
      </w:r>
      <w:r w:rsidRPr="006F55E0">
        <w:rPr>
          <w:rStyle w:val="affa"/>
        </w:rPr>
        <w:t>при появлении признаков прогрессирования поддерживающую терапию следует прекратить</w:t>
      </w:r>
      <w:r w:rsidRPr="006F55E0">
        <w:rPr>
          <w:bCs/>
          <w:i/>
        </w:rPr>
        <w:t xml:space="preserve"> Для пациентов, которые получали режим </w:t>
      </w:r>
      <w:r w:rsidRPr="006F55E0">
        <w:rPr>
          <w:bCs/>
          <w:i/>
          <w:lang w:val="en-US"/>
        </w:rPr>
        <w:t>BR</w:t>
      </w:r>
      <w:r w:rsidRPr="006F55E0">
        <w:rPr>
          <w:bCs/>
          <w:i/>
        </w:rPr>
        <w:t>,</w:t>
      </w:r>
      <w:r>
        <w:rPr>
          <w:bCs/>
          <w:i/>
        </w:rPr>
        <w:t xml:space="preserve"> поддерживающая терапия ритуксимабом увеличивает риск инфекционных осложнений, поэтому в случае достижения полной ремиссии, поддерживающая терапия после </w:t>
      </w:r>
      <w:r>
        <w:rPr>
          <w:bCs/>
          <w:i/>
          <w:lang w:val="en-US"/>
        </w:rPr>
        <w:t>BR</w:t>
      </w:r>
      <w:r>
        <w:rPr>
          <w:bCs/>
          <w:i/>
        </w:rPr>
        <w:t xml:space="preserve"> не показана </w:t>
      </w:r>
      <w:r>
        <w:rPr>
          <w:bCs/>
          <w:i/>
        </w:rPr>
        <w:fldChar w:fldCharType="begin" w:fldLock="1"/>
      </w:r>
      <w:r w:rsidR="007D43B2">
        <w:rPr>
          <w:bCs/>
          <w:i/>
        </w:rPr>
        <w:instrText>ADDIN CSL_CITATION {"citationItems":[{"id":"ITEM-1","itemData":{"DOI":"10.1002/hon.29_2880","ISSN":"0278-0232","author":[{"dropping-particle":"","family":"Bastos‐Oreiro","given":"M.","non-dropping-particle":"","parse-names":false,"suffix":""},{"dropping-particle":"","family":"Gutierrez","given":"A.","non-dropping-particle":"","parse-names":false,"suffix":""},{"dropping-particle":"","family":"Martín","given":"R.","non-dropping-particle":"","parse-names":false,"suffix":""},{"dropping-particle":"","family":"Cabero","given":"A.","non-dropping-particle":"","parse-names":false,"suffix":""},{"dropping-particle":"","family":"Navarro","given":"B.","non-dropping-particle":"","parse-names":false,"suffix":""},{"dropping-particle":"","family":"Jimenez‐Unieto","given":"A.","non-dropping-particle":"","parse-names":false,"suffix":""},{"dropping-particle":"","family":"Alonso","given":"C.","non-dropping-particle":"","parse-names":false,"suffix":""},{"dropping-particle":"","family":"Gonzalez de Villambrosia","given":"S.","non-dropping-particle":"","parse-names":false,"suffix":""},{"dropping-particle":"","family":"Córdoba","given":"R.","non-dropping-particle":"","parse-names":false,"suffix":""},{"dropping-particle":"","family":"Perez de Oteyza","given":"J.","non-dropping-particle":"","parse-names":false,"suffix":""},{"dropping-particle":"","family":"Infante","given":"María","non-dropping-particle":"","parse-names":false,"suffix":""},{"dropping-particle":"","family":"Campo","given":"R.","non-dropping-particle":"Del","parse-names":false,"suffix":""},{"dropping-particle":"","family":"la Fuente","given":"A.","non-dropping-particle":"De","parse-names":false,"suffix":""},{"dropping-particle":"","family":"Oña","given":"R.","non-dropping-particle":"","parse-names":false,"suffix":""},{"dropping-particle":"","family":"García Belmonte","given":"D.","non-dropping-particle":"","parse-names":false,"suffix":""},{"dropping-particle":"","family":"Salar","given":"A.","non-dropping-particle":"","parse-names":false,"suffix":""},{"dropping-particle":"","family":"Sancho","given":"J. M.","non-dropping-particle":"","parse-names":false,"suffix":""}],"container-title":"Hematological Oncology","id":"ITEM-1","issue":"S2","issued":{"date-parts":[["2021","6"]]},"publisher":"Wiley","title":"MAINTENANCE THERAPY AFTER R‐BENDAMUSTINE VS R‐CHOP IN FIRST‐LINE TREATMENT OF LOW‐GRADE FOLLICULAR LYMPHOMA: A MULTICENTRE, RETROSPECTIVE GELTAMO STUDY","type":"article-journal","volume":"39"},"uris":["http://www.mendeley.com/documents/?uuid=c667104a-34c4-32d2-8294-31fac0eb259d"]}],"mendeley":{"formattedCitation":"[32]","plainTextFormattedCitation":"[32]","previouslyFormattedCitation":"[32]"},"properties":{"noteIndex":0},"schema":"https://github.com/citation-style-language/schema/raw/master/csl-citation.json"}</w:instrText>
      </w:r>
      <w:r>
        <w:rPr>
          <w:bCs/>
          <w:i/>
        </w:rPr>
        <w:fldChar w:fldCharType="separate"/>
      </w:r>
      <w:r w:rsidRPr="006F55E0">
        <w:rPr>
          <w:bCs/>
          <w:noProof/>
          <w:lang w:val="en-US"/>
        </w:rPr>
        <w:t>[32]</w:t>
      </w:r>
      <w:r>
        <w:rPr>
          <w:bCs/>
          <w:i/>
        </w:rPr>
        <w:fldChar w:fldCharType="end"/>
      </w:r>
      <w:r>
        <w:rPr>
          <w:bCs/>
          <w:i/>
          <w:lang w:val="en-US"/>
        </w:rPr>
        <w:t>.</w:t>
      </w:r>
    </w:p>
    <w:p w14:paraId="6A9C63CA" w14:textId="2FD4E04A" w:rsidR="007D43B2" w:rsidRPr="007D43B2" w:rsidRDefault="007D43B2" w:rsidP="007D43B2">
      <w:pPr>
        <w:pStyle w:val="2"/>
        <w:contextualSpacing/>
      </w:pPr>
      <w:bookmarkStart w:id="60" w:name="_Toc35277459"/>
      <w:bookmarkStart w:id="61" w:name="_Toc103332100"/>
      <w:r w:rsidRPr="007D43B2">
        <w:t xml:space="preserve">3.7 </w:t>
      </w:r>
      <w:r w:rsidRPr="00043202">
        <w:t>Лечение</w:t>
      </w:r>
      <w:r w:rsidRPr="007D43B2">
        <w:t xml:space="preserve"> </w:t>
      </w:r>
      <w:r w:rsidRPr="00043202">
        <w:t>рецидивов</w:t>
      </w:r>
      <w:r w:rsidRPr="007D43B2">
        <w:t xml:space="preserve"> </w:t>
      </w:r>
      <w:r>
        <w:t>и</w:t>
      </w:r>
      <w:r w:rsidRPr="007D43B2">
        <w:t xml:space="preserve"> </w:t>
      </w:r>
      <w:r>
        <w:t>рефрактерных</w:t>
      </w:r>
      <w:r w:rsidRPr="007D43B2">
        <w:t xml:space="preserve"> </w:t>
      </w:r>
      <w:r>
        <w:t>форм</w:t>
      </w:r>
      <w:r w:rsidRPr="007D43B2">
        <w:t xml:space="preserve"> </w:t>
      </w:r>
      <w:r>
        <w:t>ЛМЗ</w:t>
      </w:r>
      <w:bookmarkEnd w:id="60"/>
      <w:bookmarkEnd w:id="61"/>
    </w:p>
    <w:p w14:paraId="0CAD3073" w14:textId="286D5AD5" w:rsidR="007D43B2" w:rsidRDefault="007D43B2" w:rsidP="00A72B1B">
      <w:pPr>
        <w:pStyle w:val="afd"/>
        <w:numPr>
          <w:ilvl w:val="0"/>
          <w:numId w:val="11"/>
        </w:numPr>
        <w:spacing w:before="120" w:after="120"/>
        <w:ind w:left="709" w:hanging="709"/>
      </w:pPr>
      <w:r>
        <w:t xml:space="preserve">Пациентам с рецидивами и рефрактерными формами ЛМЗ при наличии показаний к лечению </w:t>
      </w:r>
      <w:r w:rsidRPr="0038639D">
        <w:rPr>
          <w:b/>
        </w:rPr>
        <w:t>рекоменд</w:t>
      </w:r>
      <w:r>
        <w:rPr>
          <w:b/>
        </w:rPr>
        <w:t xml:space="preserve">овано </w:t>
      </w:r>
      <w:r>
        <w:rPr>
          <w:bCs/>
        </w:rPr>
        <w:t xml:space="preserve">проведение терапии в соответствии с рекомендациями для рецидивов и рефрактерных форм ФЛ </w:t>
      </w:r>
      <w:r>
        <w:rPr>
          <w:bCs/>
          <w:lang w:val="en-US"/>
        </w:rPr>
        <w:t>I</w:t>
      </w:r>
      <w:r w:rsidRPr="009865B8">
        <w:rPr>
          <w:bCs/>
        </w:rPr>
        <w:t>-</w:t>
      </w:r>
      <w:r>
        <w:rPr>
          <w:bCs/>
          <w:lang w:val="en-US"/>
        </w:rPr>
        <w:t>II</w:t>
      </w:r>
      <w:r w:rsidRPr="007D43B2">
        <w:rPr>
          <w:bCs/>
        </w:rPr>
        <w:t xml:space="preserve"> </w:t>
      </w:r>
      <w:r>
        <w:rPr>
          <w:bCs/>
        </w:rPr>
        <w:t>цитологического типа (режимы лечения – см. приложение А3.1) и ЛТ, если она не проводилась ранее</w:t>
      </w:r>
      <w:r w:rsidRPr="007D43B2">
        <w:rPr>
          <w:bCs/>
        </w:rPr>
        <w:t xml:space="preserve"> </w:t>
      </w:r>
      <w:r>
        <w:fldChar w:fldCharType="begin" w:fldLock="1"/>
      </w:r>
      <w:r>
        <w:instrText>ADDIN CSL_CITATION {"citationItems":[{"id":"ITEM-1","itemData":{"author":[{"dropping-particle":"","family":"Поддубная","given":"И.В.","non-dropping-particle":"","parse-names":false,"suffix":""}],"container-title":"Гериатрическая гематология. Заболевания системы крови в старших возрастных группах. Под редакцией Л.Д. Гриншпун, А.В. Пивника","id":"ITEM-1","issued":{"date-parts":[["2012"]]},"page":"176-187","title":"Неходжкинские лимфомы маргинальной зоны","type":"chapter"},"uris":["http://www.mendeley.com/documents/?uuid=55174691-e9d7-401f-a0a9-f116659e2535"]},{"id":"ITEM-2","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-2","issued":{"date-parts":[["0"]]},"title":"B-cell lymphomas. NCCN Clinical Practice Guidelines in Oncology. Version 5.2019","type":"article"},"uris":["http://www.mendeley.com/documents/?uuid=4e117fbe-c678-350d-9b0c-f8bba5d6f848"]},{"id":"ITEM-3","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Oncology","id":"ITEM-3","issue":"1","issued":{"date-parts":[["2020","1","1"]]},"page":"17-29","publisher":"Elsevier Ltd","title":"Marginal zone lymphomas: ESMO Clinical Practice Guidelines for diagnosis, treatment and follow-up","type":"article-journal","volume":"31"},"uris":["http://www.mendeley.com/documents/?uuid=fbdf0c05-49c8-3abf-834c-701e85508549"]}],"mendeley":{"formattedCitation":"[5,11,12]","plainTextFormattedCitation":"[5,11,12]","previouslyFormattedCitation":"[5,11,12]"},"properties":{"noteIndex":0},"schema":"https://github.com/citation-style-language/schema/raw/master/csl-citation.json"}</w:instrText>
      </w:r>
      <w:r>
        <w:fldChar w:fldCharType="separate"/>
      </w:r>
      <w:r w:rsidRPr="007D43B2">
        <w:rPr>
          <w:noProof/>
        </w:rPr>
        <w:t>[5,11,12]</w:t>
      </w:r>
      <w:r>
        <w:fldChar w:fldCharType="end"/>
      </w:r>
      <w:r>
        <w:t>.</w:t>
      </w:r>
    </w:p>
    <w:p w14:paraId="6B286D1D" w14:textId="736D38AF" w:rsidR="007D43B2" w:rsidRDefault="007D43B2" w:rsidP="007D43B2">
      <w:pPr>
        <w:pStyle w:val="afd"/>
        <w:spacing w:before="120" w:after="120"/>
        <w:ind w:left="709" w:firstLine="0"/>
        <w:rPr>
          <w:b/>
        </w:rPr>
      </w:pPr>
      <w:r w:rsidRPr="00F6217A">
        <w:rPr>
          <w:b/>
        </w:rPr>
        <w:t>Уровень убедительности рекомендаций С (уровень достоверности доказательств 5).</w:t>
      </w:r>
    </w:p>
    <w:p w14:paraId="5EE810DF" w14:textId="18D71637" w:rsidR="007D43B2" w:rsidRDefault="007D43B2" w:rsidP="007D43B2">
      <w:pPr>
        <w:pStyle w:val="affff1"/>
        <w:ind w:left="709" w:hanging="425"/>
      </w:pPr>
      <w:r>
        <w:t>Пациентам с рецидивами и рефрактерными формами ЛМЗ, уже получившим как минимум один курс</w:t>
      </w:r>
      <w:r w:rsidRPr="007D43B2">
        <w:t xml:space="preserve"> </w:t>
      </w:r>
      <w:r>
        <w:t>ритуксимаба</w:t>
      </w:r>
      <w:r w:rsidRPr="006C5550">
        <w:t>**</w:t>
      </w:r>
      <w:r>
        <w:t>,</w:t>
      </w:r>
      <w:r w:rsidRPr="006428F4">
        <w:t xml:space="preserve"> </w:t>
      </w:r>
      <w:r>
        <w:t>при наличии показаний к лечению</w:t>
      </w:r>
      <w:r w:rsidR="00DC3E15" w:rsidRPr="00DC3E15">
        <w:t xml:space="preserve"> </w:t>
      </w:r>
      <w:r w:rsidR="00DC3E15">
        <w:t>в качестве одной из опций лечения может быть</w:t>
      </w:r>
      <w:r>
        <w:t xml:space="preserve"> </w:t>
      </w:r>
      <w:r w:rsidRPr="0038639D">
        <w:rPr>
          <w:b/>
        </w:rPr>
        <w:t>рекоменд</w:t>
      </w:r>
      <w:r>
        <w:rPr>
          <w:b/>
        </w:rPr>
        <w:t xml:space="preserve">овано </w:t>
      </w:r>
      <w:r>
        <w:rPr>
          <w:bCs/>
        </w:rPr>
        <w:t>проведение терапии ибрутинибом</w:t>
      </w:r>
      <w:r w:rsidRPr="004664C1">
        <w:rPr>
          <w:bCs/>
        </w:rPr>
        <w:t xml:space="preserve">** </w:t>
      </w:r>
      <w:r>
        <w:fldChar w:fldCharType="begin" w:fldLock="1"/>
      </w:r>
      <w:r w:rsidR="0060054C">
        <w:instrText>ADDIN CSL_CITATION {"citationItems":[{"id":"ITEM-1","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-1","issued":{"date-parts":[["0"]]},"title":"B-cell lymphomas. NCCN Clinical Practice Guidelines in Oncology. Version 5.2019","type":"article"},"uris":["http://www.mendeley.com/documents/?uuid=4e117fbe-c678-350d-9b0c-f8bba5d6f848"]},{"id":"ITEM-2","itemData":{"DOI":"10.1016/j.annonc.2019.10.010","ISSN":"15698041","author":[{"dropping-particle":"","family":"Zucca","given":"E.","non-dropping-particle":"","parse-names":false,"suffix":""},{"dropping-particle":"","family":"Arcaini","given":"L.","non-dropping-particle":"","parse-names":false,"suffix":""},{"dropping-particle":"","family":"Buske","given":"C.","non-dropping-particle":"","parse-names":false,"suffix":""},{"dropping-particle":"","family":"Johnson","given":"P. W.","non-dropping-particle":"","parse-names":false,"suffix":""},{"dropping-particle":"","family":"Ponzoni","given":"M.","non-dropping-particle":"","parse-names":false,"suffix":""},{"dropping-particle":"","family":"Raderer","given":"M.","non-dropping-particle":"","parse-names":false,"suffix":""},{"dropping-particle":"","family":"Ricardi","given":"U.","non-dropping-particle":"","parse-names":false,"suffix":""},{"dropping-particle":"","family":"Salar","given":"A.","non-dropping-particle":"","parse-names":false,"suffix":""},{"dropping-particle":"","family":"Stamatopoulos","given":"K.","non-dropping-particle":"","parse-names":false,"suffix":""},{"dropping-particle":"","family":"Thieblemont","given":"C.","non-dropping-particle":"","parse-names":false,"suffix":""},{"dropping-particle":"","family":"Wotherspoon","given":"A.","non-dropping-particle":"","parse-names":false,"suffix":""},{"dropping-particle":"","family":"Ladetto","given":"M.","non-dropping-particle":"","parse-names":false,"suffix":""}],"container-title":"Annals of Oncology","id":"ITEM-2","issue":"1","issued":{"date-parts":[["2020","1","1"]]},"page":"17-29","publisher":"Elsevier Ltd","title":"Marginal zone lymphomas: ESMO Clinical Practice Guidelines for diagnosis, treatment and follow-up","type":"article-journal","volume":"31"},"uris":["http://www.mendeley.com/documents/?uuid=fbdf0c05-49c8-3abf-834c-701e85508549"]},{"id":"ITEM-3","itemData":{"DOI":"10.1182/blood-2016-10-747345","ISSN":"15280020","PMID":"28167659","abstract":"Marginal zone lymphoma (MZL) is a heterogeneous B-cell malignancy for which no standard treatment exists. MZL is frequently linked to chronic infection, which may induce B-cell receptor (BCR) signaling, resulting in aberrant B-cell survival and proliferation. We conducted a multicenter, open-label, phase 2 study to evaluate the efficacy and safety of ibrutinib in previously treated MZL. Patients with histologically confirmed MZL of all subtypes who received ≥1 prior therapy with an anti-CD20 antibody–containing regimen were treated with 560 mg ibrutinib orally once daily until progression or unacceptable toxicity. The primary end point was independent review committee–assessed overall response rate (ORR) by 2007 International Working Group criteria. Among 63 enrolled patients, median age was 66 years (range, 30-92). Median number of prior systemic therapies was 2 (range, 1-9), and 63% received ≥1 prior chemoimmunotherapy. In 60 evaluable patients, ORR was 48% (95% confidence interval [CI], 35-62). With median follow-up of 19.4 months, median duration of response was not reached (95% CI, 16.7 to not estimable), and median progression-free survival was 14.2 months (95% CI, 8.3 to not estimable). Grade ≥3 adverse events (AEs; &gt;5%) included anemia, pneumonia, and fatigue. Serious AEs of any grade occurred in 44%, with grade 3-4 pneumonia being the most common (8%). Rates of discontinuation and dose reductions due to AEs were 17% and 10%, respectively. Single-agent ibrutinib induced durable responses with a favorable benefit–risk profile in patients with previously treated MZL, confirming the role of BCR signaling in this malignancy. As the only approved therapy, ibrutinib provides a treatment option without chemotherapy for MZL. This study is registered at www.clinicaltrials.gov as #NCT01980628.","author":[{"dropping-particle":"","family":"Noy","given":"Ariela","non-dropping-particle":"","parse-names":false,"suffix":""},{"dropping-particle":"","family":"Vos","given":"Sven","non-dropping-particle":"De","parse-names":false,"suffix":""},{"dropping-particle":"","family":"Thieblemont","given":"Catherine","non-dropping-particle":"","parse-names":false,"suffix":""},{"dropping-particle":"","family":"Martin","given":"Peter","non-dropping-particle":"","parse-names":false,"suffix":""},{"dropping-particle":"","family":"Flowers","given":"Christopher R","non-dropping-particle":"","parse-names":false,"suffix":""},{"dropping-particle":"","family":"Morschhauser","given":"Franck","non-dropping-particle":"","parse-names":false,"suffix":""},{"dropping-particle":"","family":"Collins","given":"Graham P","non-dropping-particle":"","parse-names":false,"suffix":""},{"dropping-particle":"","family":"Ma","given":"Shuo","non-dropping-particle":"","parse-names":false,"suffix":""},{"dropping-particle":"","family":"Coleman","given":"Morton","non-dropping-particle":"","parse-names":false,"suffix":""},{"dropping-particle":"","family":"Peles","given":"Shachar","non-dropping-particle":"","parse-names":false,"suffix":""},{"dropping-particle":"","family":"Smith","given":"Stephen","non-dropping-particle":"","parse-names":false,"suffix":""},{"dropping-particle":"","family":"Barrientos","given":"Jacqueline C","non-dropping-particle":"","parse-names":false,"suffix":""},{"dropping-particle":"","family":"Smith","given":"Alina","non-dropping-particle":"","parse-names":false,"suffix":""},{"dropping-particle":"","family":"Munneke","given":"Brian","non-dropping-particle":"","parse-names":false,"suffix":""},{"dropping-particle":"","family":"Dimery","given":"Isaiah","non-dropping-particle":"","parse-names":false,"suffix":""},{"dropping-particle":"","family":"Beaupre","given":"Darrin M","non-dropping-particle":"","parse-names":false,"suffix":""},{"dropping-particle":"","family":"Chen","given":"Robert","non-dropping-particle":"","parse-names":false,"suffix":""}],"container-title":"Blood","id":"ITEM-3","issue":"16","issued":{"date-parts":[["2017"]]},"page":"2224-2232","title":"Targeting Bruton tyrosine kinase with ibrutinib in relapsed/refractory marginal zone lymphoma","type":"article-journal","volume":"129"},"uris":["http://www.mendeley.com/documents/?uuid=fa44bea9-3dbf-3f84-b4bc-51c0dfd08512"]}],"mendeley":{"formattedCitation":"[5,11,33]","plainTextFormattedCitation":"[5,11,33]","previouslyFormattedCitation":"[5,11,33]"},"properties":{"noteIndex":0},"schema":"https://github.com/citation-style-language/schema/raw/master/csl-citation.json"}</w:instrText>
      </w:r>
      <w:r>
        <w:fldChar w:fldCharType="separate"/>
      </w:r>
      <w:r w:rsidRPr="007D43B2">
        <w:rPr>
          <w:noProof/>
        </w:rPr>
        <w:t>[5,11,33]</w:t>
      </w:r>
      <w:r>
        <w:fldChar w:fldCharType="end"/>
      </w:r>
      <w:r>
        <w:t>.</w:t>
      </w:r>
    </w:p>
    <w:p w14:paraId="07DC27E3" w14:textId="61142FDA" w:rsidR="007D43B2" w:rsidRDefault="007D43B2" w:rsidP="007D43B2">
      <w:pPr>
        <w:pStyle w:val="afd"/>
        <w:spacing w:after="120"/>
        <w:ind w:left="709" w:firstLine="0"/>
        <w:rPr>
          <w:b/>
        </w:rPr>
      </w:pPr>
      <w:r w:rsidRPr="00F6217A">
        <w:rPr>
          <w:b/>
        </w:rPr>
        <w:t>Уровень убедительности рекомендаций С (уровень достоверности доказательств 4).</w:t>
      </w:r>
    </w:p>
    <w:p w14:paraId="655F74A9" w14:textId="3D112ED5" w:rsidR="00A70490" w:rsidRDefault="00A70490" w:rsidP="00A70490">
      <w:pPr>
        <w:pStyle w:val="affff1"/>
        <w:ind w:left="709" w:hanging="425"/>
      </w:pPr>
      <w:r>
        <w:t xml:space="preserve">Пациентам с рецидивами и рефрактерными формами ЛМЗ, уже получившим </w:t>
      </w:r>
      <w:r w:rsidRPr="00A70490">
        <w:t>не менее одно</w:t>
      </w:r>
      <w:r>
        <w:t>го курса</w:t>
      </w:r>
      <w:r w:rsidRPr="00A70490">
        <w:t xml:space="preserve"> лекарственного лечения с включением ритуксимаба**, </w:t>
      </w:r>
      <w:r>
        <w:t xml:space="preserve">при наличии показаний к лечению </w:t>
      </w:r>
      <w:r w:rsidRPr="00A70490">
        <w:t>в качестве одной из опций лечения</w:t>
      </w:r>
      <w:r w:rsidR="00DC3E15">
        <w:t xml:space="preserve"> может быть</w:t>
      </w:r>
      <w:r w:rsidRPr="00A70490">
        <w:t xml:space="preserve"> </w:t>
      </w:r>
      <w:r w:rsidRPr="00A70490">
        <w:rPr>
          <w:b/>
          <w:bCs/>
        </w:rPr>
        <w:t>рекомендовано</w:t>
      </w:r>
      <w:r w:rsidRPr="00A70490">
        <w:t xml:space="preserve"> назначение #занубрутиниба 160 мг 2 раза в сутки до прогрессирования или неприемлемой токсичности</w:t>
      </w:r>
      <w:r w:rsidRPr="004664C1">
        <w:rPr>
          <w:bCs/>
        </w:rPr>
        <w:t xml:space="preserve"> </w:t>
      </w:r>
      <w:r>
        <w:fldChar w:fldCharType="begin" w:fldLock="1"/>
      </w:r>
      <w:r w:rsidR="004A6A9D">
        <w:instrText>ADDIN CSL_CITATION {"citationItems":[{"id":"ITEM-1","itemData":{"DOI":"10.1158/1078-0432.CCR-21-1704","ISSN":"1557-3265","PMID":"34526366","abstract":"Purpose: Marginal zone lymphoma (MZL) is an uncommon non-Hodgkin lymphoma with malignant cells that exhibit a consistent dependency on B-cell receptor signaling. We evaluated the efficacy and safety of zanubrutinib, a next-generation selective Bruton tyrosine kinase inhibitor, in patients with relapsed/ refractory (R/R) MZL. Patients and Methods: Patients with R/R MZL were enrolled in the phase II MAGNOLIA (BGB-3111-214) study. The primary endpoint was overall response rate (ORR) as determined by an independent review committee (IRC) based on the Lugano 2014 classification. Results: Sixty-eight patients were enrolled. After a median follow-up of 15.7 months (range, 1.6 to 21.9 months), the IRCassessed ORR was 68.2% and complete response (CR) was 25.8%. The ORR by investigator assessment was 74.2%, and the CR rate was 25.8%. The median duration of response (DOR) and median progression-free survival (PFS) by independent review was not reached. The IRC-assessed DOR rate at 12 months was 93.0%, and IRC-assessed PFS rate was 82.5% at both 12 and 15 months. Treatment was well tolerated with the majority of adverse events (AE) being grade 1 or 2. The most common AEs were diarrhea (22.1%), contusion (20.6%), and constipation (14.7%). Atrial fibrillation/flutter was reported in 2 patients; 1 patient had grade 3 hypertension. No patient experienced major hemorrhage. In total, 4 patients discontinued treatment due to AEs, none of which were considered treatment-related by the investigators. Conclusions: Zanubrutinib demonstrated highORRand CR rate with durable disease control and a favorable safety profile in patients with R/R MZL. _2021 The Authors; Published by the American Association for Cancer Research.","author":[{"dropping-particle":"","family":"Opat","given":"Stephen","non-dropping-particle":"","parse-names":false,"suffix":""},{"dropping-particle":"","family":"Tedeschi","given":"Alessandra","non-dropping-particle":"","parse-names":false,"suffix":""},{"dropping-particle":"","family":"Linton","given":"Kim","non-dropping-particle":"","parse-names":false,"suffix":""},{"dropping-particle":"","family":"McKay","given":"Pamela","non-dropping-particle":"","parse-names":false,"suffix":""},{"dropping-particle":"","family":"Hu","given":"Bei","non-dropping-particle":"","parse-names":false,"suffix":""},{"dropping-particle":"","family":"Chan","given":"Henry","non-dropping-particle":"","parse-names":false,"suffix":""},{"dropping-particle":"","family":"Jin","given":"Jie","non-dropping-particle":"","parse-names":false,"suffix":""},{"dropping-particle":"","family":"Sobieraj-Teague","given":"Magdalena","non-dropping-particle":"","parse-names":false,"suffix":""},{"dropping-particle":"","family":"Zinzani","given":"Pier Luigi","non-dropping-particle":"","parse-names":false,"suffix":""},{"dropping-particle":"","family":"Coleman","given":"Morton","non-dropping-particle":"","parse-names":false,"suffix":""},{"dropping-particle":"","family":"Thieblemont","given":"Catherine","non-dropping-particle":"","parse-names":false,"suffix":""},{"dropping-particle":"","family":"Browett","given":"Peter","non-dropping-particle":"","parse-names":false,"suffix":""},{"dropping-particle":"","family":"Ke","given":"Xiaoyan","non-dropping-particle":"","parse-names":false,"suffix":""},{"dropping-particle":"","family":"Sun","given":"Mingyuan","non-dropping-particle":"","parse-names":false,"suffix":""},{"dropping-particle":"","family":"Marcus","given":"Robert","non-dropping-particle":"","parse-names":false,"suffix":""},{"dropping-particle":"","family":"Portell","given":"Craig A.","non-dropping-particle":"","parse-names":false,"suffix":""},{"dropping-particle":"","family":"Ardeshna","given":"Kirit","non-dropping-particle":"","parse-names":false,"suffix":""},{"dropping-particle":"","family":"Bijou","given":"Fontanet","non-dropping-particle":"","parse-names":false,"suffix":""},{"dropping-particle":"","family":"Walker","given":"Patricia","non-dropping-particle":"","parse-names":false,"suffix":""},{"dropping-particle":"","family":"Hawkes","given":"Eliza A.","non-dropping-particle":"","parse-names":false,"suffix":""},{"dropping-particle":"","family":"Mapp","given":"Sally","non-dropping-particle":"","parse-names":false,"suffix":""},{"dropping-particle":"","family":"Ho","given":"Shir Jing","non-dropping-particle":"","parse-names":false,"suffix":""},{"dropping-particle":"","family":"Talaulikar","given":"Dipti","non-dropping-particle":"","parse-names":false,"suffix":""},{"dropping-particle":"","family":"Zhou","given":"Ke Shu","non-dropping-particle":"","parse-names":false,"suffix":""},{"dropping-particle":"","family":"Co","given":"Melannie","non-dropping-particle":"","parse-names":false,"suffix":""},{"dropping-particle":"","family":"Li","given":"Xiaotong","non-dropping-particle":"","parse-names":false,"suffix":""},{"dropping-particle":"","family":"Zhou","given":"Wenxiao","non-dropping-particle":"","parse-names":false,"suffix":""},{"dropping-particle":"","family":"Cappellini","given":"Massimo","non-dropping-particle":"","parse-names":false,"suffix":""},{"dropping-particle":"","family":"Tankersley","given":"Chris","non-dropping-particle":"","parse-names":false,"suffix":""},{"dropping-particle":"","family":"Huang","given":"Jane","non-dropping-particle":"","parse-names":false,"suffix":""},{"dropping-particle":"","family":"Trotman","given":"Judith","non-dropping-particle":"","parse-names":false,"suffix":""}],"container-title":"Clinical cancer research : an official journal of the American Association for Cancer Research","id":"ITEM-1","issue":"23","issued":{"date-parts":[["2021","12","1"]]},"page":"6323-6332","publisher":"Clin Cancer Res","title":"The MAGNOLIA Trial: Zanubrutinib, a Next-Generation Bruton Tyrosine Kinase Inhibitor, Demonstrates Safety and Efficacy in Relapsed/Refractory Marginal Zone Lymphoma","type":"article-journal","volume":"27"},"uris":["http://www.mendeley.com/documents/?uuid=35c2e712-04ea-3057-93b5-3c48b057e2f7"]}],"mendeley":{"formattedCitation":"[34]","plainTextFormattedCitation":"[34]","previouslyFormattedCitation":"[34]"},"properties":{"noteIndex":0},"schema":"https://github.com/citation-style-language/schema/raw/master/csl-citation.json"}</w:instrText>
      </w:r>
      <w:r>
        <w:fldChar w:fldCharType="separate"/>
      </w:r>
      <w:r w:rsidR="00DC3E15" w:rsidRPr="00DC3E15">
        <w:rPr>
          <w:noProof/>
        </w:rPr>
        <w:t>[34]</w:t>
      </w:r>
      <w:r>
        <w:fldChar w:fldCharType="end"/>
      </w:r>
      <w:r>
        <w:t>.</w:t>
      </w:r>
    </w:p>
    <w:p w14:paraId="1A0B688A" w14:textId="77777777" w:rsidR="00A70490" w:rsidRDefault="00A70490" w:rsidP="00A70490">
      <w:pPr>
        <w:pStyle w:val="afd"/>
        <w:spacing w:after="120"/>
        <w:ind w:left="709" w:firstLine="0"/>
        <w:rPr>
          <w:b/>
        </w:rPr>
      </w:pPr>
      <w:r w:rsidRPr="00F6217A">
        <w:rPr>
          <w:b/>
        </w:rPr>
        <w:lastRenderedPageBreak/>
        <w:t>Уровень убедительности рекомендаций С (уровень достоверности доказательств 4).</w:t>
      </w:r>
    </w:p>
    <w:p w14:paraId="45C38367" w14:textId="4C99A422" w:rsidR="007D43B2" w:rsidRPr="007D43B2" w:rsidRDefault="007D43B2" w:rsidP="007D43B2">
      <w:pPr>
        <w:pStyle w:val="affff1"/>
        <w:ind w:left="709" w:hanging="425"/>
      </w:pPr>
      <w:r w:rsidRPr="007D43B2">
        <w:t xml:space="preserve">Пациентам с рецидивом ЛМЗ, развившемся в любые сроки, при наличии показаний к началу лечения в качестве одной из терапевтических опций может быть </w:t>
      </w:r>
      <w:r w:rsidRPr="007D43B2">
        <w:rPr>
          <w:b/>
        </w:rPr>
        <w:t xml:space="preserve">рекомендовано </w:t>
      </w:r>
      <w:r w:rsidRPr="007D43B2">
        <w:t>применение комбинации ритуксимаба** и #леналидомида**</w:t>
      </w:r>
      <w:r w:rsidRPr="007D43B2">
        <w:fldChar w:fldCharType="begin" w:fldLock="1"/>
      </w:r>
      <w:r w:rsidR="004A6A9D">
        <w:instrText>ADDIN CSL_CITATION {"citationItems":[{"id":"ITEM-1","itemData":{"DOI":"10.1200/JCO.19.00010","ISSN":"15277755","abstract":"PURPOSE Patients with indolent non-Hodgkin lymphoma typically respond well to first-line immunochemotherapy. At relapse, single-agent rituximab is commonly administered. Data suggest the immunomodulatory agent lenalidomide could increase the activity of rituximab. METHODS A phase III, multicenter, randomized trial of lenalidomide plus rituximab versus placebo plus rituximab was conducted in patients with relapsed and/or refractory follicular or marginal zone lymphoma. Patients received lenalidomide or placebo for 12 cycles plus rituximab once per week for 4 weeks in cycle 1 and day 1 of cycles 2 through 5. The primary end point was progression-free survival per independent radiology review. RESULTS A total of 358 patients were randomly assigned to lenalidomide plus rituximab (n = 178) or placebo plus rituximab (n = 180). Infections (63% v 49%), neutropenia (58% v 23%), and cutaneous reactions (32% v 12%) were more common with lenalidomide plus rituximab. Grade 3 or 4 neutropenia (50% v 13%) and leukopenia (7% v 2%) were higher with lenalidomide plus rituximab; no other grade 3 or 4 adverse event differed by 5% or more between groups. Progression-free survival was significantly improved for lenalidomide plus rituximab versus placebo plus rituximab, with a hazard ratio of 0.46 (95% CI, 0.34 to 0.62; P &lt; .001) and median duration of 39.4 months (95% CI, 22.9 months to not reached) versus 14.1 months (95% CI, 11.4 to 16.7 months), respectively. CONCLUSION Lenalidomide improved efficacy of rituximab in patients with recurrent indolent lymphoma, with an acceptable safety profile.","author":[{"dropping-particle":"","family":"Leonard","given":"John P.","non-dropping-particle":"","parse-names":false,"suffix":""},{"dropping-particle":"","family":"Trneny","given":"Marek","non-dropping-particle":"","parse-names":false,"suffix":""},{"dropping-particle":"","family":"Izutsu","given":"Koji","non-dropping-particle":"","parse-names":false,"suffix":""},{"dropping-particle":"","family":"Fowler","given":"Nathan H.","non-dropping-particle":"","parse-names":false,"suffix":""},{"dropping-particle":"","family":"Hong","given":"Xiaonan","non-dropping-particle":"","parse-names":false,"suffix":""},{"dropping-particle":"","family":"Zhu","given":"Jun","non-dropping-particle":"","parse-names":false,"suffix":""},{"dropping-particle":"","family":"Zhang","given":"Huilai","non-dropping-particle":"","parse-names":false,"suffix":""},{"dropping-particle":"","family":"Offner","given":"Fritz","non-dropping-particle":"","parse-names":false,"suffix":""},{"dropping-particle":"","family":"Scheliga","given":"Adriana","non-dropping-particle":"","parse-names":false,"suffix":""},{"dropping-particle":"","family":"Nowakowski","given":"Grzegorz S.","non-dropping-particle":"","parse-names":false,"suffix":""},{"dropping-particle":"","family":"Pinto","given":"Antonio","non-dropping-particle":"","parse-names":false,"suffix":""},{"dropping-particle":"","family":"Re","given":"Francesca","non-dropping-particle":"","parse-names":false,"suffix":""},{"dropping-particle":"","family":"Fogliatto","given":"Laura Maria","non-dropping-particle":"","parse-names":false,"suffix":""},{"dropping-particle":"","family":"Scheinberg","given":"Phillip","non-dropping-particle":"","parse-names":false,"suffix":""},{"dropping-particle":"","family":"Flinn","given":"Ian W.","non-dropping-particle":"","parse-names":false,"suffix":""},{"dropping-particle":"","family":"Moreira","given":"Claudia","non-dropping-particle":"","parse-names":false,"suffix":""},{"dropping-particle":"","family":"Cabeçadas","given":"José","non-dropping-particle":"","parse-names":false,"suffix":""},{"dropping-particle":"","family":"Liu","given":"David","non-dropping-particle":"","parse-names":false,"suffix":""},{"dropping-particle":"","family":"Kalambakas","given":"Stacey","non-dropping-particle":"","parse-names":false,"suffix":""},{"dropping-particle":"","family":"Fustier","given":"Pierre","non-dropping-particle":"","parse-names":false,"suffix":""},{"dropping-particle":"","family":"Wu","given":"Chengqing","non-dropping-particle":"","parse-names":false,"suffix":""},{"dropping-particle":"","family":"Gribben","given":"John G.","non-dropping-particle":"","parse-names":false,"suffix":""}],"container-title":"Journal of Clinical Oncology","id":"ITEM-1","issue":"14","issued":{"date-parts":[["2019","5","10"]]},"page":"1188-1199","publisher":"American Society of Clinical Oncology","title":"AUGMENT: A Phase III study of lenalidomide plus rituximab versus placebo plus rituximab in relapsed or refractory indolent lymphoma","type":"paper-conference","volume":"37"},"uris":["http://www.mendeley.com/documents/?uuid=a19e166d-fdce-30f0-81ed-0b8781f8ba3e"]}],"mendeley":{"formattedCitation":"[35]","plainTextFormattedCitation":"[35]","previouslyFormattedCitation":"[35]"},"properties":{"noteIndex":0},"schema":"https://github.com/citation-style-language/schema/raw/master/csl-citation.json"}</w:instrText>
      </w:r>
      <w:r w:rsidRPr="007D43B2">
        <w:fldChar w:fldCharType="separate"/>
      </w:r>
      <w:r w:rsidR="00DC3E15" w:rsidRPr="00DC3E15">
        <w:rPr>
          <w:noProof/>
        </w:rPr>
        <w:t>[35]</w:t>
      </w:r>
      <w:r w:rsidRPr="007D43B2">
        <w:fldChar w:fldCharType="end"/>
      </w:r>
      <w:r w:rsidRPr="007D43B2">
        <w:t xml:space="preserve">. </w:t>
      </w:r>
    </w:p>
    <w:p w14:paraId="7894F2FC" w14:textId="43F9E5C3" w:rsidR="007D43B2" w:rsidRPr="007D43B2" w:rsidRDefault="007D43B2" w:rsidP="007D43B2">
      <w:pPr>
        <w:ind w:left="709" w:firstLine="0"/>
        <w:contextualSpacing/>
        <w:rPr>
          <w:b/>
        </w:rPr>
      </w:pPr>
      <w:r w:rsidRPr="007D43B2">
        <w:rPr>
          <w:b/>
        </w:rPr>
        <w:t>Уровень убедительности рекомендаций А (уровень достоверности доказательств 2).</w:t>
      </w:r>
    </w:p>
    <w:p w14:paraId="053AB552" w14:textId="7990E00A" w:rsidR="007D43B2" w:rsidRPr="007D43B2" w:rsidRDefault="007D43B2" w:rsidP="007D43B2">
      <w:pPr>
        <w:contextualSpacing/>
        <w:rPr>
          <w:bCs/>
          <w:i/>
          <w:iCs/>
        </w:rPr>
      </w:pPr>
      <w:r w:rsidRPr="007D43B2">
        <w:rPr>
          <w:b/>
        </w:rPr>
        <w:t xml:space="preserve">Комментарий: </w:t>
      </w:r>
      <w:r w:rsidRPr="007D43B2">
        <w:rPr>
          <w:bCs/>
          <w:i/>
          <w:iCs/>
        </w:rPr>
        <w:t xml:space="preserve">по данным крупного международного рандомизированного исследования III фазы AUGMENT (N=358) по сравнению эффективности комбинации </w:t>
      </w:r>
      <w:r w:rsidRPr="007D43B2">
        <w:t>#</w:t>
      </w:r>
      <w:r w:rsidRPr="007D43B2">
        <w:rPr>
          <w:bCs/>
          <w:i/>
          <w:iCs/>
        </w:rPr>
        <w:t>леналидомид</w:t>
      </w:r>
      <w:r w:rsidRPr="007D43B2">
        <w:t>**</w:t>
      </w:r>
      <w:r w:rsidRPr="007D43B2">
        <w:rPr>
          <w:bCs/>
          <w:i/>
          <w:iCs/>
        </w:rPr>
        <w:t>+ритуксимаб</w:t>
      </w:r>
      <w:r w:rsidRPr="007D43B2">
        <w:t>**</w:t>
      </w:r>
      <w:r w:rsidRPr="007D43B2">
        <w:rPr>
          <w:bCs/>
          <w:i/>
          <w:iCs/>
        </w:rPr>
        <w:t xml:space="preserve"> (R2) и ритуксимаб**+плацебо (группа контроля) у пациентов с рецидивирующей/рефрактерной ФЛ и лимфомой из клеток маргинальной зоны (ЛМЗ), терапия </w:t>
      </w:r>
      <w:r w:rsidRPr="007D43B2">
        <w:t>#</w:t>
      </w:r>
      <w:r w:rsidRPr="007D43B2">
        <w:rPr>
          <w:bCs/>
          <w:i/>
          <w:iCs/>
        </w:rPr>
        <w:t>леналидомидом** оказывала положительное влияние на такие показатели, как выживаемость без прогрессирования (ВБП), общая частота ответа (ОЧО) и время до следующей противолимфомной терапии.</w:t>
      </w:r>
    </w:p>
    <w:p w14:paraId="1CF334EA" w14:textId="77777777" w:rsidR="00982EDF" w:rsidRDefault="007D43B2" w:rsidP="00982EDF">
      <w:pPr>
        <w:contextualSpacing/>
        <w:rPr>
          <w:b/>
        </w:rPr>
      </w:pPr>
      <w:r w:rsidRPr="007D43B2">
        <w:t>#</w:t>
      </w:r>
      <w:r w:rsidRPr="007D43B2">
        <w:rPr>
          <w:bCs/>
          <w:i/>
          <w:iCs/>
        </w:rPr>
        <w:t>Леналидомид</w:t>
      </w:r>
      <w:r w:rsidRPr="007D43B2">
        <w:t>**</w:t>
      </w:r>
      <w:r w:rsidRPr="007D43B2">
        <w:rPr>
          <w:bCs/>
          <w:i/>
          <w:iCs/>
        </w:rPr>
        <w:t xml:space="preserve"> применяли в дозе 20 мг/день с 1 по 21 день 28-дневного цикла (12 циклов), если клиренс креатинина составлял от 30 до &lt;60 мл/мин, то доза </w:t>
      </w:r>
      <w:r w:rsidRPr="007D43B2">
        <w:t>#</w:t>
      </w:r>
      <w:r w:rsidRPr="007D43B2">
        <w:rPr>
          <w:bCs/>
          <w:i/>
          <w:iCs/>
        </w:rPr>
        <w:t>леналидомида</w:t>
      </w:r>
      <w:r w:rsidRPr="007D43B2">
        <w:t>**</w:t>
      </w:r>
      <w:r w:rsidRPr="007D43B2">
        <w:rPr>
          <w:bCs/>
          <w:i/>
          <w:iCs/>
        </w:rPr>
        <w:t xml:space="preserve"> составляла 10 мг/день. Ритуксимаб</w:t>
      </w:r>
      <w:r w:rsidRPr="007D43B2">
        <w:t>**</w:t>
      </w:r>
      <w:r w:rsidRPr="007D43B2">
        <w:rPr>
          <w:bCs/>
          <w:i/>
          <w:iCs/>
        </w:rPr>
        <w:t xml:space="preserve"> назначали в дозе 375 мг/м</w:t>
      </w:r>
      <w:r w:rsidRPr="00982EDF">
        <w:rPr>
          <w:bCs/>
          <w:i/>
          <w:iCs/>
          <w:vertAlign w:val="superscript"/>
        </w:rPr>
        <w:t>2</w:t>
      </w:r>
      <w:r w:rsidRPr="007D43B2">
        <w:rPr>
          <w:bCs/>
          <w:i/>
          <w:iCs/>
        </w:rPr>
        <w:t xml:space="preserve"> в дни 1, 8, 15, 22 первого цикла и в день 1 циклов 2-5.</w:t>
      </w:r>
    </w:p>
    <w:p w14:paraId="40247E12" w14:textId="16CCA971" w:rsidR="007D43B2" w:rsidRPr="00017343" w:rsidRDefault="007D43B2" w:rsidP="00982EDF">
      <w:pPr>
        <w:contextualSpacing/>
        <w:rPr>
          <w:bCs/>
          <w:i/>
          <w:iCs/>
        </w:rPr>
      </w:pPr>
      <w:r w:rsidRPr="00982EDF">
        <w:rPr>
          <w:bCs/>
          <w:i/>
          <w:iCs/>
        </w:rPr>
        <w:t>В ходе исследования было продемонстрировано статистически значимое улучшение выживаемости без прогрессирования заболевания (ВБП) в группе пациентов, получавших схему R2. Продолжительность ВБП при лечении комбинацией R2 по сравнению с группой контроля составила 39,4 мес.</w:t>
      </w:r>
      <w:r w:rsidR="00982EDF">
        <w:rPr>
          <w:bCs/>
          <w:i/>
          <w:iCs/>
        </w:rPr>
        <w:t xml:space="preserve"> и</w:t>
      </w:r>
      <w:r w:rsidRPr="00982EDF">
        <w:rPr>
          <w:bCs/>
          <w:i/>
          <w:iCs/>
        </w:rPr>
        <w:t xml:space="preserve"> 14,1 мес</w:t>
      </w:r>
      <w:r w:rsidR="00982EDF">
        <w:rPr>
          <w:bCs/>
          <w:i/>
          <w:iCs/>
        </w:rPr>
        <w:t>.</w:t>
      </w:r>
      <w:r w:rsidRPr="00982EDF">
        <w:rPr>
          <w:bCs/>
          <w:i/>
          <w:iCs/>
        </w:rPr>
        <w:t>, соответственно (p = &lt; 0,0001). ОЧО в группе R2 составила 78% против 53% в группе контроля (p = 0,001). Длительность ответа в группе R2 составила 36,6 мес</w:t>
      </w:r>
      <w:r w:rsidR="00982EDF">
        <w:rPr>
          <w:bCs/>
          <w:i/>
          <w:iCs/>
        </w:rPr>
        <w:t>.</w:t>
      </w:r>
      <w:r w:rsidRPr="00982EDF">
        <w:rPr>
          <w:bCs/>
          <w:i/>
          <w:iCs/>
        </w:rPr>
        <w:t>, а в группе контроля – 21,7 мес</w:t>
      </w:r>
      <w:r w:rsidR="00982EDF">
        <w:rPr>
          <w:bCs/>
          <w:i/>
          <w:iCs/>
        </w:rPr>
        <w:t>.</w:t>
      </w:r>
      <w:r w:rsidRPr="00982EDF">
        <w:rPr>
          <w:bCs/>
          <w:i/>
          <w:iCs/>
        </w:rPr>
        <w:t xml:space="preserve"> (p = &lt; 0,0015). Время до следующей противолимфомной терапии в группе R2 не было достигнуто. В </w:t>
      </w:r>
      <w:r w:rsidRPr="00017343">
        <w:rPr>
          <w:bCs/>
          <w:i/>
          <w:iCs/>
        </w:rPr>
        <w:t>группе контроля этот показатель достиг 32,3 мес</w:t>
      </w:r>
      <w:r w:rsidR="00982EDF" w:rsidRPr="00017343">
        <w:rPr>
          <w:bCs/>
          <w:i/>
          <w:iCs/>
        </w:rPr>
        <w:t>.</w:t>
      </w:r>
      <w:r w:rsidRPr="00017343">
        <w:rPr>
          <w:bCs/>
          <w:i/>
          <w:iCs/>
        </w:rPr>
        <w:t xml:space="preserve"> (p = &lt; 0,0007).</w:t>
      </w:r>
    </w:p>
    <w:p w14:paraId="0DDDB34D" w14:textId="30A69D05" w:rsidR="00017343" w:rsidRPr="00017343" w:rsidRDefault="00017343" w:rsidP="00A72B1B">
      <w:pPr>
        <w:pStyle w:val="afd"/>
        <w:numPr>
          <w:ilvl w:val="0"/>
          <w:numId w:val="10"/>
        </w:numPr>
      </w:pPr>
      <w:r w:rsidRPr="00017343">
        <w:t>Пациентам, кандидатам на трансплантацию, с рецидивом, развившемся менее чем через 24 месяца после начала индукционной терапии (</w:t>
      </w:r>
      <w:r w:rsidRPr="00017343">
        <w:rPr>
          <w:lang w:val="en-US"/>
        </w:rPr>
        <w:t>POD</w:t>
      </w:r>
      <w:r w:rsidRPr="00017343">
        <w:t xml:space="preserve">24), или при рефрактерном течении </w:t>
      </w:r>
      <w:r w:rsidRPr="00017343">
        <w:rPr>
          <w:b/>
        </w:rPr>
        <w:t xml:space="preserve">рекомендована </w:t>
      </w:r>
      <w:r w:rsidRPr="00017343">
        <w:t xml:space="preserve">терапия по протоколам для лечения рецидивов ДВКЛ (R-GEMOX, R-ICE, R-DHAP, R-GDP и др.) (см. клинические рекомендации по лечению агрессивных неходжкинских лимфом) и, в случае достижения ответа на терапию рецидива, проведение высокодозной химиотерапии (ВДХТ) с трансплантацией аутологичных гемопоэтических стволовых клеток с целью консолидации ремиссии (аутоТГСК) </w:t>
      </w:r>
      <w:r w:rsidRPr="00017343">
        <w:fldChar w:fldCharType="begin" w:fldLock="1"/>
      </w:r>
      <w:r w:rsidR="004A6A9D">
        <w:instrText>ADDIN CSL_CITATION {"citationItems":[{"id":"ITEM-1","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-1","issued":{"date-parts":[["0"]]},"title":"B-cell lymphomas. NCCN Clinical Practice Guidelines in Oncology. Version 5.2019","type":"article"},"uris":["http://www.mendeley.com/documents/?uuid=4e117fbe-c678-350d-9b0c-f8bba5d6f848"]},{"id":"ITEM-2","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Савченко.","id":"ITEM-2","issued":{"date-parts":[["2018"]]},"page":"43-52","title":"Фолликулярная лимфома","type":"chapter"},"uris":["http://www.mendeley.com/documents/?uuid=781f2a04-d7f5-4e09-84dd-bc47849ef616"]},{"id":"ITEM-3","itemData":{"DOI":"10.1080/10428194.2016.1213834","ISSN":"1029-2403","PMID":"27666539","abstract":"Optimal frontline treatment in younger high tumor-burden risk follicular lymphoma patients remains a challenge given the reduced efficacy of standard immunochemotherapy (R-CHOP) in widespread disease and unclear role of intensive induction. The retrospective non-randomized pair-matched (1:3) analysis compared 48 intermediate/high Follicular Lymphoma International Prognostic Index (FLIPI) patients receiving intensive rituximab sequential chemotherapy (R-SQ) with 144 random controls (R-CHOP) matched for age, FLIPI score, and maintenance delivery. Complete response rates were 91.7% and 74.1%, respectively (p =.038). After a median follow-up of 8.8 (R-SQ) and 6.5 years (R-CHOP), 5-year time to treatment failure, progression-free survival, and overall survival were 80.9%, 83.2%, and 100% and 57.5%, 60.3%, and 92.1% (p =.0044; p =.0047; p =.22), respectively. Intensive treatment was accompanied by higher acute hematologic toxicity and infections, comparable non-hematologic toxicity, and incidence of secondary malignancies. Intensive induction demonstrates superior long-term disease control compared to R-CHOP, with higher acute hematologic toxicity, but without acute treatment-related mortality. Further studies are needed to define ultra-high-risk FL patients benefiting most from treatment intensity.","author":[{"dropping-particle":"","family":"Procházka","given":"Vít","non-dropping-particle":"","parse-names":false,"suffix":""},{"dropping-particle":"","family":"Papajík","given":"Tomáš","non-dropping-particle":"","parse-names":false,"suffix":""},{"dropping-particle":"","family":"Janíková","given":"Andrea","non-dropping-particle":"","parse-names":false,"suffix":""},{"dropping-particle":"","family":"Belada","given":"David","non-dropping-particle":"","parse-names":false,"suffix":""},{"dropping-particle":"","family":"Kozák","given":"Tomáš","non-dropping-particle":"","parse-names":false,"suffix":""},{"dropping-particle":"","family":"Šálek","given":"David","non-dropping-particle":"","parse-names":false,"suffix":""},{"dropping-particle":"","family":"Sýkorová","given":"Alice","non-dropping-particle":"","parse-names":false,"suffix":""},{"dropping-particle":"","family":"Móciková","given":"Heidi","non-dropping-particle":"","parse-names":false,"suffix":""},{"dropping-particle":"","family":"Campr","given":"Vít","non-dropping-particle":"","parse-names":false,"suffix":""},{"dropping-particle":"","family":"Dlouhá","given":"Jitka","non-dropping-particle":"","parse-names":false,"suffix":""},{"dropping-particle":"","family":"Langová","given":"Kateřina","non-dropping-particle":"","parse-names":false,"suffix":""},{"dropping-particle":"","family":"Fürst","given":"Tomáš","non-dropping-particle":"","parse-names":false,"suffix":""},{"dropping-particle":"","family":"Trněný","given":"Marek","non-dropping-particle":"","parse-names":false,"suffix":""}],"container-title":"Leukemia &amp; lymphoma","id":"ITEM-3","issue":"3","issued":{"date-parts":[["2017","3","4"]]},"page":"601-613","publisher":"Leuk Lymphoma","title":"Frontline intensive chemotherapy improves outcome in young, high-risk patients with follicular lymphoma: pair-matched analysis from the Czech Lymphoma Study Group Database","type":"article-journal","volume":"58"},"uris":["http://www.mendeley.com/documents/?uuid=d23b8229-fde7-32f9-b9e5-645c1dcab0b9"]},{"id":"ITEM-4","itemData":{"DOI":"10.1111/EJH.13691","ISSN":"1600-0609","PMID":"34288114","abstract":"Objective: To contribute data on long-term outcome and potential curative impact of ASCT in FL, especially following HDT with the BEAM protocol (BCNU, etoposide, cytarabine and melphalan), given very limited data on this topic in the literature. Patients and methods: Patients with FL (n = 76) were treated in our institution with HDT and ASCT. In the case of long-term remission (≥8 years), peripheral blood was tested for minimal residual disease by t(14;18)- and IGH-PCR, including the last follow-up. Results: 10-year overall survival, progression-free survival, and freedom from progression (FFP) after first-line ASCT (n = 20) were 80%, 60%, and 69%, after second-line ASCT (n = 48, following BEAM) 66%, 38%, and 41%, after third/fourth-line ASCT (n = 8) 33%, 25%, and 25%, respectively. Prognostic factors for FFP were treatment line and FLIPI (Follicular Lymphoma International Prognostic Index). 10-year FFP for second-line ASCT and low-risk FLIPI at relapse was 69%, intermediate-risk 28%, and high-risk 25% (P &lt;.05). 26 patients developed sustained long-term clinical and molecular remissions of up to 27 years. Conclusions: Sustained long-term clinical and molecular complete remissions up to 27 years can be achieved following ASCT (including HDT with BEAM in second treatment line), indicating a potential curative impact of ASCT in FL.","author":[{"dropping-particle":"","family":"Metzner","given":"Bernd","non-dropping-particle":"","parse-names":false,"suffix":""},{"dropping-particle":"","family":"Pott","given":"Christiane","non-dropping-particle":"","parse-names":false,"suffix":""},{"dropping-particle":"","family":"Müller","given":"Thomas H.","non-dropping-particle":"","parse-names":false,"suffix":""},{"dropping-particle":"","family":"Casper","given":"Jochen","non-dropping-particle":"","parse-names":false,"suffix":""},{"dropping-particle":"","family":"Kimmich","given":"Christoph","non-dropping-particle":"","parse-names":false,"suffix":""},{"dropping-particle":"","family":"Petershofen","given":"Eduard K.","non-dropping-particle":"","parse-names":false,"suffix":""},{"dropping-particle":"","family":"Renzelmann","given":"Andrea","non-dropping-particle":"","parse-names":false,"suffix":""},{"dropping-particle":"","family":"Rosien","given":"Bernd","non-dropping-particle":"","parse-names":false,"suffix":""},{"dropping-particle":"","family":"Thole","given":"Ruth","non-dropping-particle":"","parse-names":false,"suffix":""},{"dropping-particle":"","family":"Voß","given":"Andreas","non-dropping-particle":"","parse-names":false,"suffix":""},{"dropping-particle":"","family":"Köhne","given":"Claus Henning","non-dropping-particle":"","parse-names":false,"suffix":""},{"dropping-particle":"","family":"Wellnitz","given":"Dominique","non-dropping-particle":"","parse-names":false,"suffix":""}],"container-title":"European journal of haematology","id":"ITEM-4","issue":"5","issued":{"date-parts":[["2021","11","1"]]},"page":"543-552","publisher":"Eur J Haematol","title":"Long-term outcome in patients with follicular lymphoma following high-dose therapy and autologous stem cell transplantation","type":"article-journal","volume":"107"},"uris":["http://www.mendeley.com/documents/?uuid=5ea2ba97-d3af-33f7-bd18-9a809c0fcf8f"]}],"mendeley":{"formattedCitation":"[11,17,36,37]","plainTextFormattedCitation":"[11,17,36,37]","previouslyFormattedCitation":"[11,17,36,37]"},"properties":{"noteIndex":0},"schema":"https://github.com/citation-style-language/schema/raw/master/csl-citation.json"}</w:instrText>
      </w:r>
      <w:r w:rsidRPr="00017343">
        <w:fldChar w:fldCharType="separate"/>
      </w:r>
      <w:r w:rsidR="00DC3E15" w:rsidRPr="00DC3E15">
        <w:rPr>
          <w:noProof/>
        </w:rPr>
        <w:t>[11,17,36,37]</w:t>
      </w:r>
      <w:r w:rsidRPr="00017343">
        <w:fldChar w:fldCharType="end"/>
      </w:r>
      <w:r w:rsidRPr="00017343">
        <w:t>.</w:t>
      </w:r>
    </w:p>
    <w:p w14:paraId="0D343A7D" w14:textId="23E7D6F8" w:rsidR="00017343" w:rsidRPr="00017343" w:rsidRDefault="00017343" w:rsidP="009E062C">
      <w:pPr>
        <w:pStyle w:val="afd"/>
        <w:ind w:left="709" w:firstLine="0"/>
        <w:rPr>
          <w:b/>
        </w:rPr>
      </w:pPr>
      <w:r w:rsidRPr="00017343">
        <w:rPr>
          <w:b/>
        </w:rPr>
        <w:lastRenderedPageBreak/>
        <w:t>Уровень убедительности рекомендаций С (уровень достоверности доказательств 3).</w:t>
      </w:r>
    </w:p>
    <w:p w14:paraId="1E37BB06" w14:textId="722D8AA8" w:rsidR="00017343" w:rsidRPr="007D43B2" w:rsidRDefault="00017343" w:rsidP="009E062C">
      <w:pPr>
        <w:pStyle w:val="affff1"/>
        <w:spacing w:before="0"/>
        <w:ind w:left="709" w:hanging="425"/>
      </w:pPr>
      <w:r w:rsidRPr="00017343">
        <w:t>Пациентам с ЛМЗ, кандидатам на трансплантацию с ранним рецидивом ЛМЗ, развившимся после трансплантации аутологичных стволовых клеток, при возможности</w:t>
      </w:r>
      <w:r w:rsidRPr="007D43B2">
        <w:t xml:space="preserve"> </w:t>
      </w:r>
      <w:r w:rsidRPr="007D43B2">
        <w:rPr>
          <w:b/>
        </w:rPr>
        <w:t>рекомендован</w:t>
      </w:r>
      <w:r>
        <w:rPr>
          <w:b/>
        </w:rPr>
        <w:t>а</w:t>
      </w:r>
      <w:r w:rsidRPr="007D43B2">
        <w:rPr>
          <w:b/>
        </w:rPr>
        <w:t xml:space="preserve"> </w:t>
      </w:r>
      <w:r w:rsidRPr="00017343">
        <w:t xml:space="preserve">аллогенная трансплантация костного мозга </w:t>
      </w:r>
      <w:r w:rsidRPr="007D43B2">
        <w:fldChar w:fldCharType="begin" w:fldLock="1"/>
      </w:r>
      <w:r w:rsidR="004A6A9D">
        <w:instrText>ADDIN CSL_CITATION {"citationItems":[{"id":"ITEM-1","itemData":{"DOI":"10.1038/s41409-019-0516-2","ISSN":"0268-3369","abstract":"This is the seventh special EBMT report on the indications for haematopoietic stem cell transplantation for haematological diseases, solid tumours and immune disorders. Our aim is to provide general guidance on transplant indications according to prevailing clinical practice in EBMT countries and centres. In order to inform patient decisions, these recommendations must be considered together with the risk of the disease, the risk of the transplant procedure and the results of non-transplant strategies. In over two decades since the first report, the EBMT indications manuscripts have incorporated changes in transplant practice coming from scientific and technical developments in the field. In this same period, the establishment of JACIE accreditation has promoted high quality and led to improved outcomes of patient and donor care and laboratory performance in transplantation and cellular therapy. An updated report with operating definitions, revised indications and an additional set of data with overall survival at 1 year and non-relapse mortality at day 100 after transplant in the commonest standard-of-care indications is presented. Additional efforts are currently underway to enable EBMT member centres to benchmark their risk-adapted outcomes as part of the Registry upgrade Project 2020 against national and/or international outcome data.","author":[{"dropping-particle":"","family":"Duarte","given":"Rafael F.","non-dropping-particle":"","parse-names":false,"suffix":""},{"dropping-particle":"","family":"Labopin","given":"Myriam","non-dropping-particle":"","parse-names":false,"suffix":""},{"dropping-particle":"","family":"Bader","given":"Peter","non-dropping-particle":"","parse-names":false,"suffix":""},{"dropping-particle":"","family":"Basak","given":"Grzegorz W.","non-dropping-particle":"","parse-names":false,"suffix":""},{"dropping-particle":"","family":"Bonini","given":"Chiara","non-dropping-particle":"","parse-names":false,"suffix":""},{"dropping-particle":"","family":"Chabannon","given":"Christian","non-dropping-particle":"","parse-names":false,"suffix":""},{"dropping-particle":"","family":"Corbacioglu","given":"Selim","non-dropping-particle":"","parse-names":false,"suffix":""},{"dropping-particle":"","family":"Dreger","given":"Peter","non-dropping-particle":"","parse-names":false,"suffix":""},{"dropping-particle":"","family":"Dufour","given":"Carlo","non-dropping-particle":"","parse-names":false,"suffix":""},{"dropping-particle":"","family":"Gennery","given":"Andrew R.","non-dropping-particle":"","parse-names":false,"suffix":""},{"dropping-particle":"","family":"Kuball","given":"Jürgen","non-dropping-particle":"","parse-names":false,"suffix":""},{"dropping-particle":"","family":"Lankester","given":"Arjan C.","non-dropping-particle":"","parse-names":false,"suffix":""},{"dropping-particle":"","family":"Lanza","given":"Francesco","non-dropping-particle":"","parse-names":false,"suffix":""},{"dropping-particle":"","family":"Montoto","given":"Silvia","non-dropping-particle":"","parse-names":false,"suffix":""},{"dropping-particle":"","family":"Nagler","given":"Arnon","non-dropping-particle":"","parse-names":false,"suffix":""},{"dropping-particle":"","family":"Peffault de Latour","given":"Régis","non-dropping-particle":"","parse-names":false,"suffix":""},{"dropping-particle":"","family":"Snowden","given":"John A.","non-dropping-particle":"","parse-names":false,"suffix":""},{"dropping-particle":"","family":"Styczynski","given":"Jan","non-dropping-particle":"","parse-names":false,"suffix":""},{"dropping-particle":"","family":"Yakoub-Agha","given":"Ibrahim","non-dropping-particle":"","parse-names":false,"suffix":""},{"dropping-particle":"","family":"Kröger","given":"Nicolaus","non-dropping-particle":"","parse-names":false,"suffix":""},{"dropping-particle":"","family":"Mohty","given":"Mohamad","non-dropping-particle":"","parse-names":false,"suffix":""}],"container-title":"Bone Marrow Transplantation","id":"ITEM-1","issue":"10","issued":{"date-parts":[["2019","10"]]},"page":"1525-1552","publisher":"Nature Publishing Group","title":"Indications for haematopoietic stem cell transplantation for haematological diseases, solid tumours and immune disorders: current practice in Europe, 2019","type":"article-journal","volume":"54"},"uris":["http://www.mendeley.com/documents/?uuid=9bedbab5-dcb8-44c5-ab6e-841096313a2d"]},{"id":"ITEM-2","itemData":{"DOI":"10.3324/HAEMATOL.2013.084723","ISSN":"03906078","PMID":"23813647","abstract":"The aim of this project was to define indications for hematopoietic stem cell transplantation in follicular lymphoma in Europe. In the absence of evidence-based data, a RAND-modified Delphi procedure was used by an expert panel. After pre-defining statements, these were individually/anonymously scored by each participant using a 9-point scale. Consensus was reached that: 1) high-dose therapy with autologous stem cell rescue is not an appropriate option to consolidate first remission in patients responding to immuno-chemotherapy outside clinical trials; 2) in patients with first chemo-sensitive relapse, high-dose therapy with autologous stem cell rescue is an appropriate option to consolidate remission, especially in patients with a short response after immuno-chemotherapy or with high-risk FLIPI; 3) high-dose therapy with autologous stem cell rescue is also appropriate in second/subsequent chemo-sensitive relapses; 4) allotransplant (preferably a reduced intensity conditioning-allotransplant) should be considered at relapse after high-dose therapy with autologous stem cell rescue. No consensus was reached on the role of high-dose therapy with autologous stem cell rescue in low-risk first relapse, or on when an allotransplant should be preferred over high-dose therapy with autologous stem cell rescue. In the absence of evidence-based data, the consensus method used was a valuable tool to define indications for hematopoietic stem cell transplant in follicular lymphoma. © 2013 Ferrata Storti Foundation.","author":[{"dropping-particle":"","family":"Montoto","given":"Silvia","non-dropping-particle":"","parse-names":false,"suffix":""},{"dropping-particle":"","family":"Corradini","given":"Paolo","non-dropping-particle":"","parse-names":false,"suffix":""},{"dropping-particle":"","family":"Dreyling","given":"Martin","non-dropping-particle":"","parse-names":false,"suffix":""},{"dropping-particle":"","family":"Ghielmini","given":"Michele","non-dropping-particle":"","parse-names":false,"suffix":""},{"dropping-particle":"","family":"Kimby","given":"Eva","non-dropping-particle":"","parse-names":false,"suffix":""},{"dropping-particle":"","family":"López-Guillermo","given":"Armando","non-dropping-particle":"","parse-names":false,"suffix":""},{"dropping-particle":"","family":"Mackinnon","given":"Stephen","non-dropping-particle":"","parse-names":false,"suffix":""},{"dropping-particle":"","family":"Marcus","given":"Robert E.","non-dropping-particle":"","parse-names":false,"suffix":""},{"dropping-particle":"","family":"Salles","given":"Gilles","non-dropping-particle":"","parse-names":false,"suffix":""},{"dropping-particle":"","family":"Schouten","given":"Harry C.","non-dropping-particle":"","parse-names":false,"suffix":""},{"dropping-particle":"","family":"Sureda","given":"Anna","non-dropping-particle":"","parse-names":false,"suffix":""},{"dropping-particle":"","family":"Dreger","given":"Peter","non-dropping-particle":"","parse-names":false,"suffix":""}],"container-title":"Haematologica","id":"ITEM-2","issue":"7","issued":{"date-parts":[["2013","7"]]},"page":"1014","publisher":"Ferrata Storti Foundation","title":"Indications for hematopoietic stem cell transplantation in patients with follicular lymphoma: a consensus project of the EBMT-Lymphoma Working Party","type":"article-journal","volume":"98"},"uris":["http://www.mendeley.com/documents/?uuid=6cfe55d0-f90f-3abf-97b2-9f2d3606701f"]},{"id":"ITEM-3","itemData":{"DOI":"10.1093/ANNONC/MDW124","ISSN":"1569-8041","PMID":"26961149","abstract":"Background: Patients with follicular lymphoma (FL) relapsing after an autologous transplant (autoSCT) may be treated with a variety of therapies, including a reduced intensity allogeneic transplant (RICalloSCT). We conducted a retrospective analysis of a large cohort of patients undergoing RICalloSCT for FL in this setting. Patients and methods: A total of 183 patients, median age 45 years (range 21-69), had undergone an autoSCT at a median of 30 months before the RICalloSCT. Before the RICalloSCT, they had received a median of four lines (range 3-10) of therapy and 81% of patients had chemosensitive disease and 16% had chemoresistant disease. Grafts were donated from sibling (47%) or unrelated donors (53%). Results: With a median follow-up of 59 months, the non-relapse mortality (NRM) was 27% at 2 years. The median remission duration post-autoSCT and RICalloSCT was 14 and 43 months, respectively. The 5-year relapse/progression rate, progression-free survival and overall survival were 16%, 48% and 51%, respectively, and were associated with age and disease status at RICalloSCT. Conclusion: These data suggest that an RICalloSCT is an effective salvage strategy in patients with FL recurring after a prior autoSCT and might overcome the poor prognostic impact of early relapse after autoSCT.","author":[{"dropping-particle":"","family":"Robinson","given":"S. P.","non-dropping-particle":"","parse-names":false,"suffix":""},{"dropping-particle":"","family":"Boumendil","given":"A.","non-dropping-particle":"","parse-names":false,"suffix":""},{"dropping-particle":"","family":"Finel","given":"H.","non-dropping-particle":"","parse-names":false,"suffix":""},{"dropping-particle":"","family":"Schouten","given":"H.","non-dropping-particle":"","parse-names":false,"suffix":""},{"dropping-particle":"","family":"Ehninger","given":"G.","non-dropping-particle":"","parse-names":false,"suffix":""},{"dropping-particle":"","family":"Maertens","given":"J.","non-dropping-particle":"","parse-names":false,"suffix":""},{"dropping-particle":"","family":"Crawley","given":"C.","non-dropping-particle":"","parse-names":false,"suffix":""},{"dropping-particle":"","family":"Rambaldi","given":"A.","non-dropping-particle":"","parse-names":false,"suffix":""},{"dropping-particle":"","family":"Russell","given":"N.","non-dropping-particle":"","parse-names":false,"suffix":""},{"dropping-particle":"","family":"Anders","given":"W.","non-dropping-particle":"","parse-names":false,"suffix":""},{"dropping-particle":"","family":"Blaise","given":"D.","non-dropping-particle":"","parse-names":false,"suffix":""},{"dropping-particle":"","family":"Yakoub-Agha","given":"I.","non-dropping-particle":"","parse-names":false,"suffix":""},{"dropping-particle":"","family":"Ganser","given":"A.","non-dropping-particle":"","parse-names":false,"suffix":""},{"dropping-particle":"","family":"Castagna","given":"L.","non-dropping-particle":"","parse-names":false,"suffix":""},{"dropping-particle":"","family":"Volin","given":"L.","non-dropping-particle":"","parse-names":false,"suffix":""},{"dropping-particle":"","family":"Cahn","given":"J. Y.","non-dropping-particle":"","parse-names":false,"suffix":""},{"dropping-particle":"","family":"Montoto","given":"S.","non-dropping-particle":"","parse-names":false,"suffix":""},{"dropping-particle":"","family":"Dreger","given":"P.","non-dropping-particle":"","parse-names":false,"suffix":""}],"container-title":"Annals of oncology : official journal of the European Society for Medical Oncology","id":"ITEM-3","issue":"6","issued":{"date-parts":[["2016","6","18"]]},"page":"1088-1094","publisher":"Ann Oncol","title":"Reduced intensity allogeneic stem cell transplantation for follicular lymphoma relapsing after an autologous transplant achieves durable long-term disease control: an analysis from the Lymphoma Working Party of the EBMT†","type":"article-journal","volume":"27"},"uris":["http://www.mendeley.com/documents/?uuid=0b67ae5f-21a9-37aa-ad18-b31da2bffe51"]}],"mendeley":{"formattedCitation":"[38–40]","plainTextFormattedCitation":"[38–40]","previouslyFormattedCitation":"[38–40]"},"properties":{"noteIndex":0},"schema":"https://github.com/citation-style-language/schema/raw/master/csl-citation.json"}</w:instrText>
      </w:r>
      <w:r w:rsidRPr="007D43B2">
        <w:fldChar w:fldCharType="separate"/>
      </w:r>
      <w:r w:rsidR="00DC3E15" w:rsidRPr="00DC3E15">
        <w:rPr>
          <w:noProof/>
        </w:rPr>
        <w:t>[38–40]</w:t>
      </w:r>
      <w:r w:rsidRPr="007D43B2">
        <w:fldChar w:fldCharType="end"/>
      </w:r>
      <w:r w:rsidRPr="007D43B2">
        <w:t xml:space="preserve">. </w:t>
      </w:r>
    </w:p>
    <w:p w14:paraId="5B0E92B2" w14:textId="401F6551" w:rsidR="00017343" w:rsidRPr="007D43B2" w:rsidRDefault="00017343" w:rsidP="009E062C">
      <w:pPr>
        <w:ind w:left="709" w:firstLine="0"/>
        <w:contextualSpacing/>
        <w:rPr>
          <w:b/>
        </w:rPr>
      </w:pPr>
      <w:r w:rsidRPr="007D43B2">
        <w:rPr>
          <w:b/>
        </w:rPr>
        <w:t xml:space="preserve">Уровень убедительности рекомендаций </w:t>
      </w:r>
      <w:r w:rsidR="006D39CD">
        <w:rPr>
          <w:b/>
          <w:lang w:val="en-US"/>
        </w:rPr>
        <w:t>C</w:t>
      </w:r>
      <w:r w:rsidRPr="007D43B2">
        <w:rPr>
          <w:b/>
        </w:rPr>
        <w:t xml:space="preserve"> (уровень достоверности доказательств </w:t>
      </w:r>
      <w:r w:rsidR="006D39CD" w:rsidRPr="006D39CD">
        <w:rPr>
          <w:b/>
        </w:rPr>
        <w:t>5</w:t>
      </w:r>
      <w:r w:rsidRPr="007D43B2">
        <w:rPr>
          <w:b/>
        </w:rPr>
        <w:t>).</w:t>
      </w:r>
    </w:p>
    <w:p w14:paraId="55274EED" w14:textId="0A082D75" w:rsidR="006D39CD" w:rsidRDefault="006D39CD" w:rsidP="00A72B1B">
      <w:pPr>
        <w:pStyle w:val="afd"/>
        <w:numPr>
          <w:ilvl w:val="0"/>
          <w:numId w:val="11"/>
        </w:numPr>
        <w:ind w:left="709" w:hanging="709"/>
      </w:pPr>
      <w:r w:rsidRPr="006641A3">
        <w:t xml:space="preserve">Пациентам с рецидивом </w:t>
      </w:r>
      <w:r>
        <w:t>ЛМЗ</w:t>
      </w:r>
      <w:r w:rsidRPr="006641A3">
        <w:t xml:space="preserve">, </w:t>
      </w:r>
      <w:r>
        <w:t>ответившим на терапию рецидива с включением ритуксимаба</w:t>
      </w:r>
      <w:r w:rsidRPr="006D39CD">
        <w:t>**</w:t>
      </w:r>
      <w:r>
        <w:t xml:space="preserve">, </w:t>
      </w:r>
      <w:r w:rsidRPr="006D39CD">
        <w:rPr>
          <w:u w:val="single"/>
        </w:rPr>
        <w:t>опционально</w:t>
      </w:r>
      <w:r>
        <w:t xml:space="preserve"> </w:t>
      </w:r>
      <w:r w:rsidRPr="006641A3">
        <w:rPr>
          <w:b/>
          <w:bCs/>
        </w:rPr>
        <w:t>рекомендована</w:t>
      </w:r>
      <w:r w:rsidRPr="006641A3">
        <w:t xml:space="preserve"> поддерживающая терапия </w:t>
      </w:r>
      <w:r>
        <w:t>ритуксимабом**</w:t>
      </w:r>
      <w:r w:rsidRPr="006D39CD">
        <w:t xml:space="preserve"> </w:t>
      </w:r>
      <w:r w:rsidRPr="006641A3">
        <w:fldChar w:fldCharType="begin" w:fldLock="1"/>
      </w:r>
      <w:r w:rsidR="002334C0">
        <w:instrText>ADDIN CSL_CITATION {"citationItems":[{"id":"ITEM-1","itemData":{"ISBN":"9291271195","author":[{"dropping-particle":"","family":"Zelenetz","given":"A.D.","non-dropping-particle":"","parse-names":false,"suffix":""},{"dropping-particle":"","family":"Gordon","given":"L.I.","non-dropping-particle":"","parse-names":false,"suffix":""},{"dropping-particle":"","family":"Abramson","given":"J.S.","non-dropping-particle":"","parse-names":false,"suffix":""},{"dropping-particle":"","family":"Advani","given":"R.H.","non-dropping-particle":"","parse-names":false,"suffix":""},{"dropping-particle":"","family":"Bartlett","given":"N.L.","non-dropping-particle":"","parse-names":false,"suffix":""},{"dropping-particle":"","family":"Caimi","given":"P.F.","non-dropping-particle":"","parse-names":false,"suffix":""}],"id":"ITEM-1","issued":{"date-parts":[["0"]]},"title":"B-cell lymphomas. NCCN Clinical Practice Guidelines in Oncology. Version 5.2019","type":"article"},"uris":["http://www.mendeley.com/documents/?uuid=4e117fbe-c678-350d-9b0c-f8bba5d6f848"]},{"id":"ITEM-2","itemData":{"author":[{"dropping-particle":"","family":"Бабичева","given":"Л.Г.","non-dropping-particle":"","parse-names":false,"suffix":""},{"dropping-particle":"","family":"Тумян","given":"Г.С.","non-dropping-particle":"","parse-names":false,"suffix":""},{"dropping-particle":"","family":"Кравченко","given":"С.К.","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Савченко.","id":"ITEM-2","issued":{"date-parts":[["2018"]]},"page":"43-52","title":"Фолликулярная лимфома","type":"chapter"},"uris":["http://www.mendeley.com/documents/?uuid=781f2a04-d7f5-4e09-84dd-bc47849ef616"]}],"mendeley":{"formattedCitation":"[11,17]","plainTextFormattedCitation":"[11,17]","previouslyFormattedCitation":"[11,17]"},"properties":{"noteIndex":0},"schema":"https://github.com/citation-style-language/schema/raw/master/csl-citation.json"}</w:instrText>
      </w:r>
      <w:r w:rsidRPr="006641A3">
        <w:fldChar w:fldCharType="separate"/>
      </w:r>
      <w:r w:rsidRPr="006D39CD">
        <w:rPr>
          <w:noProof/>
        </w:rPr>
        <w:t>[11,17]</w:t>
      </w:r>
      <w:r w:rsidRPr="006641A3">
        <w:fldChar w:fldCharType="end"/>
      </w:r>
      <w:r w:rsidRPr="006641A3">
        <w:t xml:space="preserve">. </w:t>
      </w:r>
    </w:p>
    <w:p w14:paraId="298D8936" w14:textId="77777777" w:rsidR="006D39CD" w:rsidRDefault="006D39CD" w:rsidP="006D39CD">
      <w:pPr>
        <w:pStyle w:val="affff"/>
        <w:spacing w:beforeAutospacing="0" w:afterAutospacing="0" w:line="360" w:lineRule="auto"/>
        <w:ind w:left="709" w:firstLine="0"/>
        <w:rPr>
          <w:b/>
        </w:rPr>
      </w:pPr>
      <w:r w:rsidRPr="006641A3">
        <w:rPr>
          <w:b/>
        </w:rPr>
        <w:t>Уровень убедительности рекомендаций С (уровень достоверности доказательств 5).</w:t>
      </w:r>
    </w:p>
    <w:p w14:paraId="600BC937" w14:textId="49EA1D43" w:rsidR="006D39CD" w:rsidRDefault="006D39CD" w:rsidP="006D39CD">
      <w:pPr>
        <w:pStyle w:val="afd"/>
        <w:ind w:left="0"/>
        <w:rPr>
          <w:bCs/>
          <w:i/>
        </w:rPr>
      </w:pPr>
      <w:r w:rsidRPr="006D39CD">
        <w:rPr>
          <w:b/>
          <w:iCs/>
        </w:rPr>
        <w:t>Комментарии:</w:t>
      </w:r>
      <w:r>
        <w:rPr>
          <w:bCs/>
          <w:i/>
        </w:rPr>
        <w:t xml:space="preserve"> для пациентов, которые получали режим </w:t>
      </w:r>
      <w:r>
        <w:rPr>
          <w:bCs/>
          <w:i/>
          <w:lang w:val="en-US"/>
        </w:rPr>
        <w:t>BR</w:t>
      </w:r>
      <w:r>
        <w:rPr>
          <w:bCs/>
          <w:i/>
        </w:rPr>
        <w:t xml:space="preserve">, поддержвающая терапия ритуксимабом** увеличивает риск инфекционных осложнений, поэтому в случае достижения полной ремиссии, поддерживающая терапия после </w:t>
      </w:r>
      <w:r>
        <w:rPr>
          <w:bCs/>
          <w:i/>
          <w:lang w:val="en-US"/>
        </w:rPr>
        <w:t>BR</w:t>
      </w:r>
      <w:r>
        <w:rPr>
          <w:bCs/>
          <w:i/>
        </w:rPr>
        <w:t xml:space="preserve"> не показана </w:t>
      </w:r>
      <w:r>
        <w:rPr>
          <w:bCs/>
          <w:i/>
        </w:rPr>
        <w:fldChar w:fldCharType="begin" w:fldLock="1"/>
      </w:r>
      <w:r w:rsidR="002334C0">
        <w:rPr>
          <w:bCs/>
          <w:i/>
        </w:rPr>
        <w:instrText>ADDIN CSL_CITATION {"citationItems":[{"id":"ITEM-1","itemData":{"DOI":"10.1002/hon.29_2880","ISSN":"0278-0232","author":[{"dropping-particle":"","family":"Bastos‐Oreiro","given":"M.","non-dropping-particle":"","parse-names":false,"suffix":""},{"dropping-particle":"","family":"Gutierrez","given":"A.","non-dropping-particle":"","parse-names":false,"suffix":""},{"dropping-particle":"","family":"Martín","given":"R.","non-dropping-particle":"","parse-names":false,"suffix":""},{"dropping-particle":"","family":"Cabero","given":"A.","non-dropping-particle":"","parse-names":false,"suffix":""},{"dropping-particle":"","family":"Navarro","given":"B.","non-dropping-particle":"","parse-names":false,"suffix":""},{"dropping-particle":"","family":"Jimenez‐Unieto","given":"A.","non-dropping-particle":"","parse-names":false,"suffix":""},{"dropping-particle":"","family":"Alonso","given":"C.","non-dropping-particle":"","parse-names":false,"suffix":""},{"dropping-particle":"","family":"Gonzalez de Villambrosia","given":"S.","non-dropping-particle":"","parse-names":false,"suffix":""},{"dropping-particle":"","family":"Córdoba","given":"R.","non-dropping-particle":"","parse-names":false,"suffix":""},{"dropping-particle":"","family":"Perez de Oteyza","given":"J.","non-dropping-particle":"","parse-names":false,"suffix":""},{"dropping-particle":"","family":"Infante","given":"María","non-dropping-particle":"","parse-names":false,"suffix":""},{"dropping-particle":"","family":"Campo","given":"R.","non-dropping-particle":"Del","parse-names":false,"suffix":""},{"dropping-particle":"","family":"la Fuente","given":"A.","non-dropping-particle":"De","parse-names":false,"suffix":""},{"dropping-particle":"","family":"Oña","given":"R.","non-dropping-particle":"","parse-names":false,"suffix":""},{"dropping-particle":"","family":"García Belmonte","given":"D.","non-dropping-particle":"","parse-names":false,"suffix":""},{"dropping-particle":"","family":"Salar","given":"A.","non-dropping-particle":"","parse-names":false,"suffix":""},{"dropping-particle":"","family":"Sancho","given":"J. M.","non-dropping-particle":"","parse-names":false,"suffix":""}],"container-title":"Hematological Oncology","id":"ITEM-1","issue":"S2","issued":{"date-parts":[["2021","6"]]},"publisher":"Wiley","title":"MAINTENANCE THERAPY AFTER R‐BENDAMUSTINE VS R‐CHOP IN FIRST‐LINE TREATMENT OF LOW‐GRADE FOLLICULAR LYMPHOMA: A MULTICENTRE, RETROSPECTIVE GELTAMO STUDY","type":"article-journal","volume":"39"},"uris":["http://www.mendeley.com/documents/?uuid=c667104a-34c4-32d2-8294-31fac0eb259d"]}],"mendeley":{"formattedCitation":"[32]","plainTextFormattedCitation":"[32]","previouslyFormattedCitation":"[32]"},"properties":{"noteIndex":0},"schema":"https://github.com/citation-style-language/schema/raw/master/csl-citation.json"}</w:instrText>
      </w:r>
      <w:r>
        <w:rPr>
          <w:bCs/>
          <w:i/>
        </w:rPr>
        <w:fldChar w:fldCharType="separate"/>
      </w:r>
      <w:r w:rsidRPr="006D39CD">
        <w:rPr>
          <w:bCs/>
          <w:noProof/>
        </w:rPr>
        <w:t>[32]</w:t>
      </w:r>
      <w:r>
        <w:rPr>
          <w:bCs/>
          <w:i/>
        </w:rPr>
        <w:fldChar w:fldCharType="end"/>
      </w:r>
      <w:r w:rsidRPr="006D39CD">
        <w:rPr>
          <w:bCs/>
          <w:i/>
        </w:rPr>
        <w:t>.</w:t>
      </w:r>
    </w:p>
    <w:p w14:paraId="02C947AF" w14:textId="14DD38A2" w:rsidR="006D39CD" w:rsidRDefault="006D39CD" w:rsidP="006D39CD">
      <w:pPr>
        <w:pStyle w:val="2"/>
        <w:contextualSpacing/>
      </w:pPr>
      <w:bookmarkStart w:id="62" w:name="_Toc35277460"/>
      <w:bookmarkStart w:id="63" w:name="_Toc103332101"/>
      <w:r>
        <w:t>3.</w:t>
      </w:r>
      <w:r>
        <w:rPr>
          <w:lang w:val="en-US"/>
        </w:rPr>
        <w:t>8</w:t>
      </w:r>
      <w:r>
        <w:t xml:space="preserve"> Оценка ответа на лечение</w:t>
      </w:r>
      <w:bookmarkEnd w:id="62"/>
      <w:bookmarkEnd w:id="63"/>
    </w:p>
    <w:p w14:paraId="7ECFB247" w14:textId="50207173" w:rsidR="006D39CD" w:rsidRDefault="006D39CD" w:rsidP="00A72B1B">
      <w:pPr>
        <w:pStyle w:val="afd"/>
        <w:numPr>
          <w:ilvl w:val="0"/>
          <w:numId w:val="12"/>
        </w:numPr>
        <w:spacing w:before="120" w:after="120"/>
        <w:ind w:left="709" w:hanging="709"/>
      </w:pPr>
      <w:r>
        <w:t xml:space="preserve">Всем пациентам с ЛМЗ, получающим противоопухолевое лечение, </w:t>
      </w:r>
      <w:r w:rsidRPr="006271AB">
        <w:t>после завершения всей программы лечения</w:t>
      </w:r>
      <w:r>
        <w:t xml:space="preserve">, </w:t>
      </w:r>
      <w:r w:rsidRPr="005A0BFC">
        <w:rPr>
          <w:b/>
        </w:rPr>
        <w:t>рекомендуется</w:t>
      </w:r>
      <w:r>
        <w:t xml:space="preserve"> оценка ответа на терапию в </w:t>
      </w:r>
      <w:r w:rsidRPr="00A4325F">
        <w:t>соответствии со стандартными критериями ответа на лечение лимфом (см. раздел 7.</w:t>
      </w:r>
      <w:r>
        <w:t>4</w:t>
      </w:r>
      <w:r w:rsidRPr="00A4325F">
        <w:t xml:space="preserve"> данных рекомендаций</w:t>
      </w:r>
      <w:r>
        <w:t>)</w:t>
      </w:r>
      <w:r w:rsidRPr="006D39CD">
        <w:t xml:space="preserve"> </w:t>
      </w:r>
      <w:r>
        <w:fldChar w:fldCharType="begin" w:fldLock="1"/>
      </w:r>
      <w:r w:rsidR="004A6A9D">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лимфом","type":"chapter"},"uris":["http://www.mendeley.com/documents/?uuid=d7eb85a2-da5e-400d-b112-7f0a5734958d"]},{"id":"ITEM-2","itemData":{"DOI":"10.1200/JCO.2006.09.2403","ISSN":"0732183X","abstract":"PURPOSE Standardized response criteria are needed to interpret and compare clinical trials and for approval of new therapeutic agents by regulatory agencies. METHODS The International Working Group response criteria (Cheson et al, J Clin Oncol 17:1244, 1999) were widely adopted, but required reassessment because of identified limitations and the increased use of [18F]fluorodeoxyglucose-positron emission tomography (PET), immunohistochemistry (IHC), and flow cytometry. The International Harmonization Project was convened to provide updated recommendations. RESULTS New guidelines are presented incorporating PET, IHC, and flow cytometry for definitions of response in non-Hodgkin's and Hodgkin's lymphoma. Standardized definitions of end points are provided. CONCLUSION We hope that these guidelines will be adopted widely by study groups, pharmaceutical and biotechnology companies, and regulatory agencies to facilitate the development of new and more effective therapies to improve the outcome of patients with lymphoma.","author":[{"dropping-particle":"","family":"Cheson","given":"Bruce D.","non-dropping-particle":"","parse-names":false,"suffix":""},{"dropping-particle":"","family":"Pfistner","given":"Beate","non-dropping-particle":"","parse-names":false,"suffix":""},{"dropping-particle":"","family":"Juweid","given":"Malik E.","non-dropping-particle":"","parse-names":false,"suffix":""},{"dropping-particle":"","family":"Gascoyne","given":"Randy D.","non-dropping-particle":"","parse-names":false,"suffix":""},{"dropping-particle":"","family":"Specht","given":"Lena","non-dropping-particle":"","parse-names":false,"suffix":""},{"dropping-particle":"","family":"Horning","given":"Sandra J.","non-dropping-particle":"","parse-names":false,"suffix":""},{"dropping-particle":"","family":"Coiffier","given":"Bertrand","non-dropping-particle":"","parse-names":false,"suffix":""},{"dropping-particle":"","family":"Fisher","given":"Richard I.","non-dropping-particle":"","parse-names":false,"suffix":""},{"dropping-particle":"","family":"Hagenbeek","given":"Anton","non-dropping-particle":"","parse-names":false,"suffix":""},{"dropping-particle":"","family":"Zucca","given":"Emanuele","non-dropping-particle":"","parse-names":false,"suffix":""},{"dropping-particle":"","family":"Rosen","given":"Steven T.","non-dropping-particle":"","parse-names":false,"suffix":""},{"dropping-particle":"","family":"Stroobants","given":"Sigrid","non-dropping-particle":"","parse-names":false,"suffix":""},{"dropping-particle":"","family":"Lister","given":"T. Andrew","non-dropping-particle":"","parse-names":false,"suffix":""},{"dropping-particle":"","family":"Hoppe","given":"Richard T.","non-dropping-particle":"","parse-names":false,"suffix":""},{"dropping-particle":"","family":"Dreyling","given":"Martin","non-dropping-particle":"","parse-names":false,"suffix":""},{"dropping-particle":"","family":"Tobinai","given":"Kensei","non-dropping-particle":"","parse-names":false,"suffix":""},{"dropping-particle":"","family":"Vose","given":"Julie M.","non-dropping-particle":"","parse-names":false,"suffix":""},{"dropping-particle":"","family":"Connors","given":"Joseph M.","non-dropping-particle":"","parse-names":false,"suffix":""},{"dropping-particle":"","family":"Federico","given":"Massimo","non-dropping-particle":"","parse-names":false,"suffix":""},{"dropping-particle":"","family":"Diehl","given":"Volker","non-dropping-particle":"","parse-names":false,"suffix":""}],"container-title":"Journal of Clinical Oncology","id":"ITEM-2","issue":"5","issued":{"date-parts":[["2007"]]},"page":"579-586","title":"Revised response criteria for malignant lymphoma","type":"article","volume":"25"},"uris":["http://www.mendeley.com/documents/?uuid=54621e2a-fa6c-3787-a396-2fbb20883fe7"]}],"mendeley":{"formattedCitation":"[4,41]","plainTextFormattedCitation":"[4,41]","previouslyFormattedCitation":"[4,41]"},"properties":{"noteIndex":0},"schema":"https://github.com/citation-style-language/schema/raw/master/csl-citation.json"}</w:instrText>
      </w:r>
      <w:r>
        <w:fldChar w:fldCharType="separate"/>
      </w:r>
      <w:r w:rsidR="00DC3E15" w:rsidRPr="00DC3E15">
        <w:rPr>
          <w:noProof/>
        </w:rPr>
        <w:t>[4,41]</w:t>
      </w:r>
      <w:r>
        <w:fldChar w:fldCharType="end"/>
      </w:r>
      <w:r>
        <w:t xml:space="preserve">. </w:t>
      </w:r>
    </w:p>
    <w:p w14:paraId="4BFFF504" w14:textId="05D26909" w:rsidR="006D39CD" w:rsidRDefault="006D39CD" w:rsidP="006D39CD">
      <w:pPr>
        <w:pStyle w:val="afd"/>
        <w:ind w:left="709" w:firstLine="0"/>
        <w:rPr>
          <w:b/>
        </w:rPr>
      </w:pPr>
      <w:r w:rsidRPr="00F6217A">
        <w:rPr>
          <w:b/>
        </w:rPr>
        <w:t>Уровень убедительности рекомендаций С (уровень достоверности доказательств 5).</w:t>
      </w:r>
    </w:p>
    <w:p w14:paraId="035D8CEA" w14:textId="6246E047" w:rsidR="002334C0" w:rsidRDefault="002334C0" w:rsidP="002334C0">
      <w:pPr>
        <w:pStyle w:val="2"/>
        <w:contextualSpacing/>
      </w:pPr>
      <w:bookmarkStart w:id="64" w:name="_Toc35277461"/>
      <w:bookmarkStart w:id="65" w:name="_Toc103332102"/>
      <w:r>
        <w:t>3.</w:t>
      </w:r>
      <w:r>
        <w:rPr>
          <w:lang w:val="en-US"/>
        </w:rPr>
        <w:t>9</w:t>
      </w:r>
      <w:r>
        <w:t xml:space="preserve"> Сопутствующая и сопроводительная терапия</w:t>
      </w:r>
      <w:bookmarkEnd w:id="64"/>
      <w:bookmarkEnd w:id="65"/>
    </w:p>
    <w:p w14:paraId="755380E3" w14:textId="7BC3AC51" w:rsidR="004A6A9D" w:rsidRPr="00AB22BC" w:rsidRDefault="004A6A9D" w:rsidP="00A72B1B">
      <w:pPr>
        <w:pStyle w:val="affff1"/>
        <w:numPr>
          <w:ilvl w:val="0"/>
          <w:numId w:val="11"/>
        </w:numPr>
        <w:spacing w:before="0"/>
        <w:ind w:left="709" w:hanging="709"/>
        <w:rPr>
          <w:b/>
        </w:rPr>
      </w:pPr>
      <w:r w:rsidRPr="009D170B">
        <w:rPr>
          <w:color w:val="000000" w:themeColor="text1"/>
        </w:rPr>
        <w:t>Пациентам с</w:t>
      </w:r>
      <w:r>
        <w:rPr>
          <w:color w:val="000000" w:themeColor="text1"/>
        </w:rPr>
        <w:t xml:space="preserve"> </w:t>
      </w:r>
      <w:r>
        <w:t>ЛМЗ</w:t>
      </w:r>
      <w:r>
        <w:t xml:space="preserve"> с массивным опухолевым поражением, получающим противоопухолевую терапию, р</w:t>
      </w:r>
      <w:r w:rsidRPr="00AB22BC">
        <w:rPr>
          <w:b/>
        </w:rPr>
        <w:t>екомендуется</w:t>
      </w:r>
      <w:r w:rsidRPr="00AB22BC">
        <w:t xml:space="preserve"> профилактик</w:t>
      </w:r>
      <w:r>
        <w:t>а</w:t>
      </w:r>
      <w:r w:rsidRPr="00AB22BC">
        <w:t xml:space="preserve"> и лечение синдрома массивного лизиса опухоли: аллопуринол** 10 мг/кг/сут и инфузионная терапия 3 л/м</w:t>
      </w:r>
      <w:r w:rsidRPr="00AB22BC">
        <w:rPr>
          <w:vertAlign w:val="superscript"/>
        </w:rPr>
        <w:t>2</w:t>
      </w:r>
      <w:r w:rsidRPr="00AB22BC">
        <w:t xml:space="preserve">/сут с защелачиванием раствора натрия гидрокарбоната** 40–80 ммоль/л под контролем диуреза и плановым назначением фуросемида**, лабораторным контролем кислотно-основного состояния </w:t>
      </w:r>
      <w:r w:rsidRPr="00AB22BC">
        <w:fldChar w:fldCharType="begin" w:fldLock="1"/>
      </w:r>
      <w:r w:rsidR="00F807AF">
        <w:instrText>ADDIN CSL_CITATION {"citationItems":[{"id":"ITEM-1","itemData":{"author":[{"dropping-particle":"","family":"Барях","given":"Е.А.","non-dropping-particle":"","parse-names":false,"suffix":""},{"dropping-particle":"","family":"Мякова","given":"Н.В.","non-dropping-particle":"","parse-names":false,"suffix":""},{"dropping-particle":"","family":"Поддубная","given":"И.В.","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Савченко.","id":"ITEM-1","issued":{"date-parts":[["2018"]]},"page":"251-253","title":"Профилактика и лечение синдрома лизиса опухоли","type":"chapter"},"uris":["http://www.mendeley.com/documents/?uuid=f076f62d-bb83-43f7-ada9-fd1c459dafc9"]},{"id":"ITEM-2","itemData":{"author":[{"dropping-particle":"","family":"Барях","given":"Е.А.","non-dropping-particle":"","parse-names":false,"suffix":""},{"dropping-particle":"","family":"Кравченко","given":"С.К.","non-dropping-particle":"","parse-names":false,"suffix":""},{"dropping-particle":"","family":"Кременецкая","given":"А.М.","non-dropping-particle":"","parse-names":false,"suffix":""},{"dropping-particle":"","family":"Звонков","given":"Е.Е.","non-dropping-particle":"","parse-names":false,"suffix":""},{"dropping-particle":"","family":"Магомедова","given":"А.У.","non-dropping-particle":"","parse-names":false,"suffix":""},{"dropping-particle":"","family":"Обухова","given":"Т.Н.","non-dropping-particle":"","parse-names":false,"suffix":""},{"dropping-particle":"","family":"Попова","given":"Ю.Ю.","non-dropping-particle":"","parse-names":false,"suffix":""},{"dropping-particle":"","family":"Финк","given":"О.С.","non-dropping-particle":"","parse-names":false,"suffix":""},{"dropping-particle":"","family":"Клясова","given":"Г.А.","non-dropping-particle":"","parse-names":false,"suffix":""},{"dropping-particle":"","family":"Шулутко","given":"Е.М.","non-dropping-particle":"","parse-names":false,"suffix":""},{"dropping-particle":"","family":"Галстян","given":"Г.М.","non-dropping-particle":"","parse-names":false,"suffix":""},{"dropping-particle":"","family":"Капланская","given":"И.Б.","non-dropping-particle":"","parse-names":false,"suffix":""},{"dropping-particle":"","family":"Воробьев","given":"И.А.","non-dropping-particle":"","parse-names":false,"suffix":""},{"dropping-particle":"","family":"Воробьев","given":"А.И.","non-dropping-particle":"","parse-names":false,"suffix":""}],"container-title":"Клиническая онкогематология. Фундаментальные исследования и клиническая практика","id":"ITEM-2","issue":"2","issued":{"date-parts":[["2010"]]},"page":"138-143","title":"Лейкоз/лимфома Беркитта: клинические особенности, диагностические критерии, терапевтическая тактика","type":"article-journal","volume":"3"},"uris":["http://www.mendeley.com/documents/?uuid=ca97d2c7-6100-4926-b460-c64743fdc29b"]}],"mendeley":{"formattedCitation":"[42,43]","plainTextFormattedCitation":"[42,43]","previouslyFormattedCitation":"[42,43]"},"properties":{"noteIndex":0},"schema":"https://github.com/citation-style-language/schema/raw/master/csl-citation.json"}</w:instrText>
      </w:r>
      <w:r w:rsidRPr="00AB22BC">
        <w:fldChar w:fldCharType="separate"/>
      </w:r>
      <w:r w:rsidRPr="004A6A9D">
        <w:rPr>
          <w:noProof/>
        </w:rPr>
        <w:t>[42,43]</w:t>
      </w:r>
      <w:r w:rsidRPr="00AB22BC">
        <w:fldChar w:fldCharType="end"/>
      </w:r>
      <w:r w:rsidRPr="00AB22BC">
        <w:t xml:space="preserve">. </w:t>
      </w:r>
    </w:p>
    <w:p w14:paraId="1F848CB0" w14:textId="77777777" w:rsidR="004A6A9D" w:rsidRDefault="004A6A9D" w:rsidP="004A6A9D">
      <w:pPr>
        <w:ind w:left="709" w:firstLine="0"/>
        <w:contextualSpacing/>
        <w:rPr>
          <w:b/>
        </w:rPr>
      </w:pPr>
      <w:r w:rsidRPr="006641A3">
        <w:rPr>
          <w:b/>
        </w:rPr>
        <w:t>Уровень убедительности рекомендаций С (уровень достоверности доказательств 5).</w:t>
      </w:r>
    </w:p>
    <w:p w14:paraId="5E6FFB3B" w14:textId="0EABB5D2" w:rsidR="00F807AF" w:rsidRPr="00EF3174" w:rsidRDefault="00F807AF" w:rsidP="00A72B1B">
      <w:pPr>
        <w:pStyle w:val="affff1"/>
        <w:numPr>
          <w:ilvl w:val="0"/>
          <w:numId w:val="11"/>
        </w:numPr>
        <w:spacing w:before="0"/>
        <w:ind w:left="709" w:hanging="709"/>
        <w:rPr>
          <w:bCs/>
        </w:rPr>
      </w:pPr>
      <w:r>
        <w:t>П</w:t>
      </w:r>
      <w:r w:rsidRPr="000322E4">
        <w:t xml:space="preserve">ациентам </w:t>
      </w:r>
      <w:r w:rsidRPr="000322E4">
        <w:rPr>
          <w:lang w:val="en-US"/>
        </w:rPr>
        <w:t>c</w:t>
      </w:r>
      <w:r>
        <w:t xml:space="preserve"> </w:t>
      </w:r>
      <w:r>
        <w:t>ЛМЗ</w:t>
      </w:r>
      <w:r w:rsidRPr="000322E4">
        <w:t xml:space="preserve">, получающим противоопухолевую химио- или лучевую терапию, </w:t>
      </w:r>
      <w:r w:rsidRPr="001071EC">
        <w:rPr>
          <w:bCs/>
        </w:rPr>
        <w:t xml:space="preserve">для профилактики тошноты и рвоты </w:t>
      </w:r>
      <w:r w:rsidRPr="00F807AF">
        <w:rPr>
          <w:b/>
        </w:rPr>
        <w:t>рекомендуется</w:t>
      </w:r>
      <w:r w:rsidRPr="001071EC">
        <w:rPr>
          <w:bCs/>
        </w:rPr>
        <w:t xml:space="preserve"> применение противорвотных </w:t>
      </w:r>
      <w:r w:rsidRPr="001071EC">
        <w:rPr>
          <w:bCs/>
        </w:rPr>
        <w:lastRenderedPageBreak/>
        <w:t xml:space="preserve">препаратов (блокаторы 5-НТ3 серотониновых рецепторов, антагонистами NK-1 рецепторов), дексаметазона, стимуляторов моторики желудочно-кишечного тракта (метоклопрамид), анксиолитиков, антипсихотических </w:t>
      </w:r>
      <w:r w:rsidRPr="00EF3174">
        <w:rPr>
          <w:bCs/>
        </w:rPr>
        <w:t>препаратов, ингибиторов протонной помпы, блокаторов Н2-гистаминовых рецепторов (см. раздел 7.</w:t>
      </w:r>
      <w:r w:rsidR="00EF3174" w:rsidRPr="00EF3174">
        <w:rPr>
          <w:bCs/>
        </w:rPr>
        <w:t>6</w:t>
      </w:r>
      <w:r w:rsidRPr="00EF3174">
        <w:rPr>
          <w:bCs/>
        </w:rPr>
        <w:t xml:space="preserve"> данных рекомендаций) </w:t>
      </w:r>
      <w:r w:rsidRPr="00EF3174">
        <w:rPr>
          <w:bCs/>
        </w:rPr>
        <w:fldChar w:fldCharType="begin" w:fldLock="1"/>
      </w:r>
      <w:r w:rsidR="00D71DD0" w:rsidRPr="00EF3174">
        <w:rPr>
          <w:bCs/>
        </w:rPr>
        <w:instrText>ADDIN CSL_CITATION {"citationItems":[{"id":"ITEM-1","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онкологии.","id":"ITEM-1","issued":{"date-parts":[["2018"]]},"page":"502-511","title":"Практические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больных","type":"chapter"},"uris":["http://www.mendeley.com/documents/?uuid=78a86b9f-7e15-4d77-b54b-a16387fd5e97"]},{"id":"ITEM-2","itemData":{"DOI":"10.1016/J.SUPONC.2011.05.002","ISSN":"1544-6794","PMID":"22024310","abstract":"Background: The purpose of the study was to compare the effectiveness of olanzapine (OLN) and aprepitant (APR) for the prevention of chemotherapy-induced nausea and vomiting (CINV) in patients receiving highly emetogenic chemotherapy. Methods: A phase III trial was performed in chemotherapy-naive patients receiving cisplatin ≥70 mg/m 2 or cyclophosphamide ≥500 mg/m 2 and doxorubicin ≥50 mg/m 2, comparing OLN to APR in combination with palonosetron (PAL) and dexamethasone (DEX). The OLN, PAL, DEX (OPD) regimen was 10 mg of oral OLN, 0.25 mg of IV PAL, and 20 mg of IV DEX prechemotherapy, day 1, and 10 mg/day of oral OLN alone on days 2-4 postchemotherapy. The APR, PAL, DEX (APD) regimen was 125 mg of oral APR, 0.25 mg of IV PAL, and 12 mg of IV DEX, day 1, and 80 mg of oral APR, days 2 and 3, and 4 mg of DEX BID, days 2-4. Two hundred fifty-one patients consented to the protocol and were randomized. Two hundred forty-one patients were evaluable. Results: Complete response (CR) (no emesis, no rescue) was 97% for the acute period (24 hours postchemotherapy), 77% for the delayed period (days 2-5 postchemotherapy), and 77% for the overall period (0-120 hours) for 121 patients receiving the OPD regimen. CR was 87% for the acute period, 73% for the delayed period, and 73% for the overall period in 120 patients receiving the APD regimen. Patients without nausea (0, scale 0-10, MD Anderson Symptom Inventory) were OPD: 87% acute, 69% delayed, and 69% overall; APD: 87% acute, 38% delayed, and 38% overall. There were no grade 3 or 4 toxicities. CR and control of nausea in subsequent chemotherapy cycles were equal to or greater than cycle 1 for both regimens. OPD was comparable to APD in the control of CINV. Nausea was better controlled with OPD. Discussion: In this study, OLN combined with a single dose of DEX and a single dose of PAL was very effective at controlling acute and delayed CINV in patients receiving highly emetogenic chemotherapy. CR rates were not significantly different from a similar group of patients receiving highly emetogenic chemotherapy and an antiemetic regimen consisting of APR, PAL, and DEX. © 2011 Elsevier Inc.","author":[{"dropping-particle":"","family":"Navari","given":"Rudolph M.","non-dropping-particle":"","parse-names":false,"suffix":""},{"dropping-particle":"","family":"Gray","given":"Sarah E.","non-dropping-particle":"","parse-names":false,"suffix":""},{"dropping-particle":"","family":"Kerr","given":"Andrew C.","non-dropping-particle":"","parse-names":false,"suffix":""}],"container-title":"The journal of supportive oncology","id":"ITEM-2","issue":"5","issued":{"date-parts":[["2011","9"]]},"page":"188-195","publisher":"J Support Oncol","title":"Olanzapine versus aprepitant for the prevention of chemotherapy-induced nausea and vomiting: a randomized phase III trial","type":"article-journal","volume":"9"},"uris":["http://www.mendeley.com/documents/?uuid=81bd1ac1-c314-39c6-970d-d293df131ee7"]},{"id":"ITEM-3","itemData":{"DOI":"10.1056/nejmra1515442","ISSN":"0028-4793","PMID":"27050207","abstract":"One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Medicine","id":"ITEM-3","issue":"14","issued":{"date-parts":[["2016","4","7"]]},"page":"1356-1367","publisher":"New England Journal of Medicine (NEJM/MMS)","title":"Antiemetic Prophylaxis for Chemotherapy-Induced Nausea and Vomiting","type":"article-journal","volume":"374"},"uris":["http://www.mendeley.com/documents/?uuid=29ca644e-1c2a-3fa9-8d3e-90c52d8c3c4f"]}],"mendeley":{"formattedCitation":"[44–46]","plainTextFormattedCitation":"[44–46]","previouslyFormattedCitation":"[44–46]"},"properties":{"noteIndex":0},"schema":"https://github.com/citation-style-language/schema/raw/master/csl-citation.json"}</w:instrText>
      </w:r>
      <w:r w:rsidRPr="00EF3174">
        <w:rPr>
          <w:bCs/>
        </w:rPr>
        <w:fldChar w:fldCharType="separate"/>
      </w:r>
      <w:r w:rsidRPr="00EF3174">
        <w:rPr>
          <w:bCs/>
          <w:noProof/>
        </w:rPr>
        <w:t>[44–46]</w:t>
      </w:r>
      <w:r w:rsidRPr="00EF3174">
        <w:rPr>
          <w:bCs/>
        </w:rPr>
        <w:fldChar w:fldCharType="end"/>
      </w:r>
      <w:r w:rsidRPr="00EF3174">
        <w:rPr>
          <w:bCs/>
        </w:rPr>
        <w:t>.</w:t>
      </w:r>
    </w:p>
    <w:p w14:paraId="0905E632" w14:textId="77777777" w:rsidR="00F807AF" w:rsidRDefault="00F807AF" w:rsidP="00F807AF">
      <w:pPr>
        <w:ind w:left="709" w:firstLine="0"/>
        <w:contextualSpacing/>
        <w:rPr>
          <w:b/>
        </w:rPr>
      </w:pPr>
      <w:r w:rsidRPr="001071EC">
        <w:rPr>
          <w:b/>
        </w:rPr>
        <w:t xml:space="preserve">Уровень убедительности рекомендаций </w:t>
      </w:r>
      <w:r>
        <w:rPr>
          <w:b/>
          <w:lang w:val="en-US"/>
        </w:rPr>
        <w:t>C</w:t>
      </w:r>
      <w:r w:rsidRPr="001071EC">
        <w:rPr>
          <w:b/>
        </w:rPr>
        <w:t xml:space="preserve"> (уровень достоверности доказательств – 5)</w:t>
      </w:r>
    </w:p>
    <w:p w14:paraId="7F5D42A0" w14:textId="5DEA22C9" w:rsidR="004A6A9D" w:rsidRPr="00EF3174" w:rsidRDefault="004A6A9D" w:rsidP="004A6A9D">
      <w:pPr>
        <w:pStyle w:val="affff1"/>
        <w:spacing w:before="0"/>
        <w:ind w:left="709" w:hanging="709"/>
        <w:rPr>
          <w:i/>
        </w:rPr>
      </w:pPr>
      <w:r w:rsidRPr="00E8072E">
        <w:rPr>
          <w:rStyle w:val="affa"/>
          <w:i w:val="0"/>
        </w:rPr>
        <w:t xml:space="preserve">Пациентам </w:t>
      </w:r>
      <w:r>
        <w:t xml:space="preserve">с </w:t>
      </w:r>
      <w:r w:rsidR="00F807AF">
        <w:t>ЛМЗ</w:t>
      </w:r>
      <w:r w:rsidRPr="00E8072E">
        <w:rPr>
          <w:rStyle w:val="affa"/>
          <w:i w:val="0"/>
        </w:rPr>
        <w:t xml:space="preserve"> на </w:t>
      </w:r>
      <w:r w:rsidRPr="00EF3174">
        <w:rPr>
          <w:rStyle w:val="affa"/>
          <w:i w:val="0"/>
        </w:rPr>
        <w:t xml:space="preserve">фоне приема глюкокортикостероидов </w:t>
      </w:r>
      <w:r w:rsidRPr="00EF3174">
        <w:rPr>
          <w:rStyle w:val="affa"/>
          <w:b/>
          <w:i w:val="0"/>
        </w:rPr>
        <w:t>рекомендуется</w:t>
      </w:r>
      <w:r w:rsidRPr="00EF3174">
        <w:rPr>
          <w:rStyle w:val="affa"/>
          <w:i w:val="0"/>
        </w:rPr>
        <w:t xml:space="preserve"> проведение профилактики язвенной болезни желудка и 12-перстной кишки (см. раздел 7.</w:t>
      </w:r>
      <w:r w:rsidR="00EF3174" w:rsidRPr="00EF3174">
        <w:rPr>
          <w:rStyle w:val="affa"/>
          <w:i w:val="0"/>
        </w:rPr>
        <w:t>7</w:t>
      </w:r>
      <w:r w:rsidRPr="00EF3174">
        <w:rPr>
          <w:rStyle w:val="affa"/>
          <w:i w:val="0"/>
        </w:rPr>
        <w:t xml:space="preserve"> данных рекомендаций) </w:t>
      </w:r>
      <w:r w:rsidRPr="00EF3174">
        <w:rPr>
          <w:rStyle w:val="affa"/>
          <w:i w:val="0"/>
        </w:rPr>
        <w:fldChar w:fldCharType="begin" w:fldLock="1"/>
      </w:r>
      <w:r w:rsidR="00D71DD0" w:rsidRPr="00EF3174">
        <w:rPr>
          <w:rStyle w:val="affa"/>
          <w:i w:val="0"/>
        </w:rPr>
        <w:instrText>ADDIN CSL_CITATION {"citationItems":[{"id":"ITEM-1","itemData":{"PMID":"24833682","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Open","id":"ITEM-1","issue":"5","issued":{"date-parts":[["2014","5","1"]]},"page":"e004587","title":"Corticosteroids and risk of gastrointestinal bleeding: A systematic review and meta-analysis","type":"article-journal","volume":"4"},"uris":["http://www.mendeley.com/documents/?uuid=926ef8e8-8aa3-4855-829a-14142b61de3e"]}],"mendeley":{"formattedCitation":"[47]","plainTextFormattedCitation":"[47]","previouslyFormattedCitation":"[47]"},"properties":{"noteIndex":0},"schema":"https://github.com/citation-style-language/schema/raw/master/csl-citation.json"}</w:instrText>
      </w:r>
      <w:r w:rsidRPr="00EF3174">
        <w:rPr>
          <w:rStyle w:val="affa"/>
          <w:i w:val="0"/>
        </w:rPr>
        <w:fldChar w:fldCharType="separate"/>
      </w:r>
      <w:r w:rsidR="00F807AF" w:rsidRPr="00EF3174">
        <w:rPr>
          <w:rStyle w:val="affa"/>
          <w:i w:val="0"/>
          <w:noProof/>
        </w:rPr>
        <w:t>[47]</w:t>
      </w:r>
      <w:r w:rsidRPr="00EF3174">
        <w:rPr>
          <w:rStyle w:val="affa"/>
          <w:i w:val="0"/>
        </w:rPr>
        <w:fldChar w:fldCharType="end"/>
      </w:r>
      <w:r w:rsidRPr="00EF3174">
        <w:rPr>
          <w:rStyle w:val="affa"/>
          <w:i w:val="0"/>
        </w:rPr>
        <w:t>.</w:t>
      </w:r>
    </w:p>
    <w:p w14:paraId="37D1FCDF" w14:textId="77777777" w:rsidR="004A6A9D" w:rsidRPr="00E8072E" w:rsidRDefault="004A6A9D" w:rsidP="004A6A9D">
      <w:pPr>
        <w:pStyle w:val="affff"/>
        <w:spacing w:beforeAutospacing="0" w:afterAutospacing="0" w:line="360" w:lineRule="auto"/>
        <w:ind w:left="709" w:firstLine="0"/>
        <w:contextualSpacing/>
        <w:rPr>
          <w:b/>
        </w:rPr>
      </w:pPr>
      <w:r w:rsidRPr="00E8072E">
        <w:rPr>
          <w:b/>
        </w:rPr>
        <w:t>Уровень убедительности рекомендаций С (уровень достоверности доказательств 5)</w:t>
      </w:r>
    </w:p>
    <w:p w14:paraId="394CBEA5" w14:textId="1C2828D2" w:rsidR="002334C0" w:rsidRPr="00D37EDF" w:rsidRDefault="00D37EDF" w:rsidP="00A72B1B">
      <w:pPr>
        <w:pStyle w:val="afd"/>
        <w:numPr>
          <w:ilvl w:val="0"/>
          <w:numId w:val="12"/>
        </w:numPr>
        <w:ind w:left="709" w:hanging="709"/>
      </w:pPr>
      <w:r w:rsidRPr="00D37EDF">
        <w:t xml:space="preserve">Пациентам с </w:t>
      </w:r>
      <w:r w:rsidR="00497CA8">
        <w:t>ЛМЗ</w:t>
      </w:r>
      <w:r w:rsidRPr="00D37EDF">
        <w:t xml:space="preserve"> при проведении курсов химиоиммунотерапии (</w:t>
      </w:r>
      <w:r w:rsidRPr="00D37EDF">
        <w:rPr>
          <w:lang w:val="en-US"/>
        </w:rPr>
        <w:t>R</w:t>
      </w:r>
      <w:r w:rsidRPr="00D37EDF">
        <w:t>-</w:t>
      </w:r>
      <w:r w:rsidRPr="00D37EDF">
        <w:rPr>
          <w:lang w:val="en-US"/>
        </w:rPr>
        <w:t>CHOP</w:t>
      </w:r>
      <w:r w:rsidRPr="00D37EDF">
        <w:t xml:space="preserve">, </w:t>
      </w:r>
      <w:r w:rsidRPr="00D37EDF">
        <w:rPr>
          <w:lang w:val="en-US"/>
        </w:rPr>
        <w:t>G</w:t>
      </w:r>
      <w:r w:rsidRPr="00D37EDF">
        <w:t>-</w:t>
      </w:r>
      <w:r w:rsidRPr="00D37EDF">
        <w:rPr>
          <w:lang w:val="en-US"/>
        </w:rPr>
        <w:t>CHOP</w:t>
      </w:r>
      <w:r w:rsidRPr="00D37EDF">
        <w:t xml:space="preserve">) с высоким риском фебрильной нейтропении (ФН), превышающем 20%, или с промежуточным риском ФН 10-20% с наличием факторов риска (возраст ˃ 65 лет; тяжелые сопутствующие заболевания; почечная, печеночная недостаточность; гемоглобин менее 12 г/дл; недостаточное питание; длительная нейтропения или ФН в анамнезе; отсутствие антимикробной профилактики; ECOG ≥2; открытые раны или раневая инфекция; недавние обширные хирургические вмешательства; женский пол; химиолучевая терапия; цитопения вследствие опухолевого поражения костного мозга; ВИЧ инфекция), </w:t>
      </w:r>
      <w:r w:rsidRPr="00D37EDF">
        <w:rPr>
          <w:b/>
          <w:bCs/>
        </w:rPr>
        <w:t>рекомендована</w:t>
      </w:r>
      <w:r w:rsidRPr="00D37EDF">
        <w:t xml:space="preserve"> первичная профилактика фебрильной нейтропении колониестимулирующими факторами (Г-КСФ, L03AA по ATX классификации) </w:t>
      </w:r>
      <w:r w:rsidRPr="00D37EDF">
        <w:fldChar w:fldCharType="begin" w:fldLock="1"/>
      </w:r>
      <w:r w:rsidR="00D71DD0">
        <w:instrText>ADDIN CSL_CITATION {"citationItems":[{"id":"ITEM-1","itemData":{"id":"ITEM-1","issued":{"date-parts":[["2020"]]},"title":"Протоколы клинических рекомендаций поддерживающей терапии в онкологии. 4-е издание, переработанное и дополненное. Под редакцией академика РАН М.И.Давыдова","type":"book"},"uris":["http://www.mendeley.com/documents/?uuid=ae60aa19-40ba-4605-aba7-98ba41ea5977"]},{"id":"ITEM-2","itemData":{"DOI":"10.1186/1471-2407-11-404/TABLES/2","ISSN":"14712407","PMID":"21943360","abstract":"Background: Febrile neutropenia (FN) occurs following myelosuppressive chemotherapy and is associated with morbidity, mortality, costs, and chemotherapy reductions and delays. Granulocyte colony-stimulating factors (G-CSFs) stimulate neutrophil production and may reduce FN incidence when given prophylactically following chemotherapy.Methods: A systematic review and meta-analysis assessed the effectiveness of G-CSFs (pegfilgrastim, filgrastim or lenograstim) in reducing FN incidence in adults undergoing chemotherapy for solid tumours or lymphoma. G-CSFs were compared with no primary G-CSF prophylaxis and with one another. Nine databases were searched in December 2009. Meta-analysis used a random effects model due to heterogeneity.Results: Twenty studies compared primary G-CSF prophylaxis with no primary G-CSF prophylaxis: five studies of pegfilgrastim; ten of filgrastim; and five of lenograstim. All three G-CSFs significantly reduced FN incidence, with relative risks of 0.30 (95% CI: 0.14 to 0.65) for pegfilgrastim, 0.57 (95% CI: 0.48 to 0.69) for filgrastim, and 0.62 (95% CI: 0.44 to 0.88) for lenograstim. Overall, the relative risk of FN for any primary G-CSF prophylaxis versus no primary G-CSF prophylaxis was 0.51 (95% CI: 0.41 to 0.62). In terms of comparisons between different G-CSFs, five studies compared pegfilgrastim with filgrastim. FN incidence was significantly lower for pegfilgrastim than filgrastim, with a relative risk of 0.66 (95% CI: 0.44 to 0.98).Conclusions: Primary prophylaxis with G-CSFs significantly reduces FN incidence in adults undergoing chemotherapy for solid tumours or lymphoma. Pegfilgrastim reduces FN incidence to a significantly greater extent than filgrastim. © 2011 Cooper et al; licensee BioMed Central Ltd.","author":[{"dropping-particle":"","family":"Cooper","given":"Katy L.","non-dropping-particle":"","parse-names":false,"suffix":""},{"dropping-particle":"","family":"Madan","given":"Jason","non-dropping-particle":"","parse-names":false,"suffix":""},{"dropping-particle":"","family":"Whyte","given":"Sophie","non-dropping-particle":"","parse-names":false,"suffix":""},{"dropping-particle":"","family":"Stevenson","given":"Matt D.","non-dropping-particle":"","parse-names":false,"suffix":""},{"dropping-particle":"","family":"Akehurst","given":"Ron L.","non-dropping-particle":"","parse-names":false,"suffix":""}],"container-title":"BMC Cancer","id":"ITEM-2","issue":"1","issued":{"date-parts":[["2011","9","23"]]},"page":"1-11","publisher":"BioMed Central","title":"Granulocyte colony-stimulating factors for febrile neutropenia prophylaxis following chemotherapy: Systematic review and meta-analysis","type":"article-journal","volume":"11"},"uris":["http://www.mendeley.com/documents/?uuid=d96707b1-fbda-386f-8869-4db217556c08"]},{"id":"ITEM-3","itemData":{"DOI":"10.1016/J.EJCA.2010.10.013","ISSN":"0959-8049","PMID":"21095116","abstract":"&lt;h2&gt;Abstract&lt;/h2&gt;&lt;p&gt;Chemotherapy-induced neutropenia is a major risk factor for infection-related morbidity and mortality and also a significant dose-limiting toxicity in cancer treatment. Patients developing severe (grade 3/4) or febrile neutropenia (FN) during chemotherapy frequently receive dose reductions and/or delays to their chemotherapy. This may impact the success of treatment, particularly when treatment intent is either curative or to prolong survival.&lt;/p&gt;&lt;p&gt;In Europe, prophylactic treatment with granulocyte-colony stimulating factors (G-CSFs), such as filgrastim (including approved biosimilars), lenograstim or pegfilgrastim is available to reduce the risk of chemotherapy-induced neutropenia. However, the use of G-CSF prophylactic treatment varies widely in clinical practice, both in the timing of therapy and in the patients to whom it is offered. The need for generally applicable, European-focused guidelines led to the formation of a European Guidelines Working Party by the European Organisation for Research and Treatment of Cancer (EORTC) and the publication in 2006 of guidelines for the use of G-CSF in adult cancer patients at risk of chemotherapy-induced FN. A new systematic literature review has been undertaken to ensure that recommendations are current and provide guidance on clinical practice in Europe. We recommend that patient-related adverse risk factors, such as elderly age (</w:instrText>
      </w:r>
      <w:r w:rsidR="00D71DD0">
        <w:rPr>
          <w:rFonts w:ascii="Cambria Math" w:hAnsi="Cambria Math" w:cs="Cambria Math"/>
        </w:rPr>
        <w:instrText>⩾</w:instrText>
      </w:r>
      <w:r w:rsidR="00D71DD0">
        <w:instrText>65years) and neutrophil count be evaluated in the overall assessment of FN risk before administering each cycle of chemotherapy. It is important that after a previous episode of FN, patients receive prophylactic administration of G-CSF in subsequent cycles. We provide an expanded list of common chemotherapy regimens considered to have a high (</w:instrText>
      </w:r>
      <w:r w:rsidR="00D71DD0">
        <w:rPr>
          <w:rFonts w:ascii="Cambria Math" w:hAnsi="Cambria Math" w:cs="Cambria Math"/>
        </w:rPr>
        <w:instrText>⩾</w:instrText>
      </w:r>
      <w:r w:rsidR="00D71DD0">
        <w:instrText>20%) or intermediate (10–20%) risk of FN. Prophylactic G-CSF continues to be recommended in patients receiving a chemotherapy regimen with high risk of FN. When using a chemotherapy regimen associated with FN in 10–20% of patients, particular attention should be given to patient-related risk factors that may increase the overall risk of FN. In situations where dose-dense or dose-intense chemotherapy strategies have survival benefits, prophylactic G-CSF support is recommended. Similarly, if reductions in chemotherapy dose intensity or density are known to be associated with a poor prognosis, primary G-CSF prophylaxis may be used to maintain chemotherapy. Clinical evidence shows that filgrastim, lenograstim and pegfilgrast…","author":[{"dropping-particle":"","family":"Aapro","given":"M. S.","non-dropping-particle":"","parse-names":false,"suffix":""},{"dropping-particle":"","family":"Bohlius","given":"J.","non-dropping-particle":"","parse-names":false,"suffix":""},{"dropping-particle":"","family":"Cameron","given":"D. A.","non-dropping-particle":"","parse-names":false,"suffix":""},{"dropping-particle":"","family":"Lago","given":"Lissandra Dal","non-dropping-particle":"","parse-names":false,"suffix":""},{"dropping-particle":"","family":"Donnelly","given":"J. Peter","non-dropping-particle":"","parse-names":false,"suffix":""},{"dropping-particle":"","family":"Kearney","given":"N.","non-dropping-particle":"","parse-names":false,"suffix":""},{"dropping-particle":"","family":"Lyman","given":"G. H.","non-dropping-particle":"","parse-names":false,"suffix":""},{"dropping-particle":"","family":"Pettengell","given":"R.","non-dropping-particle":"","parse-names":false,"suffix":""},{"dropping-particle":"","family":"Tjan-Heijnen","given":"V. C.","non-dropping-particle":"","parse-names":false,"suffix":""},{"dropping-particle":"","family":"Walewski","given":"J.","non-dropping-particle":"","parse-names":false,"suffix":""},{"dropping-particle":"","family":"Weber","given":"Damien C.","non-dropping-particle":"","parse-names":false,"suffix":""},{"dropping-particle":"","family":"Zielinski","given":"C.","non-dropping-particle":"","parse-names":false,"suffix":""}],"container-title":"European Journal of Cancer","id":"ITEM-3","issue":"1","issued":{"date-parts":[["2011","1","1"]]},"page":"8-32","publisher":"Elsevier","title":"2010 update of EORTC guidelines for the use of granulocyte-colony stimulating factor to reduce the incidence of chemotherapy-induced febrile neutropenia in adult patients with lymphoproliferative disorders and solid tumours","type":"article-journal","volume":"47"},"uris":["http://www.mendeley.com/documents/?uuid=7c3e5c1f-319d-3686-93af-0f9cd435b468"]},{"id":"ITEM-4","itemData":{"DOI":"10.1007/S00520-017-3747-Z","ISSN":"1433-7339","PMID":"28551843","abstract":"Purpose: The incidence of and risk factors for febrile neutropenia (FN) in Japanese non-Hodgkin B-cell lymphoma (B-NHL) patients receiving rituximab, cyclophosphamide, doxorubicin, vincristine, and predonisolone (R-CHOP) chemotherapy are unknown. We conducted this study to address this issue. Methods: In this single-center, retrospective, observational study, 466 patients with B-NHL who completed an R-CHOP regimen within a 7-year period and who planned to undergo at least three cycles of this regimen were analyzed. The following FN-related factors were assessed: fever, infection, disease state, neutrophil count, and prophylactic interventions such as use of antibiotics and/or granulocyte colony-stimulating factor (G-CSF). We simulated the FN incidence and 95% confidence interval (CI) of patients without prophylaxis with G-CSF (cycle 1) using bootstrap sampling. Results: The incidence of FN was 9.1% (42 of 462) in cycle 1 and 12.3% (57 of 462 patients) throughout all cycles, with 73.7% (42/57) developing FN during cycle 1. Risk factors for FN among patients with B-NHL treated with R-CHOP were albumin &lt;35 g/L (p = 0.0047), relative dose intensity &lt;85% (p = 0.0007), and lack of prophylaxis with G-CSF (p = 0.0006) in cycle 1. In the simulation analysis, the estimated FN incidence in cycle 1 was 16.2% (95% CI [10.9–22.2]). Conclusions: At 9.1% in cycle 1 and 12.3% throughout all cycles, the incidence of FN was lower than previously reported, possibly reflecting the appropriate use of G-CSF in this clinical setting. For patients with risk factors, the prophylaxis with G-CSF may decrease the occurrence of FN.","author":[{"dropping-particle":"","family":"Yokoyama","given":"Masahiro","non-dropping-particle":"","parse-names":false,"suffix":""},{"dropping-particle":"","family":"Kusano","given":"Yoshiharu","non-dropping-particle":"","parse-names":false,"suffix":""},{"dropping-particle":"","family":"Takahashi","given":"Anna","non-dropping-particle":"","parse-names":false,"suffix":""},{"dropping-particle":"","family":"Inoue","given":"Norihito","non-dropping-particle":"","parse-names":false,"suffix":""},{"dropping-particle":"","family":"Ueda","given":"Kyoko","non-dropping-particle":"","parse-names":false,"suffix":""},{"dropping-particle":"","family":"Nishimura","given":"Noriko","non-dropping-particle":"","parse-names":false,"suffix":""},{"dropping-particle":"","family":"Mishima","given":"Yuko","non-dropping-particle":"","parse-names":false,"suffix":""},{"dropping-particle":"","family":"Terui","given":"Yasuhito","non-dropping-particle":"","parse-names":false,"suffix":""},{"dropping-particle":"","family":"Nukada","given":"Tomoyuki","non-dropping-particle":"","parse-names":false,"suffix":""},{"dropping-particle":"","family":"Nomura","given":"Takanobu","non-dropping-particle":"","parse-names":false,"suffix":""},{"dropping-particle":"","family":"Hatake","given":"Kiyohiko","non-dropping-particle":"","parse-names":false,"suffix":""}],"container-title":"Supportive care in cancer : official journal of the Multinational Association of Supportive Care in Cancer","id":"ITEM-4","issue":"11","issued":{"date-parts":[["2017","11","1"]]},"page":"3313-3320","publisher":"Support Care Cancer","title":"Incidence and risk factors of febrile neutropenia in patients with non-Hodgkin B-cell lymphoma receiving R-CHOP in a single center in Japan","type":"article-journal","volume":"25"},"uris":["http://www.mendeley.com/documents/?uuid=663de8df-f63f-397e-bac6-0fe82756c1f7"]}],"mendeley":{"formattedCitation":"[48–51]","plainTextFormattedCitation":"[48–51]","previouslyFormattedCitation":"[48–51]"},"properties":{"noteIndex":0},"schema":"https://github.com/citation-style-language/schema/raw/master/csl-citation.json"}</w:instrText>
      </w:r>
      <w:r w:rsidRPr="00D37EDF">
        <w:fldChar w:fldCharType="separate"/>
      </w:r>
      <w:r w:rsidR="00F807AF" w:rsidRPr="00F807AF">
        <w:rPr>
          <w:noProof/>
        </w:rPr>
        <w:t>[48–51]</w:t>
      </w:r>
      <w:r w:rsidRPr="00D37EDF">
        <w:fldChar w:fldCharType="end"/>
      </w:r>
      <w:r w:rsidRPr="00D37EDF">
        <w:t>.</w:t>
      </w:r>
    </w:p>
    <w:p w14:paraId="503A9476" w14:textId="77777777" w:rsidR="002334C0" w:rsidRPr="00D37EDF" w:rsidRDefault="002334C0" w:rsidP="002334C0">
      <w:pPr>
        <w:ind w:left="709" w:firstLine="0"/>
        <w:rPr>
          <w:b/>
        </w:rPr>
      </w:pPr>
      <w:r w:rsidRPr="00D37EDF">
        <w:rPr>
          <w:b/>
        </w:rPr>
        <w:t>Уровень убедительности рекомендаций С (уровень достоверности доказательств 5).</w:t>
      </w:r>
    </w:p>
    <w:p w14:paraId="725E4882" w14:textId="58FC1035" w:rsidR="002334C0" w:rsidRDefault="002334C0" w:rsidP="002334C0">
      <w:pPr>
        <w:rPr>
          <w:bCs/>
          <w:i/>
          <w:iCs/>
        </w:rPr>
      </w:pPr>
      <w:r w:rsidRPr="00D37EDF">
        <w:rPr>
          <w:b/>
        </w:rPr>
        <w:t xml:space="preserve">Комментарии: </w:t>
      </w:r>
      <w:r w:rsidRPr="00D37EDF">
        <w:rPr>
          <w:bCs/>
          <w:i/>
          <w:iCs/>
        </w:rPr>
        <w:t>профилактическое назначение Г-КСФ: филграстим 5 мкг/кг подкожно (п/к) через 24-72 часа после окончания введения химиопрепаратов и до восстановления нормального числа нейтрофилов после надира или пэгфилграстим в дозе 6 мг или эмпэгфилграстим в дозе 7,5 мг подкожно, однократно, не менее чем через 24 часа после окончания введения химиопрепаратов в соответствии с инструкцией по медицинскому применению с целью предупреждения развития и лечения нейтропении, вызванной цитотоксической химиотерапией опухолей</w:t>
      </w:r>
      <w:r w:rsidR="00D37EDF">
        <w:rPr>
          <w:bCs/>
          <w:i/>
          <w:iCs/>
        </w:rPr>
        <w:t>.</w:t>
      </w:r>
    </w:p>
    <w:p w14:paraId="479F43D0" w14:textId="30D7423B" w:rsidR="00497CA8" w:rsidRPr="00C7443B" w:rsidRDefault="00497CA8" w:rsidP="00A72B1B">
      <w:pPr>
        <w:pStyle w:val="afd"/>
        <w:numPr>
          <w:ilvl w:val="0"/>
          <w:numId w:val="12"/>
        </w:numPr>
        <w:ind w:left="709" w:hanging="709"/>
      </w:pPr>
      <w:r w:rsidRPr="00C7443B">
        <w:t xml:space="preserve">Пациентам с </w:t>
      </w:r>
      <w:r>
        <w:t>ЛМЗ</w:t>
      </w:r>
      <w:r w:rsidRPr="00C7443B">
        <w:t xml:space="preserve"> после зафиксированного ранее эпизода ФН, дозолимитирующей афебрильной нейтропении (после единственного эпизода удлинения интервалов </w:t>
      </w:r>
      <w:r w:rsidRPr="00C7443B">
        <w:lastRenderedPageBreak/>
        <w:t xml:space="preserve">между курсами и/или редукции дозы) </w:t>
      </w:r>
      <w:r w:rsidRPr="00C7443B">
        <w:rPr>
          <w:b/>
          <w:bCs/>
        </w:rPr>
        <w:t>рекомендована</w:t>
      </w:r>
      <w:r w:rsidRPr="00C7443B">
        <w:t xml:space="preserve"> вторичная профилактика фебрильной нейтропении Г-КСФ </w:t>
      </w:r>
      <w:r w:rsidRPr="00C7443B">
        <w:fldChar w:fldCharType="begin" w:fldLock="1"/>
      </w:r>
      <w:r w:rsidR="00D71DD0">
        <w:instrText>ADDIN CSL_CITATION {"citationItems":[{"id":"ITEM-1","itemData":{"id":"ITEM-1","issued":{"date-parts":[["2020"]]},"title":"Протоколы клинических рекомендаций поддерживающей терапии в онкологии. 4-е издание, переработанное и дополненное. Под редакцией академика РАН М.И.Давыдова","type":"book"},"uris":["http://www.mendeley.com/documents/?uuid=ae60aa19-40ba-4605-aba7-98ba41ea5977"]},{"id":"ITEM-2","itemData":{"DOI":"10.1186/1471-2407-11-404/TABLES/2","ISSN":"14712407","PMID":"21943360","abstract":"Background: Febrile neutropenia (FN) occurs following myelosuppressive chemotherapy and is associated with morbidity, mortality, costs, and chemotherapy reductions and delays. Granulocyte colony-stimulating factors (G-CSFs) stimulate neutrophil production and may reduce FN incidence when given prophylactically following chemotherapy.Methods: A systematic review and meta-analysis assessed the effectiveness of G-CSFs (pegfilgrastim, filgrastim or lenograstim) in reducing FN incidence in adults undergoing chemotherapy for solid tumours or lymphoma. G-CSFs were compared with no primary G-CSF prophylaxis and with one another. Nine databases were searched in December 2009. Meta-analysis used a random effects model due to heterogeneity.Results: Twenty studies compared primary G-CSF prophylaxis with no primary G-CSF prophylaxis: five studies of pegfilgrastim; ten of filgrastim; and five of lenograstim. All three G-CSFs significantly reduced FN incidence, with relative risks of 0.30 (95% CI: 0.14 to 0.65) for pegfilgrastim, 0.57 (95% CI: 0.48 to 0.69) for filgrastim, and 0.62 (95% CI: 0.44 to 0.88) for lenograstim. Overall, the relative risk of FN for any primary G-CSF prophylaxis versus no primary G-CSF prophylaxis was 0.51 (95% CI: 0.41 to 0.62). In terms of comparisons between different G-CSFs, five studies compared pegfilgrastim with filgrastim. FN incidence was significantly lower for pegfilgrastim than filgrastim, with a relative risk of 0.66 (95% CI: 0.44 to 0.98).Conclusions: Primary prophylaxis with G-CSFs significantly reduces FN incidence in adults undergoing chemotherapy for solid tumours or lymphoma. Pegfilgrastim reduces FN incidence to a significantly greater extent than filgrastim. © 2011 Cooper et al; licensee BioMed Central Ltd.","author":[{"dropping-particle":"","family":"Cooper","given":"Katy L.","non-dropping-particle":"","parse-names":false,"suffix":""},{"dropping-particle":"","family":"Madan","given":"Jason","non-dropping-particle":"","parse-names":false,"suffix":""},{"dropping-particle":"","family":"Whyte","given":"Sophie","non-dropping-particle":"","parse-names":false,"suffix":""},{"dropping-particle":"","family":"Stevenson","given":"Matt D.","non-dropping-particle":"","parse-names":false,"suffix":""},{"dropping-particle":"","family":"Akehurst","given":"Ron L.","non-dropping-particle":"","parse-names":false,"suffix":""}],"container-title":"BMC Cancer","id":"ITEM-2","issue":"1","issued":{"date-parts":[["2011","9","23"]]},"page":"1-11","publisher":"BioMed Central","title":"Granulocyte colony-stimulating factors for febrile neutropenia prophylaxis following chemotherapy: Systematic review and meta-analysis","type":"article-journal","volume":"11"},"uris":["http://www.mendeley.com/documents/?uuid=d96707b1-fbda-386f-8869-4db217556c08"]},{"id":"ITEM-3","itemData":{"DOI":"10.1016/J.EJCA.2010.10.013","ISSN":"0959-8049","PMID":"21095116","abstract":"&lt;h2&gt;Abstract&lt;/h2&gt;&lt;p&gt;Chemotherapy-induced neutropenia is a major risk factor for infection-related morbidity and mortality and also a significant dose-limiting toxicity in cancer treatment. Patients developing severe (grade 3/4) or febrile neutropenia (FN) during chemotherapy frequently receive dose reductions and/or delays to their chemotherapy. This may impact the success of treatment, particularly when treatment intent is either curative or to prolong survival.&lt;/p&gt;&lt;p&gt;In Europe, prophylactic treatment with granulocyte-colony stimulating factors (G-CSFs), such as filgrastim (including approved biosimilars), lenograstim or pegfilgrastim is available to reduce the risk of chemotherapy-induced neutropenia. However, the use of G-CSF prophylactic treatment varies widely in clinical practice, both in the timing of therapy and in the patients to whom it is offered. The need for generally applicable, European-focused guidelines led to the formation of a European Guidelines Working Party by the European Organisation for Research and Treatment of Cancer (EORTC) and the publication in 2006 of guidelines for the use of G-CSF in adult cancer patients at risk of chemotherapy-induced FN. A new systematic literature review has been undertaken to ensure that recommendations are current and provide guidance on clinical practice in Europe. We recommend that patient-related adverse risk factors, such as elderly age (</w:instrText>
      </w:r>
      <w:r w:rsidR="00D71DD0">
        <w:rPr>
          <w:rFonts w:ascii="Cambria Math" w:hAnsi="Cambria Math" w:cs="Cambria Math"/>
        </w:rPr>
        <w:instrText>⩾</w:instrText>
      </w:r>
      <w:r w:rsidR="00D71DD0">
        <w:instrText>65years) and neutrophil count be evaluated in the overall assessment of FN risk before administering each cycle of chemotherapy. It is important that after a previous episode of FN, patients receive prophylactic administration of G-CSF in subsequent cycles. We provide an expanded list of common chemotherapy regimens considered to have a high (</w:instrText>
      </w:r>
      <w:r w:rsidR="00D71DD0">
        <w:rPr>
          <w:rFonts w:ascii="Cambria Math" w:hAnsi="Cambria Math" w:cs="Cambria Math"/>
        </w:rPr>
        <w:instrText>⩾</w:instrText>
      </w:r>
      <w:r w:rsidR="00D71DD0">
        <w:instrText>20%) or intermediate (10–20%) risk of FN. Prophylactic G-CSF continues to be recommended in patients receiving a chemotherapy regimen with high risk of FN. When using a chemotherapy regimen associated with FN in 10–20% of patients, particular attention should be given to patient-related risk factors that may increase the overall risk of FN. In situations where dose-dense or dose-intense chemotherapy strategies have survival benefits, prophylactic G-CSF support is recommended. Similarly, if reductions in chemotherapy dose intensity or density are known to be associated with a poor prognosis, primary G-CSF prophylaxis may be used to maintain chemotherapy. Clinical evidence shows that filgrastim, lenograstim and pegfilgrast…","author":[{"dropping-particle":"","family":"Aapro","given":"M. S.","non-dropping-particle":"","parse-names":false,"suffix":""},{"dropping-particle":"","family":"Bohlius","given":"J.","non-dropping-particle":"","parse-names":false,"suffix":""},{"dropping-particle":"","family":"Cameron","given":"D. A.","non-dropping-particle":"","parse-names":false,"suffix":""},{"dropping-particle":"","family":"Lago","given":"Lissandra Dal","non-dropping-particle":"","parse-names":false,"suffix":""},{"dropping-particle":"","family":"Donnelly","given":"J. Peter","non-dropping-particle":"","parse-names":false,"suffix":""},{"dropping-particle":"","family":"Kearney","given":"N.","non-dropping-particle":"","parse-names":false,"suffix":""},{"dropping-particle":"","family":"Lyman","given":"G. H.","non-dropping-particle":"","parse-names":false,"suffix":""},{"dropping-particle":"","family":"Pettengell","given":"R.","non-dropping-particle":"","parse-names":false,"suffix":""},{"dropping-particle":"","family":"Tjan-Heijnen","given":"V. C.","non-dropping-particle":"","parse-names":false,"suffix":""},{"dropping-particle":"","family":"Walewski","given":"J.","non-dropping-particle":"","parse-names":false,"suffix":""},{"dropping-particle":"","family":"Weber","given":"Damien C.","non-dropping-particle":"","parse-names":false,"suffix":""},{"dropping-particle":"","family":"Zielinski","given":"C.","non-dropping-particle":"","parse-names":false,"suffix":""}],"container-title":"European Journal of Cancer","id":"ITEM-3","issue":"1","issued":{"date-parts":[["2011","1","1"]]},"page":"8-32","publisher":"Elsevier","title":"2010 update of EORTC guidelines for the use of granulocyte-colony stimulating factor to reduce the incidence of chemotherapy-induced febrile neutropenia in adult patients with lymphoproliferative disorders and solid tumours","type":"article-journal","volume":"47"},"uris":["http://www.mendeley.com/documents/?uuid=7c3e5c1f-319d-3686-93af-0f9cd435b468"]}],"mendeley":{"formattedCitation":"[48–50]","plainTextFormattedCitation":"[48–50]","previouslyFormattedCitation":"[48–50]"},"properties":{"noteIndex":0},"schema":"https://github.com/citation-style-language/schema/raw/master/csl-citation.json"}</w:instrText>
      </w:r>
      <w:r w:rsidRPr="00C7443B">
        <w:fldChar w:fldCharType="separate"/>
      </w:r>
      <w:r w:rsidR="00F807AF" w:rsidRPr="00F807AF">
        <w:rPr>
          <w:noProof/>
        </w:rPr>
        <w:t>[48–50]</w:t>
      </w:r>
      <w:r w:rsidRPr="00C7443B">
        <w:fldChar w:fldCharType="end"/>
      </w:r>
      <w:r w:rsidRPr="00C7443B">
        <w:t>.</w:t>
      </w:r>
    </w:p>
    <w:p w14:paraId="43F956EF" w14:textId="77777777" w:rsidR="00497CA8" w:rsidRPr="00700C76" w:rsidRDefault="00497CA8" w:rsidP="00497CA8">
      <w:pPr>
        <w:ind w:left="709" w:firstLine="0"/>
        <w:rPr>
          <w:b/>
        </w:rPr>
      </w:pPr>
      <w:r w:rsidRPr="00C7443B">
        <w:rPr>
          <w:b/>
        </w:rPr>
        <w:t>Уровень убедительности рекомендаций С (уровень достоверности доказательств 5).</w:t>
      </w:r>
    </w:p>
    <w:p w14:paraId="4F88D688" w14:textId="0A447A0B" w:rsidR="00497CA8" w:rsidRPr="00FD104C" w:rsidRDefault="00497CA8" w:rsidP="00A72B1B">
      <w:pPr>
        <w:pStyle w:val="afd"/>
        <w:numPr>
          <w:ilvl w:val="0"/>
          <w:numId w:val="12"/>
        </w:numPr>
        <w:ind w:left="709" w:hanging="709"/>
      </w:pPr>
      <w:r w:rsidRPr="00FD104C">
        <w:t xml:space="preserve">Пациентам с </w:t>
      </w:r>
      <w:r>
        <w:t>ЛМЗ</w:t>
      </w:r>
      <w:r w:rsidRPr="00FD104C">
        <w:t xml:space="preserve"> с симптоматической гипогаммаглобулинемией, а также пациентам, страдающим тяжелыми или рецидивирующими инфекциями при неэффективности антибактериальных препаратов, рекомендовано проведение заместительной терапии </w:t>
      </w:r>
      <w:r w:rsidR="00F807AF">
        <w:t>иммуноглобулином</w:t>
      </w:r>
      <w:r w:rsidRPr="00FD104C">
        <w:t xml:space="preserve"> человека нормальным 0,2–0,4 г/кг в/в каждые 3–4 нед. либо 0,05-0,1 г/кг п/к еженедельно в течение 12 мес. для лечения вторичного иммунодефицита </w:t>
      </w:r>
      <w:r w:rsidRPr="00FD104C">
        <w:fldChar w:fldCharType="begin" w:fldLock="1"/>
      </w:r>
      <w:r w:rsidR="00D71DD0">
        <w:instrText>ADDIN CSL_CITATION {"citationItems":[{"id":"ITEM-1","itemData":{"author":[{"dropping-particle":"","family":"Константинова","given":"Т.С.","non-dropping-particle":"","parse-names":false,"suffix":""},{"dropping-particle":"","family":"Клясова","given":"Г.А.","non-dropping-particle":"","parse-names":false,"suffix":""},{"dropping-particle":"","family":"Капланов","given":"К.Д.","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Савченко.","id":"ITEM-1","issued":{"date-parts":[["2018"]]},"page":"289-311","title":"Лечение и профилактика инфекционных осложнений у пациентов с лимфопролиферативными заболеваниями.","type":"chapter"},"uris":["http://www.mendeley.com/documents/?uuid=b8826e3f-ec9d-405b-84e4-56b1a1300212"]},{"id":"ITEM-2","itemData":{"DOI":"10.7861/clinmedicine.16-6-571","ISSN":"14734893","abstract":"Antibody defi ciencies can occur in the context of primary disorders due to inherited genetic defects; however, secondary immune disorders are far more prevalent and can be caused by various diseases and their treatment, certain medications and surgical procedures. Immunoglobulin replacement therapy has been shown to be effective in reducing infections, morbidity and mortality in primary antibody defi ciencies but secondary antibody defi ciencies are in general poorly defi ned and there are no guidelines for the management of patients with this condition. Clinical decisions are based on experience from primary antibody defi ciencies. Both primary and secondary antibody defi ciencies can be associated with infections, immune dysregulation and end-organ damage, causing signifi cant morbidity and mortality. Therefore, it is important to diagnose and treat these patients promptly to minimise adverse effects and improve quality of life. We focus on secondary antibody defi ciency and describe the causes, diagnosis and treatment of this disorder.","author":[{"dropping-particle":"","family":"Srivastava","given":"Sapna","non-dropping-particle":"","parse-names":false,"suffix":""},{"dropping-particle":"","family":"Wood","given":"Philip","non-dropping-particle":"","parse-names":false,"suffix":""}],"container-title":"Clinical Medicine, Journal of the Royal College of Physicians of London","id":"ITEM-2","issued":{"date-parts":[["2016"]]},"title":"Secondary antibody deficiency-causes and approach to diagnosis","type":"article-journal"},"uris":["http://www.mendeley.com/documents/?uuid=122c5237-a104-392a-be50-9d92c8764a3d"]},{"id":"ITEM-3","itemData":{"DOI":"10.1111/EJH.12900","ISSN":"1600-0609","PMID":"28467615","abstract":"Objective: We aimed to describe the current management and outcomes of patients with secondary immunodeficiencies (SID) on intravenous (IV) or subcutaneous (SC) immunoglobulins (IG) as maintenance therapy to prevent infections. Methods: Non-interventional, prospective study (average follow-up 20.5 months). Results: Of the 307 SID patients (mean age 63.7±14.4 years, 52% males, in 31% IG newly initiated), 95.4% received IV IG (mean dosing interval 4.6 weeks, average dose 199 mg/kg per 4 weeks) and 4.6% were treated with SC IG (2.6 weeks, 343 mg/kg per 4 weeks). Median IG through level at first documentation was 5.8 g/L and did not differ between IV and SC treatment or between underlying malignancies. In 24.1% of patients, treatment was interrupted temporarily, over a mean of 11.6±6.3 months. In patients with newly initiated IG treatment the 82% overall infection rate prior to treatment dropped to 21% at 1 year. Conclusions: Under clinical practice conditions, IG replacement therapy in SID patients was feasible, diminished infection rates and improved quality of life. Average IG doses were relatively low. Tolerability of IV IG treatment was excellent.","author":[{"dropping-particle":"","family":"Reiser","given":"Marcel","non-dropping-particle":"","parse-names":false,"suffix":""},{"dropping-particle":"","family":"Borte","given":"Michael","non-dropping-particle":"","parse-names":false,"suffix":""},{"dropping-particle":"","family":"Huscher","given":"Dörte","non-dropping-particle":"","parse-names":false,"suffix":""},{"dropping-particle":"","family":"Baumann","given":"Ulrich","non-dropping-particle":"","parse-names":false,"suffix":""},{"dropping-particle":"","family":"Pittrow","given":"David","non-dropping-particle":"","parse-names":false,"suffix":""},{"dropping-particle":"","family":"Sommer","given":"Claudia","non-dropping-particle":"","parse-names":false,"suffix":""},{"dropping-particle":"","family":"Stangel","given":"Martin","non-dropping-particle":"","parse-names":false,"suffix":""},{"dropping-particle":"","family":"Fasshauer","given":"Maria","non-dropping-particle":"","parse-names":false,"suffix":""},{"dropping-particle":"","family":"Gold","given":"Ralf","non-dropping-particle":"","parse-names":false,"suffix":""},{"dropping-particle":"","family":"Hensel","given":"Manfred","non-dropping-particle":"","parse-names":false,"suffix":""}],"container-title":"European journal of haematology","id":"ITEM-3","issue":"2","issued":{"date-parts":[["2017","8","1"]]},"page":"169-177","publisher":"Eur J Haematol","title":"Management of patients with malignancies and secondary immunodeficiencies treated with immunoglobulins in clinical practice: Long-term data of the SIGNS study","type":"article-journal","volume":"99"},"uris":["http://www.mendeley.com/documents/?uuid=67ab08c7-6318-3d1e-9dcc-69e95c7d13ed"]},{"id":"ITEM-4","itemData":{"DOI":"10.1111/EJH.13078","ISSN":"1600-0609","PMID":"29644723","abstract":"Objective: To describe the characteristics of patients suffering from secondary immunodeficiencies (SID) associated with hematological malignancies (HM), who started immunoglobulin replacement therapy (IgRT), physicians’ expectations regarding IgRT, and IgRT modalities. Methods: Non-interventional, prospective French cross-sectional study. Results: The analysis included 231 patients (66 ± 12 years old) suffering from multiple myeloma (MM) (N = 64), chronic lymphoid leukemia (CLL) (N = 84), aggressive non-Hodgkin B-cell lymphoma (aNHL) (N = 32), indolent NHL (N = 39), acute leukemia (N = 6), and Hodgkin disease (N = 6). Of the HM, 47% were currently treated, 42% were relapsing or refractory, 23% of patients had received an autologous hematopoietic stem-cell transplant, and 1% had received an allograft. Serum immunoglobulin trough levels in 195 individuals were less than 5 g/L in 68.7% of cases. Most patients had a history of recurrent infections. Immunoglobulin dose was about 400 mg/kg/mo. Half of patients started with subcutaneous infusion. When starting IgRT, physicians mainly expected to prevent severe and moderate infections. They also anticipated improvement in quality of life and survival which is beyond evidence-based medicine. Conclusion: NHL is a frequent condition motivating IgRT besides well-recognized indications. Physicians mainly based the decision of starting IgRT on hypogammaglobulinemia and recurrence of infections but, irrespective of current recommendations, were also prepared to start IgRT prophylactically even in the absence of a history of infections.","author":[{"dropping-particle":"","family":"Benbrahim","given":"Omar","non-dropping-particle":"","parse-names":false,"suffix":""},{"dropping-particle":"","family":"Viallard","given":"Jean François","non-dropping-particle":"","parse-names":false,"suffix":""},{"dropping-particle":"","family":"Choquet","given":"Sylvain","non-dropping-particle":"","parse-names":false,"suffix":""},{"dropping-particle":"","family":"Royer","given":"Bruno","non-dropping-particle":"","parse-names":false,"suffix":""},{"dropping-particle":"","family":"Bauduer","given":"Frédéric","non-dropping-particle":"","parse-names":false,"suffix":""},{"dropping-particle":"","family":"Decaux","given":"Olivier","non-dropping-particle":"","parse-names":false,"suffix":""},{"dropping-particle":"","family":"Crave","given":"Jean Charles","non-dropping-particle":"","parse-names":false,"suffix":""},{"dropping-particle":"","family":"Fardini","given":"Yann","non-dropping-particle":"","parse-names":false,"suffix":""},{"dropping-particle":"","family":"Clerson","given":"Pierre","non-dropping-particle":"","parse-names":false,"suffix":""},{"dropping-particle":"","family":"Lévy","given":"Vincent","non-dropping-particle":"","parse-names":false,"suffix":""}],"container-title":"European journal of haematology","id":"ITEM-4","issue":"1","issued":{"date-parts":[["2018","7","1"]]},"page":"48-56","publisher":"Eur J Haematol","title":"A French observational study describing the use of human polyvalent immunoglobulins in hematological malignancy-associated secondary immunodeficiency","type":"article-journal","volume":"101"},"uris":["http://www.mendeley.com/documents/?uuid=a3bd6dba-d328-3776-b922-9274e919a4ce"]}],"mendeley":{"formattedCitation":"[9,52–54]","plainTextFormattedCitation":"[9,52–54]","previouslyFormattedCitation":"[9,52–54]"},"properties":{"noteIndex":0},"schema":"https://github.com/citation-style-language/schema/raw/master/csl-citation.json"}</w:instrText>
      </w:r>
      <w:r w:rsidRPr="00FD104C">
        <w:fldChar w:fldCharType="separate"/>
      </w:r>
      <w:r w:rsidR="00F807AF" w:rsidRPr="00F807AF">
        <w:rPr>
          <w:noProof/>
        </w:rPr>
        <w:t>[9,52–54]</w:t>
      </w:r>
      <w:r w:rsidRPr="00FD104C">
        <w:fldChar w:fldCharType="end"/>
      </w:r>
      <w:r w:rsidRPr="00FD104C">
        <w:t xml:space="preserve"> </w:t>
      </w:r>
    </w:p>
    <w:p w14:paraId="4F9AF2BA" w14:textId="77777777" w:rsidR="00497CA8" w:rsidRPr="00FD104C" w:rsidRDefault="00497CA8" w:rsidP="00497CA8">
      <w:pPr>
        <w:ind w:left="709" w:firstLine="0"/>
        <w:rPr>
          <w:b/>
        </w:rPr>
      </w:pPr>
      <w:r w:rsidRPr="00FD104C">
        <w:rPr>
          <w:b/>
        </w:rPr>
        <w:t>Уровень убедительности рекомендаций С (уровень достоверности доказательств 5).</w:t>
      </w:r>
    </w:p>
    <w:p w14:paraId="065EA2D0" w14:textId="77777777" w:rsidR="00497CA8" w:rsidRDefault="00497CA8" w:rsidP="00497CA8">
      <w:pPr>
        <w:rPr>
          <w:bCs/>
          <w:i/>
          <w:iCs/>
        </w:rPr>
      </w:pPr>
      <w:r w:rsidRPr="00FD104C">
        <w:rPr>
          <w:b/>
        </w:rPr>
        <w:t xml:space="preserve">Комментарий: </w:t>
      </w:r>
      <w:r w:rsidRPr="00FD104C">
        <w:rPr>
          <w:bCs/>
          <w:i/>
          <w:iCs/>
        </w:rPr>
        <w:t>терапия проводится под контролем уровня IgG каждые 6 мес., пересмотр дозы каждые 6 мес. После завершения терапии проводится пожизненное</w:t>
      </w:r>
      <w:r w:rsidRPr="00700C76">
        <w:rPr>
          <w:bCs/>
          <w:i/>
          <w:iCs/>
        </w:rPr>
        <w:t xml:space="preserve"> мониторирование уровня IgG 1 раз в год, в случае повторного снижения IgG&lt;4 г/л выполняются повторные курсы заместительной терапии аналогичным препаратом в аналогичном режиме в течение 12 мес.</w:t>
      </w:r>
    </w:p>
    <w:p w14:paraId="69603620" w14:textId="09F5D143" w:rsidR="008A786B" w:rsidRPr="008A786B" w:rsidRDefault="00497CA8" w:rsidP="008A786B">
      <w:pPr>
        <w:rPr>
          <w:i/>
          <w:iCs/>
        </w:rPr>
      </w:pPr>
      <w:r w:rsidRPr="00FD104C">
        <w:rPr>
          <w:i/>
          <w:iCs/>
        </w:rPr>
        <w:t xml:space="preserve">Подкожное введение Ig вызывает меньше системных нежелательных явлений, обеспечивает стабильные уровни Ig, а самостоятельное введение Ig в домашних условиях является преимуществом для ряда пациентов </w:t>
      </w:r>
      <w:r w:rsidRPr="00FD104C">
        <w:rPr>
          <w:i/>
          <w:iCs/>
        </w:rPr>
        <w:fldChar w:fldCharType="begin" w:fldLock="1"/>
      </w:r>
      <w:r w:rsidR="00D71DD0">
        <w:rPr>
          <w:i/>
          <w:iCs/>
        </w:rPr>
        <w:instrText>ADDIN CSL_CITATION {"citationItems":[{"id":"ITEM-1","itemData":{"DOI":"10.1111/EJH.13580","ISSN":"1600-0609","PMID":"33453130","abstract":"Objectives: Secondary antibody deficiency (SAD), associated with severe, recurrent or persistent infections, is common in patients with haematological malignancies (HM), but unifying guidance on immunoglobulin replacement therapy (IgRT) in these patients is lacking. We aimed to develop consensus statements for the use of IgRT in patients with HM. Methods: A Delphi exercise was employed to test the level of agreement on statements developed by a Task Force based on available data and their clinical experience. In Round 1, an Expert Panel, comprising specialist EU physicians caring for patients with HM, helped to refine the statements. In Round 2, experts rated their agreement with the statements. In Round 3, experts who had scored their agreement as ≤4 were invited to review their agreement based on the overall feedback. Results: Three definitions and 20 statements were formulated and tested for consensus, covering measurement of IgG levels, initiation and discontinuation of IgRT, dosing, and the use of subcutaneous IgG. Consensus (agreement ≥70% on Likert-type scale) was reached for all three definitions and 18 statements. Conclusions: Recommendations have been developed with the aim of providing guidance for the use of IgRT to prevent severe, recurrent or persistent infections in patients with HM and SAD.","author":[{"dropping-particle":"","family":"Jolles","given":"Stephen","non-dropping-particle":"","parse-names":false,"suffix":""},{"dropping-particle":"","family":"Michallet","given":"Mauricette","non-dropping-particle":"","parse-names":false,"suffix":""},{"dropping-particle":"","family":"Agostini","given":"Carlo","non-dropping-particle":"","parse-names":false,"suffix":""},{"dropping-particle":"","family":"Albert","given":"Michael H.","non-dropping-particle":"","parse-names":false,"suffix":""},{"dropping-particle":"","family":"Edgar","given":"David","non-dropping-particle":"","parse-names":false,"suffix":""},{"dropping-particle":"","family":"Ria","given":"Roberto","non-dropping-particle":"","parse-names":false,"suffix":""},{"dropping-particle":"","family":"Trentin","given":"Livio","non-dropping-particle":"","parse-names":false,"suffix":""},{"dropping-particle":"","family":"Lévy","given":"Vincent","non-dropping-particle":"","parse-names":false,"suffix":""}],"container-title":"European journal of haematology","id":"ITEM-1","issue":"4","issued":{"date-parts":[["2021","4","1"]]},"page":"439-449","publisher":"Eur J Haematol","title":"Treating secondary antibody deficiency in patients with haematological malignancy: European expert consensus","type":"article-journal","volume":"106"},"uris":["http://www.mendeley.com/documents/?uuid=2a7f1708-6a34-39ce-b323-607a1bbe54b4"]}],"mendeley":{"formattedCitation":"[55]","plainTextFormattedCitation":"[55]","previouslyFormattedCitation":"[55]"},"properties":{"noteIndex":0},"schema":"https://github.com/citation-style-language/schema/raw/master/csl-citation.json"}</w:instrText>
      </w:r>
      <w:r w:rsidRPr="00FD104C">
        <w:rPr>
          <w:i/>
          <w:iCs/>
        </w:rPr>
        <w:fldChar w:fldCharType="separate"/>
      </w:r>
      <w:r w:rsidR="00F807AF" w:rsidRPr="00F807AF">
        <w:rPr>
          <w:iCs/>
          <w:noProof/>
        </w:rPr>
        <w:t>[55]</w:t>
      </w:r>
      <w:r w:rsidRPr="00FD104C">
        <w:rPr>
          <w:i/>
          <w:iCs/>
        </w:rPr>
        <w:fldChar w:fldCharType="end"/>
      </w:r>
      <w:r w:rsidRPr="00FD104C">
        <w:rPr>
          <w:i/>
          <w:iCs/>
        </w:rPr>
        <w:t>.</w:t>
      </w:r>
    </w:p>
    <w:p w14:paraId="1C6F8662" w14:textId="3591A799" w:rsidR="008A786B" w:rsidRPr="006641A3" w:rsidRDefault="008A786B" w:rsidP="00A72B1B">
      <w:pPr>
        <w:pStyle w:val="afd"/>
        <w:numPr>
          <w:ilvl w:val="0"/>
          <w:numId w:val="11"/>
        </w:numPr>
        <w:ind w:left="709" w:hanging="709"/>
      </w:pPr>
      <w:r>
        <w:t>П</w:t>
      </w:r>
      <w:r w:rsidRPr="006641A3">
        <w:t xml:space="preserve">ациентам </w:t>
      </w:r>
      <w:r w:rsidRPr="006641A3">
        <w:rPr>
          <w:lang w:val="en-US"/>
        </w:rPr>
        <w:t>c</w:t>
      </w:r>
      <w:r>
        <w:t xml:space="preserve"> ЛМЗ</w:t>
      </w:r>
      <w:r w:rsidRPr="006641A3">
        <w:t xml:space="preserve">, получающим </w:t>
      </w:r>
      <w:r>
        <w:t>лечение леналидомидом**</w:t>
      </w:r>
      <w:r w:rsidRPr="006641A3">
        <w:t xml:space="preserve">, </w:t>
      </w:r>
      <w:r w:rsidRPr="006641A3">
        <w:rPr>
          <w:b/>
        </w:rPr>
        <w:t xml:space="preserve">рекомендована </w:t>
      </w:r>
      <w:r w:rsidRPr="006641A3">
        <w:rPr>
          <w:bCs/>
        </w:rPr>
        <w:t xml:space="preserve">профилактика </w:t>
      </w:r>
      <w:r>
        <w:rPr>
          <w:bCs/>
        </w:rPr>
        <w:t>тромбозов аспирином** (81-100 мг) для пациентов стандартного риска венозной тромбоэмболии (ВТЭ) или низкомолекулярными гепаринами для пациентов высокого риска ВТЭ на протяжении всего периода терапии</w:t>
      </w:r>
      <w:r w:rsidR="00EF3174">
        <w:rPr>
          <w:bCs/>
        </w:rPr>
        <w:t xml:space="preserve"> (см. раздел 7.5 данных рекомендаций)</w:t>
      </w:r>
      <w:r>
        <w:t xml:space="preserve"> </w:t>
      </w:r>
      <w:r w:rsidRPr="006641A3">
        <w:fldChar w:fldCharType="begin" w:fldLock="1"/>
      </w:r>
      <w:r w:rsidR="00D71DD0">
        <w:instrText>ADDIN CSL_CITATION {"citationItems":[{"id":"ITEM-1","itemData":{"id":"ITEM-1","issued":{"date-parts":[["2020"]]},"title":"Инструкция по медицинскому применению лекавственного препарата Ревлимид® (Revlimid®), регистрационный номер ЛП-003739","type":"article"},"uris":["http://www.mendeley.com/documents/?uuid=8a945cf2-923b-4346-8fd6-3278a0ae9c06"]}],"mendeley":{"formattedCitation":"[56]","plainTextFormattedCitation":"[56]","previouslyFormattedCitation":"[56]"},"properties":{"noteIndex":0},"schema":"https://github.com/citation-style-language/schema/raw/master/csl-citation.json"}</w:instrText>
      </w:r>
      <w:r w:rsidRPr="006641A3">
        <w:fldChar w:fldCharType="separate"/>
      </w:r>
      <w:r w:rsidR="00F807AF" w:rsidRPr="00F807AF">
        <w:rPr>
          <w:noProof/>
        </w:rPr>
        <w:t>[56]</w:t>
      </w:r>
      <w:r w:rsidRPr="006641A3">
        <w:fldChar w:fldCharType="end"/>
      </w:r>
      <w:r w:rsidRPr="006641A3">
        <w:t>.</w:t>
      </w:r>
    </w:p>
    <w:p w14:paraId="7D832A66" w14:textId="77777777" w:rsidR="008A786B" w:rsidRDefault="008A786B" w:rsidP="008A786B">
      <w:pPr>
        <w:ind w:left="709" w:firstLine="0"/>
        <w:contextualSpacing/>
        <w:rPr>
          <w:b/>
        </w:rPr>
      </w:pPr>
      <w:r w:rsidRPr="006641A3">
        <w:rPr>
          <w:b/>
        </w:rPr>
        <w:t>Уровень убедительности рекомендаций С (уровень достоверности доказательств 5).</w:t>
      </w:r>
    </w:p>
    <w:p w14:paraId="65F4F619" w14:textId="504D239E" w:rsidR="008A786B" w:rsidRDefault="008A786B" w:rsidP="008A786B">
      <w:pPr>
        <w:pStyle w:val="aff1"/>
        <w:ind w:left="0" w:firstLine="709"/>
        <w:rPr>
          <w:b w:val="0"/>
          <w:i/>
          <w:iCs/>
        </w:rPr>
      </w:pPr>
      <w:r w:rsidRPr="008A786B">
        <w:rPr>
          <w:bCs/>
        </w:rPr>
        <w:t xml:space="preserve">Комментарий: </w:t>
      </w:r>
      <w:r w:rsidRPr="008A786B">
        <w:rPr>
          <w:b w:val="0"/>
          <w:i/>
          <w:iCs/>
        </w:rPr>
        <w:t>если у пациента появились симптомы ВТЭ, необходимо прекратить лечение леналидомидом** и назначить стандартную антикоагулянтную терапию. После того, как состояние пациента стабилизируется на антикоагулянтной терапии, и симптомы ТЭ будут устранены, можно вновь начать лечение леналидомидом** в той же дозе при благоприятной оценке соотношения польза/риск. Пациенту следует продолжить антикоагулянтную терапию в течение всего дальнейшего лечения леналидомидом**.</w:t>
      </w:r>
    </w:p>
    <w:p w14:paraId="27FEFEAF" w14:textId="628C9934" w:rsidR="00F807AF" w:rsidRPr="006641A3" w:rsidRDefault="00F807AF" w:rsidP="00A72B1B">
      <w:pPr>
        <w:pStyle w:val="afd"/>
        <w:numPr>
          <w:ilvl w:val="0"/>
          <w:numId w:val="12"/>
        </w:numPr>
        <w:ind w:left="709" w:hanging="709"/>
        <w:rPr>
          <w:color w:val="000000"/>
        </w:rPr>
      </w:pPr>
      <w:r w:rsidRPr="006641A3">
        <w:rPr>
          <w:color w:val="000000"/>
        </w:rPr>
        <w:lastRenderedPageBreak/>
        <w:t xml:space="preserve">Пациентам с </w:t>
      </w:r>
      <w:r>
        <w:t>ЛМЗ</w:t>
      </w:r>
      <w:r w:rsidRPr="006641A3">
        <w:rPr>
          <w:color w:val="000000"/>
        </w:rPr>
        <w:t xml:space="preserve"> при возникновении острого или хронического болевого синдрома </w:t>
      </w:r>
      <w:r w:rsidRPr="006641A3">
        <w:rPr>
          <w:b/>
          <w:color w:val="000000"/>
        </w:rPr>
        <w:t>рекомендуется</w:t>
      </w:r>
      <w:r w:rsidRPr="006641A3">
        <w:rPr>
          <w:color w:val="000000"/>
        </w:rPr>
        <w:t xml:space="preserve"> провести диагностику причины болевого синдрома и последующую патогенетическую или симптоматическую терапию болевого синдрома </w:t>
      </w:r>
      <w:r w:rsidRPr="006641A3">
        <w:rPr>
          <w:color w:val="000000"/>
        </w:rPr>
        <w:fldChar w:fldCharType="begin" w:fldLock="1"/>
      </w:r>
      <w:r w:rsidR="00EF3174">
        <w:rPr>
          <w:color w:val="000000"/>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-2","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Савченко.","id":"ITEM-2","issued":{"date-parts":[["2018"]]},"page":"278-288","title":"Лечение болевого синдрома у онкологических больных","type":"chapter"},"uris":["http://www.mendeley.com/documents/?uuid=3021caae-334d-4ac5-97a6-7ea5587353dc"]}],"mendeley":{"formattedCitation":"[57,58]","plainTextFormattedCitation":"[57,58]","previouslyFormattedCitation":"[57,58]"},"properties":{"noteIndex":0},"schema":"https://github.com/citation-style-language/schema/raw/master/csl-citation.json"}</w:instrText>
      </w:r>
      <w:r w:rsidRPr="006641A3">
        <w:rPr>
          <w:color w:val="000000"/>
        </w:rPr>
        <w:fldChar w:fldCharType="separate"/>
      </w:r>
      <w:r w:rsidR="00D71DD0" w:rsidRPr="00D71DD0">
        <w:rPr>
          <w:noProof/>
          <w:color w:val="000000"/>
        </w:rPr>
        <w:t>[57,58]</w:t>
      </w:r>
      <w:r w:rsidRPr="006641A3">
        <w:rPr>
          <w:color w:val="000000"/>
        </w:rPr>
        <w:fldChar w:fldCharType="end"/>
      </w:r>
      <w:r w:rsidRPr="006641A3">
        <w:rPr>
          <w:color w:val="000000"/>
        </w:rPr>
        <w:t>.</w:t>
      </w:r>
    </w:p>
    <w:p w14:paraId="7C7D51EB" w14:textId="77777777" w:rsidR="00F807AF" w:rsidRPr="006641A3" w:rsidRDefault="00F807AF" w:rsidP="00F807AF">
      <w:pPr>
        <w:ind w:left="709" w:firstLine="0"/>
        <w:contextualSpacing/>
        <w:rPr>
          <w:b/>
          <w:color w:val="000000"/>
        </w:rPr>
      </w:pPr>
      <w:r w:rsidRPr="006641A3">
        <w:rPr>
          <w:b/>
          <w:color w:val="000000"/>
        </w:rPr>
        <w:t>Уровень убедительности рекомендаций – С (уровень достоверности доказательств – 5)</w:t>
      </w:r>
    </w:p>
    <w:p w14:paraId="3A5C510C" w14:textId="77777777" w:rsidR="00F807AF" w:rsidRPr="008A786B" w:rsidRDefault="00F807AF" w:rsidP="008A786B">
      <w:pPr>
        <w:pStyle w:val="aff1"/>
        <w:ind w:left="0" w:firstLine="709"/>
        <w:rPr>
          <w:b w:val="0"/>
        </w:rPr>
      </w:pPr>
    </w:p>
    <w:p w14:paraId="04984952" w14:textId="77777777" w:rsidR="000414F6" w:rsidRPr="00C81573" w:rsidRDefault="00CB71DA" w:rsidP="00F05351">
      <w:pPr>
        <w:pStyle w:val="afff1"/>
      </w:pPr>
      <w:bookmarkStart w:id="66" w:name="_Toc11747746"/>
      <w:bookmarkStart w:id="67" w:name="_Toc103332103"/>
      <w:r w:rsidRPr="00F05351">
        <w:lastRenderedPageBreak/>
        <w:t xml:space="preserve">4. </w:t>
      </w:r>
      <w:bookmarkStart w:id="68" w:name="OLE_LINK1"/>
      <w:bookmarkStart w:id="69" w:name="OLE_LINK2"/>
      <w:bookmarkEnd w:id="49"/>
      <w:bookmarkEnd w:id="66"/>
      <w:r w:rsidR="00F0321D" w:rsidRPr="00F05351">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67"/>
      <w:bookmarkEnd w:id="68"/>
      <w:bookmarkEnd w:id="69"/>
    </w:p>
    <w:p w14:paraId="5797D82C" w14:textId="2CF7C51F" w:rsidR="007D7257" w:rsidRDefault="007D7257" w:rsidP="007D7257">
      <w:pPr>
        <w:pStyle w:val="1"/>
      </w:pPr>
      <w:bookmarkStart w:id="70" w:name="__RefHeading___doc_5"/>
      <w:r>
        <w:t>Всем пациентам с ЛМЗ</w:t>
      </w:r>
      <w:r w:rsidRPr="007D7257">
        <w:t xml:space="preserve"> </w:t>
      </w:r>
      <w:r>
        <w:t xml:space="preserve">на всех этапах терапии заболевания, а также после завершения лекарственного лечения </w:t>
      </w:r>
      <w:r w:rsidRPr="00B76E9B">
        <w:rPr>
          <w:b/>
        </w:rPr>
        <w:t>рекомендуется</w:t>
      </w:r>
      <w:r>
        <w:t xml:space="preserve"> комплексная реабилитация, а также, при необходимости, поддерживающая терапия</w:t>
      </w:r>
      <w:r w:rsidRPr="007D7257">
        <w:t xml:space="preserve"> </w:t>
      </w:r>
      <w:r>
        <w:fldChar w:fldCharType="begin" w:fldLock="1"/>
      </w:r>
      <w:r w:rsidR="00EF3174">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[59]","plainTextFormattedCitation":"[59]","previouslyFormattedCitation":"[59]"},"properties":{"noteIndex":0},"schema":"https://github.com/citation-style-language/schema/raw/master/csl-citation.json"}</w:instrText>
      </w:r>
      <w:r>
        <w:fldChar w:fldCharType="separate"/>
      </w:r>
      <w:r w:rsidR="00D71DD0" w:rsidRPr="00D71DD0">
        <w:rPr>
          <w:noProof/>
        </w:rPr>
        <w:t>[59]</w:t>
      </w:r>
      <w:r>
        <w:fldChar w:fldCharType="end"/>
      </w:r>
      <w:r>
        <w:t xml:space="preserve">. </w:t>
      </w:r>
    </w:p>
    <w:p w14:paraId="774CE699" w14:textId="77777777" w:rsidR="007D7257" w:rsidRPr="00B76E9B" w:rsidRDefault="007D7257" w:rsidP="007D7257">
      <w:pPr>
        <w:ind w:left="709" w:firstLine="0"/>
        <w:contextualSpacing/>
        <w:rPr>
          <w:b/>
        </w:rPr>
      </w:pPr>
      <w:r w:rsidRPr="00F6217A">
        <w:rPr>
          <w:b/>
        </w:rPr>
        <w:t xml:space="preserve">Уровень убедительности рекомендаций </w:t>
      </w:r>
      <w:r w:rsidRPr="00F6217A">
        <w:rPr>
          <w:b/>
          <w:lang w:val="en-US"/>
        </w:rPr>
        <w:t>C</w:t>
      </w:r>
      <w:r w:rsidRPr="00F6217A">
        <w:rPr>
          <w:b/>
        </w:rPr>
        <w:t xml:space="preserve"> (уровень достоверности доказательств 5).</w:t>
      </w:r>
    </w:p>
    <w:p w14:paraId="0369620F" w14:textId="2902C784" w:rsidR="007D7257" w:rsidRDefault="007D7257" w:rsidP="007D7257">
      <w:pPr>
        <w:contextualSpacing/>
        <w:rPr>
          <w:i/>
        </w:rPr>
      </w:pPr>
      <w:r w:rsidRPr="00B76E9B">
        <w:rPr>
          <w:b/>
        </w:rPr>
        <w:t>Комментарий:</w:t>
      </w:r>
      <w:r w:rsidRPr="007D7257">
        <w:rPr>
          <w:b/>
        </w:rPr>
        <w:t xml:space="preserve"> </w:t>
      </w:r>
      <w:r w:rsidRPr="00824F7E">
        <w:rPr>
          <w:i/>
        </w:rPr>
        <w:t xml:space="preserve">специальных методов реабилитации при </w:t>
      </w:r>
      <w:r>
        <w:rPr>
          <w:i/>
        </w:rPr>
        <w:t>ЛМЗ</w:t>
      </w:r>
      <w:r w:rsidRPr="00824F7E">
        <w:rPr>
          <w:i/>
        </w:rPr>
        <w:t xml:space="preserve"> не существует. Реабилитация пациентов с </w:t>
      </w:r>
      <w:r>
        <w:rPr>
          <w:i/>
        </w:rPr>
        <w:t>ЛМЗ</w:t>
      </w:r>
      <w:r w:rsidRPr="00824F7E">
        <w:rPr>
          <w:i/>
        </w:rPr>
        <w:t xml:space="preserve"> должна носить комплексный характер, охватывая не только медицинские, но и социально-психологические аспекты адаптации пациента к нормальной жизни. Такая реабилитация требует</w:t>
      </w:r>
      <w:r>
        <w:rPr>
          <w:i/>
        </w:rPr>
        <w:t>,</w:t>
      </w:r>
      <w:r w:rsidRPr="00824F7E">
        <w:rPr>
          <w:i/>
        </w:rPr>
        <w:t xml:space="preserve"> кроме медицинской помощи</w:t>
      </w:r>
      <w:r>
        <w:rPr>
          <w:i/>
        </w:rPr>
        <w:t>,</w:t>
      </w:r>
      <w:r w:rsidRPr="00824F7E">
        <w:rPr>
          <w:i/>
        </w:rPr>
        <w:t xml:space="preserve"> обязательного участия социальных работников и психологов. Программы реабилитации разрабатываются индивидуально, в зависимости от выявленных осложнений лекарственного лечения, сопутствующей патологии, социальных и психологических проблем.</w:t>
      </w:r>
    </w:p>
    <w:p w14:paraId="1719E5F6" w14:textId="6FC21340" w:rsidR="007D7257" w:rsidRPr="007D7257" w:rsidRDefault="007D7257" w:rsidP="007D7257">
      <w:pPr>
        <w:contextualSpacing/>
        <w:rPr>
          <w:b/>
          <w:i/>
          <w:iCs/>
        </w:rPr>
      </w:pPr>
      <w:r w:rsidRPr="007D7257">
        <w:rPr>
          <w:i/>
          <w:iCs/>
        </w:rPr>
        <w:t>Реабилитация при возникновении осложнений в течение заболевания и лечения проводится в рамках соответствующих нозологий.</w:t>
      </w:r>
    </w:p>
    <w:p w14:paraId="77B5A13C" w14:textId="77777777" w:rsidR="00A43CE5" w:rsidRPr="00C81573" w:rsidRDefault="00094ED6" w:rsidP="00F05351">
      <w:pPr>
        <w:pStyle w:val="afff1"/>
      </w:pPr>
      <w:bookmarkStart w:id="71" w:name="_Toc11747747"/>
      <w:bookmarkStart w:id="72" w:name="_Toc103332104"/>
      <w:r w:rsidRPr="00C81573">
        <w:lastRenderedPageBreak/>
        <w:t xml:space="preserve">5. </w:t>
      </w:r>
      <w:r w:rsidR="00CB71DA" w:rsidRPr="00C81573">
        <w:t>Профилактика</w:t>
      </w:r>
      <w:bookmarkEnd w:id="70"/>
      <w:r w:rsidR="00B104EF" w:rsidRPr="00C81573">
        <w:t xml:space="preserve"> и диспансерное наблюдение</w:t>
      </w:r>
      <w:r w:rsidR="00A43CE5" w:rsidRPr="00C81573">
        <w:t>,</w:t>
      </w:r>
      <w:r w:rsidR="00F0321D">
        <w:t xml:space="preserve"> </w:t>
      </w:r>
      <w:r w:rsidR="00A43CE5" w:rsidRPr="00C81573">
        <w:t>медицинские показания и противопоказания к применению методов профилактики</w:t>
      </w:r>
      <w:bookmarkEnd w:id="71"/>
      <w:bookmarkEnd w:id="72"/>
    </w:p>
    <w:p w14:paraId="51ADB7F1" w14:textId="77777777" w:rsidR="007D7257" w:rsidRPr="00F6744D" w:rsidRDefault="007D7257" w:rsidP="007D7257">
      <w:pPr>
        <w:rPr>
          <w:rFonts w:eastAsia="Times New Roman"/>
          <w:szCs w:val="24"/>
        </w:rPr>
      </w:pPr>
      <w:bookmarkStart w:id="73" w:name="__RefHeading___doc_6"/>
      <w:r w:rsidRPr="00F6744D">
        <w:rPr>
          <w:i/>
          <w:iCs/>
        </w:rPr>
        <w:t xml:space="preserve">Методов профилактики </w:t>
      </w:r>
      <w:r>
        <w:rPr>
          <w:i/>
          <w:iCs/>
        </w:rPr>
        <w:t>ЛМЗ</w:t>
      </w:r>
      <w:r w:rsidRPr="00F6744D">
        <w:rPr>
          <w:i/>
          <w:iCs/>
        </w:rPr>
        <w:t xml:space="preserve"> в настоящее время не существует, поскольку неизвест</w:t>
      </w:r>
      <w:r>
        <w:rPr>
          <w:i/>
          <w:iCs/>
        </w:rPr>
        <w:t>ны</w:t>
      </w:r>
      <w:r w:rsidRPr="00F6744D">
        <w:rPr>
          <w:i/>
          <w:iCs/>
        </w:rPr>
        <w:t xml:space="preserve"> этиологически</w:t>
      </w:r>
      <w:r>
        <w:rPr>
          <w:i/>
          <w:iCs/>
        </w:rPr>
        <w:t>е</w:t>
      </w:r>
      <w:r w:rsidRPr="00F6744D">
        <w:rPr>
          <w:i/>
          <w:iCs/>
        </w:rPr>
        <w:t xml:space="preserve"> факторы, ведущие к развитию заболевания.</w:t>
      </w:r>
    </w:p>
    <w:p w14:paraId="107674DE" w14:textId="27D2FB23" w:rsidR="007D7257" w:rsidRDefault="007D7257" w:rsidP="00A72B1B">
      <w:pPr>
        <w:pStyle w:val="afd"/>
        <w:numPr>
          <w:ilvl w:val="0"/>
          <w:numId w:val="12"/>
        </w:numPr>
        <w:spacing w:before="120"/>
        <w:ind w:left="709" w:hanging="425"/>
      </w:pPr>
      <w:r>
        <w:t>Взрослым</w:t>
      </w:r>
      <w:r w:rsidRPr="00F6744D">
        <w:t xml:space="preserve"> пациентам</w:t>
      </w:r>
      <w:r>
        <w:t>, завершившим лечение по поводу</w:t>
      </w:r>
      <w:r w:rsidRPr="007D7257">
        <w:t xml:space="preserve"> </w:t>
      </w:r>
      <w:r>
        <w:t>ЛМЗ с достижением ПР,</w:t>
      </w:r>
      <w:r w:rsidRPr="007D7257">
        <w:t xml:space="preserve"> </w:t>
      </w:r>
      <w:r>
        <w:rPr>
          <w:b/>
          <w:bCs/>
        </w:rPr>
        <w:t>рекомендуется</w:t>
      </w:r>
      <w:r w:rsidRPr="007D7257">
        <w:rPr>
          <w:b/>
          <w:bCs/>
        </w:rPr>
        <w:t xml:space="preserve"> </w:t>
      </w:r>
      <w:r>
        <w:t xml:space="preserve">диспансерный прием (осмотр, консультация) врача-онколга или врача-гематолога с соблюдением следующей частоты обследований пациента - </w:t>
      </w:r>
      <w:r w:rsidRPr="00655C97">
        <w:t xml:space="preserve">в течение первого года </w:t>
      </w:r>
      <w:r>
        <w:t xml:space="preserve">после завершения терапии </w:t>
      </w:r>
      <w:r w:rsidRPr="00655C97">
        <w:t>каждые 3 месяца, 2-го года – каждые 6 месяцев, в дальнейшем – ежегодно</w:t>
      </w:r>
      <w:r>
        <w:t>, после 5 лет – каждые 2 года</w:t>
      </w:r>
      <w:r w:rsidRPr="007D7257">
        <w:t xml:space="preserve"> </w:t>
      </w:r>
      <w:r>
        <w:fldChar w:fldCharType="begin" w:fldLock="1"/>
      </w:r>
      <w: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[4]","plainTextFormattedCitation":"[4]","previouslyFormattedCitation":"[4]"},"properties":{"noteIndex":0},"schema":"https://github.com/citation-style-language/schema/raw/master/csl-citation.json"}</w:instrText>
      </w:r>
      <w:r>
        <w:fldChar w:fldCharType="separate"/>
      </w:r>
      <w:r w:rsidRPr="00090D97">
        <w:rPr>
          <w:noProof/>
        </w:rPr>
        <w:t>[4]</w:t>
      </w:r>
      <w:r>
        <w:fldChar w:fldCharType="end"/>
      </w:r>
      <w:r w:rsidRPr="00655C97">
        <w:t>.</w:t>
      </w:r>
    </w:p>
    <w:p w14:paraId="2B6E13BC" w14:textId="77777777" w:rsidR="007D7257" w:rsidRDefault="007D7257" w:rsidP="007D7257">
      <w:pPr>
        <w:ind w:left="709" w:firstLine="0"/>
        <w:contextualSpacing/>
        <w:rPr>
          <w:b/>
        </w:rPr>
      </w:pPr>
      <w:r w:rsidRPr="00F6217A">
        <w:rPr>
          <w:b/>
        </w:rPr>
        <w:t xml:space="preserve">Уровень убедительности рекомендаций </w:t>
      </w:r>
      <w:r w:rsidRPr="00F6217A">
        <w:rPr>
          <w:b/>
          <w:lang w:val="en-US"/>
        </w:rPr>
        <w:t>C</w:t>
      </w:r>
      <w:r w:rsidRPr="00F6217A">
        <w:rPr>
          <w:b/>
        </w:rPr>
        <w:t xml:space="preserve"> (уровень достоверности доказательств 5).</w:t>
      </w:r>
    </w:p>
    <w:p w14:paraId="056308CA" w14:textId="63F94634" w:rsidR="006425FF" w:rsidRPr="007D7257" w:rsidRDefault="007D7257" w:rsidP="007D7257">
      <w:pPr>
        <w:pStyle w:val="aff1"/>
        <w:ind w:left="0" w:firstLine="709"/>
        <w:rPr>
          <w:b w:val="0"/>
          <w:bCs/>
          <w:i/>
        </w:rPr>
      </w:pPr>
      <w:r w:rsidRPr="00831EAA">
        <w:t>Комментарий:</w:t>
      </w:r>
      <w:r w:rsidRPr="007D7257">
        <w:t xml:space="preserve"> </w:t>
      </w:r>
      <w:r w:rsidRPr="007D7257">
        <w:rPr>
          <w:b w:val="0"/>
          <w:bCs/>
          <w:i/>
        </w:rPr>
        <w:t xml:space="preserve">диспансерное наблюдение должно включать тщательный сбор жалоб, клинический осмотр пациента, </w:t>
      </w:r>
      <w:r w:rsidRPr="007D7257">
        <w:rPr>
          <w:b w:val="0"/>
          <w:bCs/>
          <w:i/>
          <w:iCs/>
        </w:rPr>
        <w:t>рентгенологический контроль органов грудной клетки, УЗИ брюшной полости и периферических лимфатических коллекторов.</w:t>
      </w:r>
    </w:p>
    <w:p w14:paraId="4354E85A" w14:textId="77777777" w:rsidR="009B4039" w:rsidRPr="00C81573" w:rsidRDefault="00C4630C" w:rsidP="00C4630C">
      <w:pPr>
        <w:pStyle w:val="afff1"/>
      </w:pPr>
      <w:bookmarkStart w:id="74" w:name="_Toc11747748"/>
      <w:bookmarkStart w:id="75" w:name="_Toc103332105"/>
      <w:r w:rsidRPr="00C81573">
        <w:lastRenderedPageBreak/>
        <w:t xml:space="preserve">6. </w:t>
      </w:r>
      <w:r w:rsidR="009B4039" w:rsidRPr="00C81573">
        <w:t xml:space="preserve">Организация </w:t>
      </w:r>
      <w:r w:rsidR="00C81573" w:rsidRPr="00F0321D">
        <w:t xml:space="preserve">оказания </w:t>
      </w:r>
      <w:r w:rsidR="009B4039" w:rsidRPr="00F0321D">
        <w:t>медицинской</w:t>
      </w:r>
      <w:r w:rsidR="009B4039" w:rsidRPr="00C81573">
        <w:t xml:space="preserve"> помощи</w:t>
      </w:r>
      <w:bookmarkEnd w:id="74"/>
      <w:bookmarkEnd w:id="75"/>
    </w:p>
    <w:p w14:paraId="686BFAB7" w14:textId="77777777" w:rsidR="007D7257" w:rsidRDefault="007D7257" w:rsidP="007D7257">
      <w:pPr>
        <w:spacing w:before="120"/>
        <w:ind w:firstLine="851"/>
      </w:pPr>
      <w: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117E219D" w14:textId="77777777" w:rsidR="007D7257" w:rsidRDefault="007D7257" w:rsidP="00A72B1B">
      <w:pPr>
        <w:pStyle w:val="afd"/>
        <w:numPr>
          <w:ilvl w:val="0"/>
          <w:numId w:val="13"/>
        </w:numPr>
        <w:ind w:left="0" w:firstLine="851"/>
      </w:pPr>
      <w: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2EDC436D" w14:textId="77777777" w:rsidR="007D7257" w:rsidRDefault="007D7257" w:rsidP="00A72B1B">
      <w:pPr>
        <w:pStyle w:val="afd"/>
        <w:numPr>
          <w:ilvl w:val="0"/>
          <w:numId w:val="13"/>
        </w:numPr>
        <w:ind w:left="0" w:firstLine="851"/>
      </w:pPr>
      <w:r>
        <w:t>в соответствии с порядком оказания помощи по профилю «онкология», обязательным для исполнения на территории Российской Федерации всеми медицинскими организациями;</w:t>
      </w:r>
    </w:p>
    <w:p w14:paraId="531379B3" w14:textId="77777777" w:rsidR="007D7257" w:rsidRDefault="007D7257" w:rsidP="00A72B1B">
      <w:pPr>
        <w:pStyle w:val="afd"/>
        <w:numPr>
          <w:ilvl w:val="0"/>
          <w:numId w:val="13"/>
        </w:numPr>
        <w:ind w:left="0" w:firstLine="851"/>
      </w:pPr>
      <w:r>
        <w:t>на основе настоящих клинических рекомендаций;</w:t>
      </w:r>
    </w:p>
    <w:p w14:paraId="2D309E59" w14:textId="77777777" w:rsidR="007D7257" w:rsidRDefault="007D7257" w:rsidP="00A72B1B">
      <w:pPr>
        <w:pStyle w:val="afd"/>
        <w:numPr>
          <w:ilvl w:val="0"/>
          <w:numId w:val="13"/>
        </w:numPr>
        <w:ind w:left="0" w:firstLine="851"/>
      </w:pPr>
      <w:r>
        <w:t>с учетом стандартов медицинской помощи, утвержденных уполномоченным федеральным органом исполнительной власти.</w:t>
      </w:r>
    </w:p>
    <w:p w14:paraId="3D377966" w14:textId="77777777" w:rsidR="007D7257" w:rsidRDefault="007D7257" w:rsidP="007D7257">
      <w:pPr>
        <w:ind w:firstLine="851"/>
      </w:pPr>
      <w:r>
        <w:t>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либо в первичном онкологическом кабинете, первичном онкологическом отделении, поликлиническом отделении онкологического диспансера.</w:t>
      </w:r>
    </w:p>
    <w:p w14:paraId="14391952" w14:textId="24825728" w:rsidR="007D7257" w:rsidRDefault="007D7257" w:rsidP="007D7257">
      <w:pPr>
        <w:ind w:firstLine="851"/>
      </w:pPr>
      <w:r>
        <w:t>При выявлении у пациента</w:t>
      </w:r>
      <w:r w:rsidRPr="007D7257">
        <w:t xml:space="preserve"> </w:t>
      </w:r>
      <w:r>
        <w:t>ЛМЗ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 первичное онкологическое отделение медицинской организации для оказания ему первичной специализированной медико-санитарной помощи.</w:t>
      </w:r>
    </w:p>
    <w:p w14:paraId="6D8D1B67" w14:textId="77777777" w:rsidR="007D7257" w:rsidRDefault="007D7257" w:rsidP="007D7257">
      <w:pPr>
        <w:ind w:firstLine="851"/>
      </w:pPr>
      <w:r>
        <w:t>Консультация в центре амбулаторной онкологической помощи либо в первичном онкологическом кабинете, первичном онкологическом отделении медицинской организации должна быть проведена не позднее 5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первичного онкологического отделения) организует взятие биопсийного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59613C99" w14:textId="77777777" w:rsidR="007D7257" w:rsidRDefault="007D7257" w:rsidP="007D7257">
      <w:pPr>
        <w:ind w:firstLine="851"/>
      </w:pPr>
      <w:r>
        <w:lastRenderedPageBreak/>
        <w:t>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первичное онкологическое отделение), биопсийного (операционного) материала, проведения иных диагностических исследований пациент направляется лечащим врачом в онкологический диспансер или в медицинскую организацию, оказывающую медицинскую помощь пациентам с онкологическими заболеваниями.</w:t>
      </w:r>
    </w:p>
    <w:p w14:paraId="025E8EEE" w14:textId="77777777" w:rsidR="007D7257" w:rsidRDefault="007D7257" w:rsidP="007D7257">
      <w:pPr>
        <w:ind w:firstLine="851"/>
      </w:pPr>
      <w:r>
        <w:t>Срок выполнения патологоанатомических исследований, необходимых для гистологической верификации злокачественного новообразования, не должен превышать 15 рабочих дней с даты поступления биопсийного (операционного) материала в патологоанатомическое бюро (отделение).</w:t>
      </w:r>
    </w:p>
    <w:p w14:paraId="009DEFAC" w14:textId="37C8917E" w:rsidR="007D7257" w:rsidRDefault="007D7257" w:rsidP="007D7257">
      <w:pPr>
        <w:ind w:firstLine="851"/>
      </w:pPr>
      <w:r>
        <w:t>При выявлении ЛМЗ</w:t>
      </w:r>
      <w:r w:rsidRPr="007D7257">
        <w:t xml:space="preserve"> </w:t>
      </w:r>
      <w:r>
        <w:t>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4600373C" w14:textId="77777777" w:rsidR="007D7257" w:rsidRDefault="007D7257" w:rsidP="007D7257">
      <w:pPr>
        <w:ind w:firstLine="851"/>
      </w:pPr>
      <w:r>
        <w:t>Врач-онколог центра амбулаторной онкологической помощи (первичного онкологического кабинета, первичного онкологического отделения) направляет пациента в онкологический диспансер или в медицинские организации, оказывающие медицинскую помощь пациентам с онкологическими заболеваниями, для уточнения диагноза (в случае невозможности установления диагноза, включая распространенность онкологического процесса и стадию заболевания, врачом-онкологом центра амбулаторной онкологической помощи, первичного онкологического кабинета или первичного онкологического отделения) и оказания специализированной, в том числе высокотехнологичной, медицинской помощи.</w:t>
      </w:r>
    </w:p>
    <w:p w14:paraId="1153C78B" w14:textId="13A83A12" w:rsidR="007D7257" w:rsidRPr="006C0C64" w:rsidRDefault="007D7257" w:rsidP="007D7257">
      <w:pPr>
        <w:ind w:firstLine="851"/>
        <w:rPr>
          <w:color w:val="000000" w:themeColor="text1"/>
        </w:rPr>
      </w:pPr>
      <w:r>
        <w:t xml:space="preserve">Срок начала оказания специализированной, за исключением высокотехнологичной, медицинской помощи пациентам с онкологическими заболеваниями в медицинской организации, оказывающей медицинскую помощь пациентам с онкологическими заболеваниями, не должен превышать 14 календарных дней с даты гистологической верификации </w:t>
      </w:r>
      <w:r w:rsidRPr="006C0C64">
        <w:rPr>
          <w:color w:val="000000" w:themeColor="text1"/>
        </w:rPr>
        <w:t>злокачественного новообразования или 14 календарных дней с даты установления предварительного диагноза</w:t>
      </w:r>
      <w:r w:rsidRPr="007D7257">
        <w:rPr>
          <w:color w:val="000000" w:themeColor="text1"/>
        </w:rPr>
        <w:t xml:space="preserve"> </w:t>
      </w:r>
      <w:r>
        <w:rPr>
          <w:color w:val="000000" w:themeColor="text1"/>
        </w:rPr>
        <w:t>ЛМЗ</w:t>
      </w:r>
      <w:r w:rsidRPr="006C0C64">
        <w:rPr>
          <w:color w:val="000000" w:themeColor="text1"/>
        </w:rPr>
        <w:t xml:space="preserve"> (в случае отсутствия медицинских показаний к проведению патолого-анатомических исследований в амбулаторных условиях).</w:t>
      </w:r>
    </w:p>
    <w:p w14:paraId="561AE28E" w14:textId="77777777" w:rsidR="007D7257" w:rsidRPr="006C0C64" w:rsidRDefault="007D7257" w:rsidP="007D7257">
      <w:pPr>
        <w:ind w:firstLine="851"/>
        <w:rPr>
          <w:color w:val="000000" w:themeColor="text1"/>
        </w:rPr>
      </w:pPr>
      <w:r w:rsidRPr="006C0C64">
        <w:rPr>
          <w:color w:val="000000" w:themeColor="text1"/>
        </w:rPr>
        <w:t xml:space="preserve">Специализированная, в том числе высокотехнологичная, медицинская помощь оказывается врачами-онкологами, врачами-гематологами, врачами-радиотерапевтами в </w:t>
      </w:r>
      <w:r w:rsidRPr="006C0C64">
        <w:rPr>
          <w:color w:val="000000" w:themeColor="text1"/>
        </w:rPr>
        <w:lastRenderedPageBreak/>
        <w:t xml:space="preserve">онкологическом диспансере или в медицинских организациях, оказывающих медицинскую помощь пациентам с </w:t>
      </w:r>
      <w:r>
        <w:rPr>
          <w:color w:val="000000" w:themeColor="text1"/>
        </w:rPr>
        <w:t>ЛМЗ</w:t>
      </w:r>
      <w:r w:rsidRPr="006C0C64">
        <w:rPr>
          <w:color w:val="000000" w:themeColor="text1"/>
        </w:rPr>
        <w:t>, имеющих лицензию, необходимую материально-техническую базу, сертифицированных специалистов</w:t>
      </w:r>
      <w:r>
        <w:t xml:space="preserve">, в стационарных условиях и условиях дневного стационара и включает в себя профилактику, диагностику, лечение онкологических заболеваний, требующих использования </w:t>
      </w:r>
      <w:r w:rsidRPr="006C0C64">
        <w:rPr>
          <w:color w:val="000000" w:themeColor="text1"/>
        </w:rPr>
        <w:t>специальных методов и сложных уникальных медицинских технологий, а также медицинскую реабилитацию.</w:t>
      </w:r>
    </w:p>
    <w:p w14:paraId="6072513A" w14:textId="77777777" w:rsidR="007D7257" w:rsidRDefault="007D7257" w:rsidP="007D7257">
      <w:pPr>
        <w:ind w:firstLine="851"/>
      </w:pPr>
      <w:r w:rsidRPr="006C0C64">
        <w:rPr>
          <w:color w:val="000000" w:themeColor="text1"/>
        </w:rPr>
        <w:t xml:space="preserve">В медицинской организации, оказывающей медицинскую помощь пациентам с </w:t>
      </w:r>
      <w:r>
        <w:rPr>
          <w:color w:val="000000" w:themeColor="text1"/>
        </w:rPr>
        <w:t>ЛМЗ</w:t>
      </w:r>
      <w:r w:rsidRPr="006C0C64">
        <w:rPr>
          <w:color w:val="000000" w:themeColor="text1"/>
        </w:rPr>
        <w:t xml:space="preserve">, тактика медицинского обследования </w:t>
      </w:r>
      <w:r>
        <w:t>и лечения устанавливается консилиумом врачей-онкологов и врачей-радиотерапевтов с привлечением при необходимости других врачей-специалистов.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1CA310A3" w14:textId="77777777" w:rsidR="007D7257" w:rsidRDefault="007D7257" w:rsidP="007D7257">
      <w:pPr>
        <w:ind w:firstLine="851"/>
      </w:pPr>
      <w: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определяются консилиумом врачей-онкологов и врачей-радиотерапевтов с привлечением при необходимости других врачей-специалистов.</w:t>
      </w:r>
    </w:p>
    <w:p w14:paraId="36C20CA4" w14:textId="77777777" w:rsidR="007D7257" w:rsidRPr="00A04E7F" w:rsidRDefault="007D7257" w:rsidP="007D7257">
      <w:pPr>
        <w:pStyle w:val="1e"/>
        <w:contextualSpacing/>
        <w:rPr>
          <w:b/>
        </w:rPr>
      </w:pPr>
      <w:r w:rsidRPr="00A04E7F">
        <w:rPr>
          <w:b/>
        </w:rPr>
        <w:t xml:space="preserve">Показания для плановой госпитализации: </w:t>
      </w:r>
    </w:p>
    <w:p w14:paraId="4D6BB7BC" w14:textId="77777777" w:rsidR="007D7257" w:rsidRDefault="007D7257" w:rsidP="00A72B1B">
      <w:pPr>
        <w:pStyle w:val="affff"/>
        <w:numPr>
          <w:ilvl w:val="0"/>
          <w:numId w:val="14"/>
        </w:numPr>
        <w:spacing w:beforeAutospacing="0" w:afterAutospacing="0" w:line="360" w:lineRule="auto"/>
        <w:ind w:left="426"/>
      </w:pPr>
      <w:r>
        <w:t>Проведение терапии в случаях, требующих круглосуточного наблюдения за пациентом по причине тяжести состояния, обусловленного опухолью, или по причине риска осложнений, связанных с программой лечения или сопутствующими заболеваниями.</w:t>
      </w:r>
    </w:p>
    <w:p w14:paraId="38747E11" w14:textId="77777777" w:rsidR="007D7257" w:rsidRDefault="007D7257" w:rsidP="00A72B1B">
      <w:pPr>
        <w:pStyle w:val="1e"/>
        <w:numPr>
          <w:ilvl w:val="0"/>
          <w:numId w:val="14"/>
        </w:numPr>
        <w:ind w:left="426"/>
        <w:contextualSpacing/>
      </w:pPr>
      <w:r>
        <w:t>Обследование пациента, включающее биопсию и инвазивные вмешательства, в случаях, когда оно не может быть проведено амбулаторно.</w:t>
      </w:r>
    </w:p>
    <w:p w14:paraId="681512B0" w14:textId="77777777" w:rsidR="007D7257" w:rsidRPr="00A04E7F" w:rsidRDefault="007D7257" w:rsidP="007D7257">
      <w:pPr>
        <w:pStyle w:val="1e"/>
        <w:contextualSpacing/>
        <w:rPr>
          <w:b/>
        </w:rPr>
      </w:pPr>
      <w:r w:rsidRPr="00A04E7F">
        <w:rPr>
          <w:b/>
        </w:rPr>
        <w:t xml:space="preserve">Показания для экстренной госпитализации: </w:t>
      </w:r>
    </w:p>
    <w:p w14:paraId="0B7AD2D7" w14:textId="77777777" w:rsidR="007D7257" w:rsidRDefault="007D7257" w:rsidP="00A72B1B">
      <w:pPr>
        <w:pStyle w:val="affff"/>
        <w:numPr>
          <w:ilvl w:val="0"/>
          <w:numId w:val="15"/>
        </w:numPr>
        <w:spacing w:beforeAutospacing="0" w:afterAutospacing="0" w:line="360" w:lineRule="auto"/>
        <w:ind w:left="426"/>
      </w:pPr>
      <w:r>
        <w:t>Развитие тяжелой инфекции (необязательна госпитализация в гематологический стационар).</w:t>
      </w:r>
    </w:p>
    <w:p w14:paraId="01F740F9" w14:textId="77777777" w:rsidR="007D7257" w:rsidRDefault="007D7257" w:rsidP="00A72B1B">
      <w:pPr>
        <w:pStyle w:val="affff"/>
        <w:numPr>
          <w:ilvl w:val="0"/>
          <w:numId w:val="15"/>
        </w:numPr>
        <w:spacing w:beforeAutospacing="0" w:afterAutospacing="0" w:line="360" w:lineRule="auto"/>
        <w:ind w:left="426"/>
      </w:pPr>
      <w:r>
        <w:t>Развитие угрожающих жизни цитопений (глубокой анемии, геморрагического синдрома, нейтропении).</w:t>
      </w:r>
    </w:p>
    <w:p w14:paraId="05845326" w14:textId="77777777" w:rsidR="007D7257" w:rsidRDefault="007D7257" w:rsidP="00A72B1B">
      <w:pPr>
        <w:pStyle w:val="affff"/>
        <w:numPr>
          <w:ilvl w:val="0"/>
          <w:numId w:val="15"/>
        </w:numPr>
        <w:spacing w:beforeAutospacing="0" w:afterAutospacing="0" w:line="360" w:lineRule="auto"/>
        <w:ind w:left="426"/>
      </w:pPr>
      <w:r>
        <w:t xml:space="preserve">Развитие осложнений ЛМЗ, угрожающих жизни. </w:t>
      </w:r>
    </w:p>
    <w:p w14:paraId="40767F3F" w14:textId="77777777" w:rsidR="007D7257" w:rsidRDefault="007D7257" w:rsidP="00A72B1B">
      <w:pPr>
        <w:pStyle w:val="affff"/>
        <w:numPr>
          <w:ilvl w:val="0"/>
          <w:numId w:val="15"/>
        </w:numPr>
        <w:spacing w:beforeAutospacing="0" w:afterAutospacing="0" w:line="360" w:lineRule="auto"/>
        <w:ind w:left="426"/>
      </w:pPr>
      <w:r>
        <w:t>Развитие осложнений терапии, включая синдром лизиса опухоли, тяжелые инфузионные реакции, миелотоксический агранулоцитоз с лихорадкой и другие осложнения, угрожающие жизни.</w:t>
      </w:r>
    </w:p>
    <w:p w14:paraId="1CFC6554" w14:textId="77777777" w:rsidR="007D7257" w:rsidRPr="00A04E7F" w:rsidRDefault="007D7257" w:rsidP="007D7257">
      <w:pPr>
        <w:pStyle w:val="1e"/>
        <w:contextualSpacing/>
        <w:rPr>
          <w:b/>
        </w:rPr>
      </w:pPr>
      <w:r w:rsidRPr="00A04E7F">
        <w:rPr>
          <w:b/>
        </w:rPr>
        <w:t>Показания к выписке пациента из стационара:</w:t>
      </w:r>
    </w:p>
    <w:p w14:paraId="19C7FCB8" w14:textId="77777777" w:rsidR="007D7257" w:rsidRDefault="007D7257" w:rsidP="00A72B1B">
      <w:pPr>
        <w:pStyle w:val="affff"/>
        <w:numPr>
          <w:ilvl w:val="0"/>
          <w:numId w:val="16"/>
        </w:numPr>
        <w:spacing w:beforeAutospacing="0" w:afterAutospacing="0" w:line="360" w:lineRule="auto"/>
        <w:ind w:left="426"/>
      </w:pPr>
      <w:r>
        <w:lastRenderedPageBreak/>
        <w:t>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2836D0F9" w14:textId="77777777" w:rsidR="007D7257" w:rsidRDefault="007D7257" w:rsidP="00A72B1B">
      <w:pPr>
        <w:pStyle w:val="affff"/>
        <w:numPr>
          <w:ilvl w:val="0"/>
          <w:numId w:val="16"/>
        </w:numPr>
        <w:spacing w:beforeAutospacing="0" w:afterAutospacing="0" w:line="360" w:lineRule="auto"/>
        <w:ind w:left="426"/>
      </w:pPr>
      <w:r>
        <w:t>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59FBA7CA" w14:textId="77777777" w:rsidR="007D7257" w:rsidRDefault="007D7257" w:rsidP="00A72B1B">
      <w:pPr>
        <w:pStyle w:val="affff"/>
        <w:numPr>
          <w:ilvl w:val="0"/>
          <w:numId w:val="16"/>
        </w:numPr>
        <w:spacing w:beforeAutospacing="0" w:afterAutospacing="0" w:line="360" w:lineRule="auto"/>
        <w:ind w:left="426"/>
      </w:pPr>
      <w:r>
        <w:t>Необходимость перевода пациента в другую медицинскую организацию по соответствующему профилю оказания медицинской помощи.</w:t>
      </w:r>
    </w:p>
    <w:p w14:paraId="2660C73A" w14:textId="77777777" w:rsidR="007D7257" w:rsidRDefault="007D7257" w:rsidP="00A72B1B">
      <w:pPr>
        <w:pStyle w:val="affff"/>
        <w:numPr>
          <w:ilvl w:val="0"/>
          <w:numId w:val="16"/>
        </w:numPr>
        <w:spacing w:beforeAutospacing="0" w:afterAutospacing="0" w:line="360" w:lineRule="auto"/>
        <w:ind w:left="426"/>
      </w:pPr>
      <w:r>
        <w:t>Решение врачебной комиссии об отсутствии показаний к пребыванию пациента в стационаре в связи с бесперспективностью лечения и необходимостью оказания только паллиативной помощи.</w:t>
      </w:r>
    </w:p>
    <w:p w14:paraId="69C7C38D" w14:textId="77777777" w:rsidR="007D7257" w:rsidRDefault="007D7257" w:rsidP="007D7257">
      <w:pPr>
        <w:pStyle w:val="1e"/>
        <w:ind w:left="0" w:firstLine="851"/>
        <w:rPr>
          <w:color w:val="000000"/>
        </w:rPr>
      </w:pPr>
      <w:r>
        <w:rPr>
          <w:color w:val="000000"/>
        </w:rPr>
        <w:t>Заключение о целесообразности перевода пациента в профильную медицинскую организацию составляется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p>
    <w:p w14:paraId="44B084C6" w14:textId="31781FE2" w:rsidR="009B4039" w:rsidRPr="00C81573" w:rsidRDefault="009B4039" w:rsidP="009B4039">
      <w:pPr>
        <w:pStyle w:val="1e"/>
      </w:pPr>
    </w:p>
    <w:p w14:paraId="42E26E88" w14:textId="77777777" w:rsidR="00CB562F" w:rsidRPr="00C81573" w:rsidRDefault="00C4630C" w:rsidP="00C4630C">
      <w:pPr>
        <w:pStyle w:val="afff1"/>
      </w:pPr>
      <w:bookmarkStart w:id="76" w:name="_Toc11747749"/>
      <w:bookmarkStart w:id="77" w:name="_Toc103332106"/>
      <w:r w:rsidRPr="00C81573">
        <w:lastRenderedPageBreak/>
        <w:t xml:space="preserve">7. </w:t>
      </w:r>
      <w:r w:rsidR="00CB71DA" w:rsidRPr="00C81573">
        <w:t>Дополнительная инфор</w:t>
      </w:r>
      <w:r w:rsidR="009B4039" w:rsidRPr="00C81573">
        <w:t>мация (</w:t>
      </w:r>
      <w:r w:rsidR="00A43CE5" w:rsidRPr="00C81573">
        <w:t>в том числе факторы, влияющие на</w:t>
      </w:r>
      <w:r w:rsidR="00CB71DA" w:rsidRPr="00C81573">
        <w:t xml:space="preserve"> исход заболевания</w:t>
      </w:r>
      <w:bookmarkEnd w:id="73"/>
      <w:r w:rsidR="00A43CE5" w:rsidRPr="00C81573">
        <w:t>или состояния)</w:t>
      </w:r>
      <w:bookmarkEnd w:id="76"/>
      <w:bookmarkEnd w:id="77"/>
    </w:p>
    <w:p w14:paraId="016EA52A" w14:textId="4BA912C4" w:rsidR="007D7257" w:rsidRDefault="007D7257" w:rsidP="007D7257">
      <w:pPr>
        <w:pStyle w:val="2"/>
      </w:pPr>
      <w:bookmarkStart w:id="78" w:name="_Toc35277466"/>
      <w:bookmarkStart w:id="79" w:name="__RefHeading___doc_criteria"/>
      <w:bookmarkStart w:id="80" w:name="_Toc103332107"/>
      <w:r>
        <w:t>7.1 Общие требования к морфологической диагностике</w:t>
      </w:r>
      <w:r w:rsidR="00BD74B4" w:rsidRPr="00BD74B4">
        <w:t xml:space="preserve"> </w:t>
      </w:r>
      <w:r>
        <w:t>лимфом</w:t>
      </w:r>
      <w:bookmarkEnd w:id="78"/>
      <w:bookmarkEnd w:id="80"/>
    </w:p>
    <w:p w14:paraId="0CC2EC71" w14:textId="77777777" w:rsidR="007D7257" w:rsidRPr="006C0C64" w:rsidRDefault="007D7257" w:rsidP="007D7257">
      <w:pPr>
        <w:ind w:firstLine="567"/>
        <w:rPr>
          <w:rFonts w:cstheme="minorHAnsi"/>
          <w:color w:val="000000" w:themeColor="text1"/>
        </w:rPr>
      </w:pPr>
      <w:r w:rsidRPr="004A68D8">
        <w:rPr>
          <w:rFonts w:cstheme="minorHAnsi"/>
        </w:rPr>
        <w:t>До биопсии лимфатического узла необходимо выполн</w:t>
      </w:r>
      <w:r>
        <w:rPr>
          <w:rFonts w:cstheme="minorHAnsi"/>
        </w:rPr>
        <w:t>и</w:t>
      </w:r>
      <w:r w:rsidRPr="004A68D8">
        <w:rPr>
          <w:rFonts w:cstheme="minorHAnsi"/>
        </w:rPr>
        <w:t xml:space="preserve">ть общий анализ крови с подсчетом лейкоцитарной формулы, чтобы </w:t>
      </w:r>
      <w:r w:rsidRPr="004A68D8">
        <w:rPr>
          <w:rFonts w:cstheme="minorHAnsi"/>
          <w:color w:val="000000"/>
        </w:rPr>
        <w:t>исключить выполнение биопсии</w:t>
      </w:r>
      <w:r w:rsidRPr="004A68D8">
        <w:rPr>
          <w:rFonts w:cstheme="minorHAnsi"/>
        </w:rPr>
        <w:t xml:space="preserve"> у</w:t>
      </w:r>
      <w:r>
        <w:rPr>
          <w:rFonts w:cstheme="minorHAnsi"/>
        </w:rPr>
        <w:t xml:space="preserve"> пациентов</w:t>
      </w:r>
      <w:r w:rsidRPr="004A68D8">
        <w:rPr>
          <w:rFonts w:cstheme="minorHAnsi"/>
        </w:rPr>
        <w:t xml:space="preserve"> хроническим лимфолейкозом, моноклональным В-клеточным лимфоцитозом, острыми лейкозами, </w:t>
      </w:r>
      <w:r w:rsidRPr="004A68D8">
        <w:rPr>
          <w:rFonts w:cstheme="minorHAnsi"/>
          <w:color w:val="000000"/>
        </w:rPr>
        <w:t>при лимфоцитозе инфекционной (</w:t>
      </w:r>
      <w:r w:rsidRPr="004A68D8">
        <w:rPr>
          <w:rFonts w:cstheme="minorHAnsi"/>
          <w:color w:val="000000"/>
          <w:lang w:val="en-US"/>
        </w:rPr>
        <w:t>HIV</w:t>
      </w:r>
      <w:r w:rsidRPr="004A68D8">
        <w:rPr>
          <w:rFonts w:cstheme="minorHAnsi"/>
          <w:color w:val="000000"/>
        </w:rPr>
        <w:t xml:space="preserve">, </w:t>
      </w:r>
      <w:r w:rsidRPr="004A68D8">
        <w:rPr>
          <w:rFonts w:cstheme="minorHAnsi"/>
          <w:color w:val="000000"/>
          <w:lang w:val="en-US"/>
        </w:rPr>
        <w:t>EBV</w:t>
      </w:r>
      <w:r w:rsidRPr="004A68D8">
        <w:rPr>
          <w:rFonts w:cstheme="minorHAnsi"/>
          <w:color w:val="000000"/>
        </w:rPr>
        <w:t xml:space="preserve">, </w:t>
      </w:r>
      <w:r w:rsidRPr="004A68D8">
        <w:rPr>
          <w:rFonts w:cstheme="minorHAnsi"/>
          <w:color w:val="000000"/>
          <w:lang w:val="en-US"/>
        </w:rPr>
        <w:t>CMV</w:t>
      </w:r>
      <w:r w:rsidRPr="004A68D8">
        <w:rPr>
          <w:rFonts w:cstheme="minorHAnsi"/>
          <w:color w:val="000000"/>
        </w:rPr>
        <w:t xml:space="preserve">-инфекции, коклюш, вирусные гепатиты, токсоплазмоз и др.) </w:t>
      </w:r>
      <w:r>
        <w:rPr>
          <w:rFonts w:cstheme="minorHAnsi"/>
          <w:color w:val="000000"/>
        </w:rPr>
        <w:t>и</w:t>
      </w:r>
      <w:r w:rsidRPr="004A68D8">
        <w:rPr>
          <w:rFonts w:cstheme="minorHAnsi"/>
          <w:color w:val="000000"/>
        </w:rPr>
        <w:t xml:space="preserve">ли другой этиологии (поствакцинальный, </w:t>
      </w:r>
      <w:r w:rsidRPr="006C0C64">
        <w:rPr>
          <w:rFonts w:cstheme="minorHAnsi"/>
          <w:color w:val="000000" w:themeColor="text1"/>
        </w:rPr>
        <w:t xml:space="preserve">лекарственная реакция, курение, тимома, «стрессорный» лимфоцитоз). </w:t>
      </w:r>
    </w:p>
    <w:p w14:paraId="2CF556A9" w14:textId="764D4435" w:rsidR="007D7257" w:rsidRPr="004A68D8" w:rsidRDefault="007D7257" w:rsidP="007D7257">
      <w:pPr>
        <w:ind w:firstLine="567"/>
        <w:rPr>
          <w:rFonts w:cstheme="minorHAnsi"/>
        </w:rPr>
      </w:pPr>
      <w:r w:rsidRPr="006C0C64">
        <w:rPr>
          <w:rFonts w:cstheme="minorHAnsi"/>
          <w:color w:val="000000" w:themeColor="text1"/>
        </w:rPr>
        <w:t xml:space="preserve">Диагноз </w:t>
      </w:r>
      <w:r>
        <w:rPr>
          <w:rFonts w:cstheme="minorHAnsi"/>
          <w:color w:val="000000" w:themeColor="text1"/>
        </w:rPr>
        <w:t>лимфомы маргинальной зоны</w:t>
      </w:r>
      <w:r w:rsidRPr="006C0C64">
        <w:rPr>
          <w:rFonts w:cstheme="minorHAnsi"/>
          <w:color w:val="000000" w:themeColor="text1"/>
        </w:rPr>
        <w:t xml:space="preserve"> устанавливают на основании</w:t>
      </w:r>
      <w:r>
        <w:rPr>
          <w:rFonts w:cstheme="minorHAnsi"/>
          <w:color w:val="000000" w:themeColor="text1"/>
        </w:rPr>
        <w:t xml:space="preserve"> патолого-анатомического</w:t>
      </w:r>
      <w:r w:rsidR="00BD74B4" w:rsidRPr="00BD74B4">
        <w:rPr>
          <w:rFonts w:cstheme="minorHAnsi"/>
          <w:color w:val="000000" w:themeColor="text1"/>
        </w:rPr>
        <w:t xml:space="preserve"> </w:t>
      </w:r>
      <w:r w:rsidRPr="006C0C64">
        <w:rPr>
          <w:rFonts w:cstheme="minorHAnsi"/>
          <w:color w:val="000000" w:themeColor="text1"/>
        </w:rPr>
        <w:t>исследования</w:t>
      </w:r>
      <w:r w:rsidR="00BD74B4" w:rsidRPr="00BD74B4">
        <w:rPr>
          <w:rFonts w:cstheme="minorHAnsi"/>
          <w:color w:val="000000" w:themeColor="text1"/>
        </w:rPr>
        <w:t xml:space="preserve"> </w:t>
      </w:r>
      <w:r w:rsidRPr="006C0C64">
        <w:rPr>
          <w:rFonts w:cstheme="minorHAnsi"/>
          <w:color w:val="000000" w:themeColor="text1"/>
        </w:rPr>
        <w:t>биопсийного</w:t>
      </w:r>
      <w:r w:rsidR="00BD74B4" w:rsidRPr="00BD74B4">
        <w:rPr>
          <w:rFonts w:cstheme="minorHAnsi"/>
          <w:color w:val="000000" w:themeColor="text1"/>
        </w:rPr>
        <w:t xml:space="preserve"> </w:t>
      </w:r>
      <w:r w:rsidRPr="004A68D8">
        <w:rPr>
          <w:rFonts w:cstheme="minorHAnsi"/>
        </w:rPr>
        <w:t>или операционного материала</w:t>
      </w:r>
      <w:r w:rsidR="00BD74B4" w:rsidRPr="00BD74B4">
        <w:rPr>
          <w:rFonts w:cstheme="minorHAnsi"/>
        </w:rPr>
        <w:t xml:space="preserve"> </w:t>
      </w:r>
      <w:r>
        <w:rPr>
          <w:rFonts w:cstheme="minorHAnsi"/>
          <w:color w:val="000000" w:themeColor="text1"/>
        </w:rPr>
        <w:t>с применением</w:t>
      </w:r>
      <w:r w:rsidR="00BD74B4" w:rsidRPr="00BD74B4">
        <w:rPr>
          <w:rFonts w:cstheme="minorHAnsi"/>
          <w:color w:val="000000" w:themeColor="text1"/>
        </w:rPr>
        <w:t xml:space="preserve"> </w:t>
      </w:r>
      <w:r w:rsidRPr="006C0C64">
        <w:rPr>
          <w:rFonts w:cstheme="minorHAnsi"/>
          <w:color w:val="000000" w:themeColor="text1"/>
        </w:rPr>
        <w:t>иммуногистохимическ</w:t>
      </w:r>
      <w:r>
        <w:rPr>
          <w:rFonts w:cstheme="minorHAnsi"/>
          <w:color w:val="000000" w:themeColor="text1"/>
        </w:rPr>
        <w:t>их методов</w:t>
      </w:r>
      <w:r w:rsidRPr="004A68D8">
        <w:rPr>
          <w:rFonts w:cstheme="minorHAnsi"/>
        </w:rPr>
        <w:t xml:space="preserve">. В части случаев необходимо проведение молекулярно-биологических и генетических тестов. Цитологическое исследование пунктатов или мазков-отпечатков лимфатических узлов или других опухолевых очагов является дополнительным методом исследования и не может служить достаточным основанием для диагноза лимфомы и ее нозологической верификации. </w:t>
      </w:r>
    </w:p>
    <w:p w14:paraId="5B0A6BCB" w14:textId="65ED24E5" w:rsidR="007D7257" w:rsidRPr="004A68D8" w:rsidRDefault="007D7257" w:rsidP="007D7257">
      <w:pPr>
        <w:ind w:firstLine="567"/>
        <w:rPr>
          <w:rFonts w:cstheme="minorHAnsi"/>
        </w:rPr>
      </w:pPr>
      <w:r w:rsidRPr="004A68D8">
        <w:rPr>
          <w:rFonts w:cstheme="minorHAnsi"/>
        </w:rPr>
        <w:t>При первичном обследовании пациента во всех случаях проводится гистологическое и иммуногистохимическое</w:t>
      </w:r>
      <w:r w:rsidR="00BD74B4" w:rsidRPr="00BD74B4">
        <w:rPr>
          <w:rFonts w:cstheme="minorHAnsi"/>
        </w:rPr>
        <w:t xml:space="preserve"> </w:t>
      </w:r>
      <w:r w:rsidRPr="004A68D8">
        <w:rPr>
          <w:rFonts w:cstheme="minorHAnsi"/>
        </w:rPr>
        <w:t>исследование</w:t>
      </w:r>
      <w:r w:rsidR="00BD74B4" w:rsidRPr="00BD74B4">
        <w:rPr>
          <w:rFonts w:cstheme="minorHAnsi"/>
        </w:rPr>
        <w:t xml:space="preserve"> </w:t>
      </w:r>
      <w:r>
        <w:rPr>
          <w:rFonts w:cstheme="minorHAnsi"/>
        </w:rPr>
        <w:t>материала</w:t>
      </w:r>
      <w:r w:rsidR="00BD74B4" w:rsidRPr="00BD74B4">
        <w:rPr>
          <w:rFonts w:cstheme="minorHAnsi"/>
        </w:rPr>
        <w:t xml:space="preserve"> </w:t>
      </w:r>
      <w:r w:rsidRPr="004A68D8">
        <w:rPr>
          <w:rFonts w:cstheme="minorHAnsi"/>
        </w:rPr>
        <w:t xml:space="preserve">инцизионной или эксцизионной биопсии патологического очага или операционного материала при обязательном предоставлении врачу-патологоанатому выписки из амбулаторной карты/истории болезни пациента. Пунктировать лимфатические узлы для аспирации клеточной взвеси не следует. В исключительных случаях (локализация опухоли в труднодоступных анатомических зонах, тяжесть состояния пациента) при обосновании невозможности выполнения эксцизионной биопсии (отраженном в медицинской документации), объектом исследования может быть тканевой материал, полученный с помощью пистолетной («кор»-) биопсии. Пригодным для исследования является биоптат диаметром не менее 16 </w:t>
      </w:r>
      <w:r w:rsidRPr="004A68D8">
        <w:rPr>
          <w:rFonts w:cstheme="minorHAnsi"/>
          <w:lang w:val="en-US"/>
        </w:rPr>
        <w:t>G</w:t>
      </w:r>
      <w:r w:rsidRPr="004A68D8">
        <w:rPr>
          <w:rFonts w:cstheme="minorHAnsi"/>
        </w:rPr>
        <w:t>, при длине опухолевого инфильтрата в ткани не менее 1,5 см. Объем иммуногистохимического исследования определяет врач-патологоанатом при гистологическом изучении материала. Разделение материала между различными лабораториями категорически недопустимо. Протокол</w:t>
      </w:r>
      <w:r w:rsidR="00BD74B4" w:rsidRPr="001B5B91">
        <w:rPr>
          <w:rFonts w:cstheme="minorHAnsi"/>
        </w:rPr>
        <w:t xml:space="preserve"> </w:t>
      </w:r>
      <w:r>
        <w:rPr>
          <w:rFonts w:cstheme="minorHAnsi"/>
        </w:rPr>
        <w:t>патолого-анатомического</w:t>
      </w:r>
      <w:r w:rsidRPr="004A68D8">
        <w:rPr>
          <w:rFonts w:cstheme="minorHAnsi"/>
        </w:rPr>
        <w:t xml:space="preserve"> исследования должен содержать:</w:t>
      </w:r>
    </w:p>
    <w:p w14:paraId="39D63D80" w14:textId="77777777" w:rsidR="007D7257" w:rsidRPr="00DF14AA" w:rsidRDefault="007D7257" w:rsidP="00A72B1B">
      <w:pPr>
        <w:pStyle w:val="afd"/>
        <w:numPr>
          <w:ilvl w:val="0"/>
          <w:numId w:val="21"/>
        </w:numPr>
        <w:rPr>
          <w:rFonts w:cstheme="minorHAnsi"/>
        </w:rPr>
      </w:pPr>
      <w:r w:rsidRPr="0086050B">
        <w:rPr>
          <w:rFonts w:cstheme="minorHAnsi"/>
        </w:rPr>
        <w:t>Макроскопическое описание материала, присланного для исследования; при исследовании готовых блоков и микропрепаратов в протоколе должны быть указаны количество и идентификационные номера всех присланных объектов.</w:t>
      </w:r>
    </w:p>
    <w:p w14:paraId="6B022520" w14:textId="77777777" w:rsidR="007D7257" w:rsidRPr="0086050B" w:rsidRDefault="007D7257" w:rsidP="00A72B1B">
      <w:pPr>
        <w:pStyle w:val="afd"/>
        <w:numPr>
          <w:ilvl w:val="0"/>
          <w:numId w:val="21"/>
        </w:numPr>
        <w:rPr>
          <w:rFonts w:cstheme="minorHAnsi"/>
        </w:rPr>
      </w:pPr>
      <w:r w:rsidRPr="0086050B">
        <w:rPr>
          <w:rFonts w:cstheme="minorHAnsi"/>
        </w:rPr>
        <w:lastRenderedPageBreak/>
        <w:t>Гистологическое описание лимфомы с указанием типа роста (диффузный, нодулярный и т.</w:t>
      </w:r>
      <w:r>
        <w:rPr>
          <w:rFonts w:cstheme="minorHAnsi"/>
        </w:rPr>
        <w:t> </w:t>
      </w:r>
      <w:r w:rsidRPr="0086050B">
        <w:rPr>
          <w:rFonts w:cstheme="minorHAnsi"/>
        </w:rPr>
        <w:t>п.), характеристики клеточного состава (мелкие, крупные клетки, полиморфный состав, анапластическая, бластная/бластоидная морфология, наличие многоядерных форм, характеристика ядер), наличия реактивных и резидуальных компонентов.</w:t>
      </w:r>
    </w:p>
    <w:p w14:paraId="4C571D5B" w14:textId="58207213" w:rsidR="007D7257" w:rsidRPr="0086050B" w:rsidRDefault="007D7257" w:rsidP="00A72B1B">
      <w:pPr>
        <w:pStyle w:val="afd"/>
        <w:numPr>
          <w:ilvl w:val="0"/>
          <w:numId w:val="21"/>
        </w:numPr>
        <w:rPr>
          <w:rFonts w:cstheme="minorHAnsi"/>
        </w:rPr>
      </w:pPr>
      <w:r w:rsidRPr="0086050B">
        <w:rPr>
          <w:rFonts w:cstheme="minorHAnsi"/>
        </w:rPr>
        <w:t xml:space="preserve">Результаты иммуногистохимического исследования с указанием использованных антител и подробностей окрашивания, указывающих на специфический характер реакции (например, окрашивание ядер в реакциях с антителами к TdT, </w:t>
      </w:r>
      <w:r w:rsidRPr="0086050B">
        <w:rPr>
          <w:rFonts w:cstheme="minorHAnsi"/>
          <w:lang w:val="en-US"/>
        </w:rPr>
        <w:t>BCL</w:t>
      </w:r>
      <w:r w:rsidRPr="0086050B">
        <w:rPr>
          <w:rFonts w:cstheme="minorHAnsi"/>
        </w:rPr>
        <w:t>-6, Cyclin D1; цитоплазмы</w:t>
      </w:r>
      <w:r w:rsidR="00BD74B4" w:rsidRPr="00BD74B4">
        <w:rPr>
          <w:rFonts w:cstheme="minorHAnsi"/>
        </w:rPr>
        <w:t xml:space="preserve"> </w:t>
      </w:r>
      <w:r>
        <w:rPr>
          <w:rFonts w:cstheme="minorHAnsi"/>
        </w:rPr>
        <w:t>–</w:t>
      </w:r>
      <w:r w:rsidR="00BD74B4" w:rsidRPr="00BD74B4">
        <w:rPr>
          <w:rFonts w:cstheme="minorHAnsi"/>
        </w:rPr>
        <w:t xml:space="preserve"> </w:t>
      </w:r>
      <w:r w:rsidRPr="0086050B">
        <w:rPr>
          <w:rFonts w:cstheme="minorHAnsi"/>
        </w:rPr>
        <w:t>в</w:t>
      </w:r>
      <w:r w:rsidR="00BD74B4" w:rsidRPr="00BD74B4">
        <w:rPr>
          <w:rFonts w:cstheme="minorHAnsi"/>
        </w:rPr>
        <w:t xml:space="preserve"> </w:t>
      </w:r>
      <w:r w:rsidRPr="0086050B">
        <w:rPr>
          <w:rFonts w:cstheme="minorHAnsi"/>
        </w:rPr>
        <w:t>реакциях на CD79a</w:t>
      </w:r>
      <w:r>
        <w:rPr>
          <w:rFonts w:cstheme="minorHAnsi"/>
        </w:rPr>
        <w:t>;</w:t>
      </w:r>
      <w:r w:rsidRPr="0086050B">
        <w:rPr>
          <w:rFonts w:cstheme="minorHAnsi"/>
        </w:rPr>
        <w:t xml:space="preserve"> гранулярная цитоплазматическая реакция - цитотоксические молекулы; окрашивание цитоплазмы или мембраны - в реакциях с антителами к CD3, тяжелым или легким цепям иммуноглобулинов; мембраны –</w:t>
      </w:r>
      <w:r>
        <w:rPr>
          <w:rFonts w:cstheme="minorHAnsi"/>
        </w:rPr>
        <w:t xml:space="preserve"> в реакциях на CD20, CD10</w:t>
      </w:r>
      <w:r w:rsidRPr="0086050B">
        <w:rPr>
          <w:rFonts w:cstheme="minorHAnsi"/>
        </w:rPr>
        <w:t>), интенсивность, особенности иммуногистоархитектоники. Представление результатов иммуногистохимических тестов только в виде «крестов» («плюсов») и перечня антител недопустимо.</w:t>
      </w:r>
    </w:p>
    <w:p w14:paraId="450E1914" w14:textId="6FC519BE" w:rsidR="007D7257" w:rsidRPr="0086050B" w:rsidRDefault="007D7257" w:rsidP="00A72B1B">
      <w:pPr>
        <w:pStyle w:val="afd"/>
        <w:numPr>
          <w:ilvl w:val="0"/>
          <w:numId w:val="21"/>
        </w:numPr>
        <w:rPr>
          <w:rFonts w:cstheme="minorHAnsi"/>
        </w:rPr>
      </w:pPr>
      <w:r>
        <w:rPr>
          <w:rFonts w:cstheme="minorHAnsi"/>
        </w:rPr>
        <w:t>Патолого-анатомическое</w:t>
      </w:r>
      <w:r w:rsidR="00BD74B4" w:rsidRPr="00BD74B4">
        <w:rPr>
          <w:rFonts w:cstheme="minorHAnsi"/>
        </w:rPr>
        <w:t xml:space="preserve"> </w:t>
      </w:r>
      <w:r w:rsidRPr="0086050B">
        <w:rPr>
          <w:rFonts w:cstheme="minorHAnsi"/>
        </w:rPr>
        <w:t>заключение, сформулированное в соответствии с действующей редакцией классификации опухолей гемопоэтической и лимфоидной тканей (ВОЗ, 2017</w:t>
      </w:r>
      <w:r>
        <w:rPr>
          <w:rFonts w:cstheme="minorHAnsi"/>
        </w:rPr>
        <w:t> г.</w:t>
      </w:r>
      <w:r w:rsidRPr="0086050B">
        <w:rPr>
          <w:rFonts w:cstheme="minorHAnsi"/>
        </w:rPr>
        <w:t>).</w:t>
      </w:r>
    </w:p>
    <w:p w14:paraId="48E4F91E" w14:textId="77777777" w:rsidR="007D7257" w:rsidRDefault="007D7257" w:rsidP="007D7257">
      <w:pPr>
        <w:ind w:firstLine="567"/>
        <w:rPr>
          <w:rFonts w:cstheme="minorHAnsi"/>
        </w:rPr>
      </w:pPr>
      <w:r w:rsidRPr="004A68D8">
        <w:rPr>
          <w:rFonts w:cstheme="minorHAnsi"/>
        </w:rPr>
        <w:t>Обязательным компонентом определения распространенности опухолевого процесса (стадии) является гистологическое исследование трепанобиоптата костного мозга. В процессе первичного обследования рекомендуется выполнять биопсию билатерально.</w:t>
      </w:r>
    </w:p>
    <w:p w14:paraId="1335E079" w14:textId="77797BDE" w:rsidR="007D7257" w:rsidRPr="006C0C64" w:rsidRDefault="007D7257" w:rsidP="007D7257">
      <w:pPr>
        <w:ind w:firstLine="567"/>
        <w:rPr>
          <w:rFonts w:cstheme="minorHAnsi"/>
          <w:strike/>
          <w:color w:val="000000" w:themeColor="text1"/>
        </w:rPr>
      </w:pPr>
      <w:r>
        <w:rPr>
          <w:rFonts w:cstheme="minorHAnsi"/>
        </w:rPr>
        <w:t>Патолого-анатомическое</w:t>
      </w:r>
      <w:r w:rsidR="00BD74B4" w:rsidRPr="00BD74B4">
        <w:rPr>
          <w:rFonts w:cstheme="minorHAnsi"/>
        </w:rPr>
        <w:t xml:space="preserve"> </w:t>
      </w:r>
      <w:r w:rsidRPr="004A68D8">
        <w:rPr>
          <w:rFonts w:cstheme="minorHAnsi"/>
        </w:rPr>
        <w:t xml:space="preserve">исследование пунктата костного мозга (стернального или др.) </w:t>
      </w:r>
      <w:r w:rsidRPr="006C0C64">
        <w:rPr>
          <w:rFonts w:cstheme="minorHAnsi"/>
          <w:color w:val="000000" w:themeColor="text1"/>
        </w:rPr>
        <w:t xml:space="preserve">не заменяет гистологическое исследование трепанобиоптата. </w:t>
      </w:r>
    </w:p>
    <w:p w14:paraId="14F13D01" w14:textId="0A91D895" w:rsidR="007D7257" w:rsidRPr="004A68D8" w:rsidRDefault="007D7257" w:rsidP="007D7257">
      <w:pPr>
        <w:ind w:firstLine="567"/>
        <w:rPr>
          <w:rFonts w:cstheme="minorHAnsi"/>
        </w:rPr>
      </w:pPr>
      <w:r w:rsidRPr="006C0C64">
        <w:rPr>
          <w:rFonts w:cstheme="minorHAnsi"/>
          <w:color w:val="000000" w:themeColor="text1"/>
        </w:rPr>
        <w:t xml:space="preserve">При наличии в общем анализе крови или миелограмме лимфоцитоза, независимо от числа лейкоцитов, а также при преобладании лимфоидных клеточных элементов, </w:t>
      </w:r>
      <w:r w:rsidRPr="004A68D8">
        <w:rPr>
          <w:rFonts w:cstheme="minorHAnsi"/>
        </w:rPr>
        <w:t>атипичных лимфоцитов или клеток с бластной морфологией в плевральной, асцитической или других биологических жидкостях необходимо выполн</w:t>
      </w:r>
      <w:r>
        <w:rPr>
          <w:rFonts w:cstheme="minorHAnsi"/>
        </w:rPr>
        <w:t xml:space="preserve">ить </w:t>
      </w:r>
      <w:r w:rsidRPr="004A68D8">
        <w:rPr>
          <w:rFonts w:cstheme="minorHAnsi"/>
        </w:rPr>
        <w:t>иммунофенотипировани</w:t>
      </w:r>
      <w:r>
        <w:rPr>
          <w:rFonts w:cstheme="minorHAnsi"/>
        </w:rPr>
        <w:t>е</w:t>
      </w:r>
      <w:r w:rsidRPr="004A68D8">
        <w:rPr>
          <w:rFonts w:cstheme="minorHAnsi"/>
        </w:rPr>
        <w:t xml:space="preserve"> методом проточной цитометрии. Проточная цитометрия</w:t>
      </w:r>
      <w:r w:rsidR="00BD74B4" w:rsidRPr="00BD74B4">
        <w:rPr>
          <w:rFonts w:cstheme="minorHAnsi"/>
        </w:rPr>
        <w:t xml:space="preserve"> </w:t>
      </w:r>
      <w:r w:rsidRPr="004A68D8">
        <w:rPr>
          <w:rFonts w:cstheme="minorHAnsi"/>
        </w:rPr>
        <w:t>позволяет быстро провести дифференциальную диагностику опухолевого и реактивного лимфоцитоза, что важно для определения дальнейшей тактики обследования пациента. Материалом для анализа методом проточной цитометрии могут служить клетки крови, костного мозга, выпотных жидкостей, бронхоальвеолярного смыва, ликвора, гомогенизированные образцы тканей (селезенка, лимфатические узлы и т.</w:t>
      </w:r>
      <w:r>
        <w:rPr>
          <w:rFonts w:cstheme="minorHAnsi"/>
        </w:rPr>
        <w:t> </w:t>
      </w:r>
      <w:r w:rsidRPr="004A68D8">
        <w:rPr>
          <w:rFonts w:cstheme="minorHAnsi"/>
        </w:rPr>
        <w:t>д.), клеточная суспензия, полученная при аспирационной тонкоигольной пункции лимфатических узлов.</w:t>
      </w:r>
    </w:p>
    <w:p w14:paraId="05BE07F0" w14:textId="182E7305" w:rsidR="007D7257" w:rsidRPr="004A68D8" w:rsidRDefault="007D7257" w:rsidP="007D7257">
      <w:pPr>
        <w:ind w:firstLine="567"/>
        <w:rPr>
          <w:rFonts w:cstheme="minorHAnsi"/>
        </w:rPr>
      </w:pPr>
      <w:r w:rsidRPr="004A68D8">
        <w:rPr>
          <w:rFonts w:cstheme="minorHAnsi"/>
        </w:rPr>
        <w:lastRenderedPageBreak/>
        <w:t>При определении стадии опухолевого процесса может потребоваться биопсия других очагов поражения, если нельзя исключить их опухолевую</w:t>
      </w:r>
      <w:r w:rsidR="00BD74B4" w:rsidRPr="00BD74B4">
        <w:rPr>
          <w:rFonts w:cstheme="minorHAnsi"/>
        </w:rPr>
        <w:t xml:space="preserve"> </w:t>
      </w:r>
      <w:r w:rsidRPr="004A68D8">
        <w:rPr>
          <w:rFonts w:cstheme="minorHAnsi"/>
        </w:rPr>
        <w:t>природу другими способами.</w:t>
      </w:r>
    </w:p>
    <w:p w14:paraId="66433AFB" w14:textId="795C0337" w:rsidR="007D7257" w:rsidRPr="004A68D8" w:rsidRDefault="007D7257" w:rsidP="007D7257">
      <w:pPr>
        <w:ind w:firstLine="567"/>
        <w:rPr>
          <w:rFonts w:cstheme="minorHAnsi"/>
        </w:rPr>
      </w:pPr>
      <w:r w:rsidRPr="004A68D8">
        <w:rPr>
          <w:rFonts w:cstheme="minorHAnsi"/>
        </w:rPr>
        <w:t>При рецидиве или прогрессировании заболевания обязательно выполнение повторной биопсии и</w:t>
      </w:r>
      <w:r w:rsidR="00BD74B4" w:rsidRPr="00BD74B4">
        <w:rPr>
          <w:rFonts w:cstheme="minorHAnsi"/>
        </w:rPr>
        <w:t xml:space="preserve"> </w:t>
      </w:r>
      <w:r>
        <w:rPr>
          <w:rFonts w:cstheme="minorHAnsi"/>
        </w:rPr>
        <w:t>патолого-анатомического</w:t>
      </w:r>
      <w:r w:rsidRPr="004A68D8">
        <w:rPr>
          <w:rFonts w:cstheme="minorHAnsi"/>
        </w:rPr>
        <w:t xml:space="preserve"> исследования пораженных лимфатических узлов или </w:t>
      </w:r>
      <w:r>
        <w:rPr>
          <w:rFonts w:cstheme="minorHAnsi"/>
        </w:rPr>
        <w:t>экстранодальных</w:t>
      </w:r>
      <w:r w:rsidR="00BD74B4" w:rsidRPr="00BD74B4">
        <w:rPr>
          <w:rFonts w:cstheme="minorHAnsi"/>
        </w:rPr>
        <w:t xml:space="preserve"> </w:t>
      </w:r>
      <w:r w:rsidRPr="004A68D8">
        <w:rPr>
          <w:rFonts w:cstheme="minorHAnsi"/>
        </w:rPr>
        <w:t>очагов. Повторная биопсия также показана при наличии резидуальных очагов для подтверждения ремиссии.</w:t>
      </w:r>
      <w:r w:rsidR="00BD74B4" w:rsidRPr="00BD74B4">
        <w:rPr>
          <w:rFonts w:cstheme="minorHAnsi"/>
        </w:rPr>
        <w:t xml:space="preserve"> </w:t>
      </w:r>
      <w:r w:rsidRPr="004A68D8">
        <w:rPr>
          <w:rFonts w:cstheme="minorHAnsi"/>
        </w:rPr>
        <w:t>Проведение повторной биопсии патологического очага является обязательным при первично-резистентном течении или рецидиве заболевания в целях подтверждения диагноза или верификации опухолевой</w:t>
      </w:r>
      <w:r w:rsidR="00BD74B4" w:rsidRPr="00BD74B4">
        <w:rPr>
          <w:rFonts w:cstheme="minorHAnsi"/>
        </w:rPr>
        <w:t xml:space="preserve"> </w:t>
      </w:r>
      <w:r w:rsidRPr="004A68D8">
        <w:rPr>
          <w:rFonts w:cstheme="minorHAnsi"/>
        </w:rPr>
        <w:t>трансформации,</w:t>
      </w:r>
      <w:r w:rsidR="00BD74B4" w:rsidRPr="00BD74B4">
        <w:rPr>
          <w:rFonts w:cstheme="minorHAnsi"/>
        </w:rPr>
        <w:t xml:space="preserve"> </w:t>
      </w:r>
      <w:r w:rsidRPr="004A68D8">
        <w:rPr>
          <w:rFonts w:cstheme="minorHAnsi"/>
        </w:rPr>
        <w:t>а также исключения второй опухоли, инфекционного процесса.</w:t>
      </w:r>
    </w:p>
    <w:p w14:paraId="3C3AA340" w14:textId="77777777" w:rsidR="007D7257" w:rsidRPr="004A68D8" w:rsidRDefault="007D7257" w:rsidP="007D7257">
      <w:pPr>
        <w:ind w:firstLine="567"/>
        <w:rPr>
          <w:rFonts w:cstheme="minorHAnsi"/>
        </w:rPr>
      </w:pPr>
      <w:r>
        <w:rPr>
          <w:rFonts w:cstheme="minorHAnsi"/>
        </w:rPr>
        <w:t>Повторная</w:t>
      </w:r>
      <w:r w:rsidRPr="004A68D8">
        <w:rPr>
          <w:rFonts w:cstheme="minorHAnsi"/>
        </w:rPr>
        <w:t xml:space="preserve"> аспирация и трепанобиопсия костного мозга выполняются для плановой оценки результатов лечения и при появлении клинически немотивированных цитопении и лихорадки. Аспират костного мозга может быть информативен для оценки регенерации и диспластических изменений миелопоэза. У</w:t>
      </w:r>
      <w:r>
        <w:rPr>
          <w:rFonts w:cstheme="minorHAnsi"/>
        </w:rPr>
        <w:t xml:space="preserve"> пациентов</w:t>
      </w:r>
      <w:r w:rsidRPr="004A68D8">
        <w:rPr>
          <w:rFonts w:cstheme="minorHAnsi"/>
        </w:rPr>
        <w:t xml:space="preserve"> с поражением костного мозга цитологическое исследование пунктата для оценки изменений объема опухолевой инфильтрации не всегда информативно. </w:t>
      </w:r>
    </w:p>
    <w:p w14:paraId="30958F97" w14:textId="59F4546F" w:rsidR="007D7257" w:rsidRPr="00DF14AA" w:rsidRDefault="007D7257" w:rsidP="007D7257">
      <w:pPr>
        <w:pStyle w:val="2"/>
      </w:pPr>
      <w:bookmarkStart w:id="81" w:name="_Toc35277467"/>
      <w:bookmarkStart w:id="82" w:name="_Toc103332108"/>
      <w:r>
        <w:t>7.2</w:t>
      </w:r>
      <w:r w:rsidR="00BD74B4" w:rsidRPr="00BD74B4">
        <w:t xml:space="preserve"> </w:t>
      </w:r>
      <w:r>
        <w:t>Патолого-анатомическая и иммуногистохимическая диагностика ЛМЗ</w:t>
      </w:r>
      <w:bookmarkEnd w:id="81"/>
      <w:bookmarkEnd w:id="82"/>
    </w:p>
    <w:p w14:paraId="74B25650" w14:textId="77777777" w:rsidR="007D7257" w:rsidRPr="0037117A" w:rsidRDefault="007D7257" w:rsidP="007D7257">
      <w:pPr>
        <w:ind w:firstLine="567"/>
        <w:rPr>
          <w:rFonts w:eastAsia="Times New Roman" w:cstheme="minorHAnsi"/>
          <w:bCs/>
          <w:lang w:eastAsia="ru-RU"/>
        </w:rPr>
      </w:pPr>
      <w:r w:rsidRPr="0037117A">
        <w:rPr>
          <w:rFonts w:eastAsia="Times New Roman" w:cstheme="minorHAnsi"/>
          <w:bCs/>
          <w:lang w:eastAsia="ru-RU"/>
        </w:rPr>
        <w:t>Группа лимфом из клеток маргинальной зоны (ЛМЗ) включает в себя следующие типы: нодальная ЛМЗ, экстранодальная ЛМЗ из лимфоидной ткани, ассоциированной со слизистыми оболочками (MALT-лимфома), ЛМЗ селезенки.</w:t>
      </w:r>
    </w:p>
    <w:p w14:paraId="78A63FAF" w14:textId="77777777" w:rsidR="007D7257" w:rsidRPr="0037117A" w:rsidRDefault="007D7257" w:rsidP="007D7257">
      <w:pPr>
        <w:ind w:firstLine="567"/>
        <w:rPr>
          <w:rFonts w:eastAsia="Times New Roman" w:cstheme="minorHAnsi"/>
          <w:bCs/>
          <w:lang w:eastAsia="ru-RU"/>
        </w:rPr>
      </w:pPr>
      <w:r w:rsidRPr="0037117A">
        <w:rPr>
          <w:rFonts w:eastAsia="Times New Roman" w:cstheme="minorHAnsi"/>
          <w:bCs/>
          <w:lang w:eastAsia="ru-RU"/>
        </w:rPr>
        <w:t>ЛМЗ представляют собой В-клеточные лимфомы с нодулярным, интрафолликулярным, маргинальным, диффузным, внутрисинусным типами роста. Клеточный состав полиморфный: встречаются клетки типа малых лимфоцитов, центроцитоподобные, лимфоидные клетки с признаками плазмоцитарной дифференцировки, зрелые плазматические клетки, разрозненно расположенные крупные клетки с морфологией центробластов и иммунобластов; при экстранодальной локализации нередко присутствуют скопления опухолевых клеток с морфологией моноцитоидных В-клеток.</w:t>
      </w:r>
    </w:p>
    <w:p w14:paraId="1CE609E6" w14:textId="0D58160C" w:rsidR="007D7257" w:rsidRPr="0037117A" w:rsidRDefault="007D7257" w:rsidP="007D7257">
      <w:pPr>
        <w:ind w:firstLine="567"/>
        <w:rPr>
          <w:rFonts w:eastAsia="Times New Roman" w:cstheme="minorHAnsi"/>
          <w:bCs/>
          <w:lang w:eastAsia="ru-RU"/>
        </w:rPr>
      </w:pPr>
      <w:r w:rsidRPr="0037117A">
        <w:rPr>
          <w:rFonts w:eastAsia="Times New Roman" w:cstheme="minorHAnsi"/>
          <w:bCs/>
          <w:lang w:eastAsia="ru-RU"/>
        </w:rPr>
        <w:t>Иммуногистохимически диагноз ЛМЗ устанавливается путем исключения других вариантов мелкоклеточных В-клеточных лимфом и требует использования широкой панели антител. Иммунофенотип опухоли характеризуется экспрессией пан-В-клеточных антигенов, в частности CD20 (интенсивная мембранная экспрессия). В целом иммунофенотип</w:t>
      </w:r>
      <w:r w:rsidR="00BD74B4" w:rsidRPr="00BD74B4">
        <w:rPr>
          <w:rFonts w:eastAsia="Times New Roman" w:cstheme="minorHAnsi"/>
          <w:bCs/>
          <w:lang w:eastAsia="ru-RU"/>
        </w:rPr>
        <w:t xml:space="preserve"> </w:t>
      </w:r>
      <w:r w:rsidRPr="0037117A">
        <w:rPr>
          <w:rFonts w:eastAsia="Times New Roman" w:cstheme="minorHAnsi"/>
          <w:bCs/>
          <w:lang w:eastAsia="ru-RU"/>
        </w:rPr>
        <w:t xml:space="preserve">нодальных и экстранодальных В-клеточных ЛМЗ идентичен: CD20+, CD19+, CD22+, CD5-, CD10-, CD23-, BCL-2+/-, BCL-6-, MUM.1 -/+ (слабая ядерная экспрессия в лимфоидных клетках опухолевого инфильтрата). В сложных случаях при </w:t>
      </w:r>
      <w:r w:rsidRPr="0037117A">
        <w:rPr>
          <w:rFonts w:eastAsia="Times New Roman" w:cstheme="minorHAnsi"/>
          <w:bCs/>
          <w:lang w:eastAsia="ru-RU"/>
        </w:rPr>
        <w:lastRenderedPageBreak/>
        <w:t>преобладании диффузного роста рекомендуется дополнительное исследование экспрессии CD38 (как правило, отсутствует) и CD44 (часто присутствует). Резидуальные зародышевые центры фолликулов с признаками колонизации визуализируются с помощью антител к CD10, BCL-6, CD23 (сеть фолликулярных дендритических клеток). При ЛМЗ селезенки может наблюдаться коэкспрессия CD5 (до 20% случаев). «Уникальный» диагностический маркер для ЛМЗ отсутствует. В классификации ВОЗ 2017 в иммуногистохимическую панель включены антитела к MNDA, однако экспрессия этого маркера может наблюдаться и при некоторых нодальных В-клеточных мелкоклеточных лимфомах.</w:t>
      </w:r>
    </w:p>
    <w:p w14:paraId="401670A1" w14:textId="77777777" w:rsidR="007D7257" w:rsidRDefault="007D7257" w:rsidP="007D7257">
      <w:pPr>
        <w:ind w:firstLine="567"/>
        <w:rPr>
          <w:rFonts w:eastAsia="Times New Roman" w:cstheme="minorHAnsi"/>
          <w:lang w:eastAsia="ru-RU"/>
        </w:rPr>
      </w:pPr>
      <w:r w:rsidRPr="0037117A">
        <w:rPr>
          <w:rFonts w:eastAsia="Times New Roman" w:cstheme="minorHAnsi"/>
          <w:bCs/>
          <w:lang w:eastAsia="ru-RU"/>
        </w:rPr>
        <w:t>Трансформация в диффузную В-клеточную крупноклеточную лимфому устанавливается при наличии крупноочаговых скоплений крупных клеток с морфологией центробластов/иммунобластов.</w:t>
      </w:r>
    </w:p>
    <w:p w14:paraId="37EBB38B" w14:textId="6E7CD1BE" w:rsidR="007D7257" w:rsidRDefault="007D7257" w:rsidP="007D7257">
      <w:pPr>
        <w:pStyle w:val="2"/>
        <w:rPr>
          <w:color w:val="000000" w:themeColor="text1"/>
        </w:rPr>
      </w:pPr>
      <w:bookmarkStart w:id="83" w:name="_Toc35277468"/>
      <w:bookmarkStart w:id="84" w:name="_Toc103332109"/>
      <w:r w:rsidRPr="00F65B65">
        <w:rPr>
          <w:color w:val="000000" w:themeColor="text1"/>
        </w:rPr>
        <w:t>7.3</w:t>
      </w:r>
      <w:r w:rsidR="00BD74B4" w:rsidRPr="00BD74B4">
        <w:rPr>
          <w:color w:val="000000" w:themeColor="text1"/>
        </w:rPr>
        <w:t xml:space="preserve"> </w:t>
      </w:r>
      <w:r w:rsidRPr="00F65B65">
        <w:rPr>
          <w:color w:val="000000" w:themeColor="text1"/>
        </w:rPr>
        <w:t>Стадирование</w:t>
      </w:r>
      <w:r w:rsidR="00BD74B4" w:rsidRPr="001B5B91">
        <w:rPr>
          <w:color w:val="000000" w:themeColor="text1"/>
        </w:rPr>
        <w:t xml:space="preserve"> </w:t>
      </w:r>
      <w:r>
        <w:rPr>
          <w:color w:val="000000" w:themeColor="text1"/>
        </w:rPr>
        <w:t>ЛМЗ</w:t>
      </w:r>
      <w:bookmarkEnd w:id="83"/>
      <w:bookmarkEnd w:id="84"/>
    </w:p>
    <w:p w14:paraId="6853BA47" w14:textId="36AF87A1" w:rsidR="007D7257" w:rsidRDefault="007D7257" w:rsidP="007D7257">
      <w:pPr>
        <w:ind w:firstLine="567"/>
        <w:rPr>
          <w:bCs/>
          <w:lang w:eastAsia="ru-RU"/>
        </w:rPr>
      </w:pPr>
      <w:r w:rsidRPr="00442AB7">
        <w:rPr>
          <w:bCs/>
          <w:lang w:eastAsia="ru-RU"/>
        </w:rPr>
        <w:t>MALT-лимфомы желудка стадируют согласно системе стадирования</w:t>
      </w:r>
      <w:r w:rsidR="00BD74B4" w:rsidRPr="00BD74B4">
        <w:rPr>
          <w:bCs/>
          <w:lang w:eastAsia="ru-RU"/>
        </w:rPr>
        <w:t xml:space="preserve"> </w:t>
      </w:r>
      <w:r w:rsidRPr="00442AB7">
        <w:rPr>
          <w:bCs/>
          <w:lang w:eastAsia="ru-RU"/>
        </w:rPr>
        <w:t>лимфом ЖКТ Лугано</w:t>
      </w:r>
      <w:r>
        <w:rPr>
          <w:bCs/>
          <w:lang w:eastAsia="ru-RU"/>
        </w:rPr>
        <w:t xml:space="preserve"> (табл. 7.3.1)</w:t>
      </w:r>
      <w:r w:rsidRPr="00442AB7">
        <w:rPr>
          <w:bCs/>
          <w:lang w:eastAsia="ru-RU"/>
        </w:rPr>
        <w:t>. Другие ЛМЗ стадируют согласно классификации Ann</w:t>
      </w:r>
      <w:r w:rsidR="00BD74B4" w:rsidRPr="001B5B91">
        <w:rPr>
          <w:bCs/>
          <w:lang w:eastAsia="ru-RU"/>
        </w:rPr>
        <w:t xml:space="preserve"> </w:t>
      </w:r>
      <w:r w:rsidRPr="00442AB7">
        <w:rPr>
          <w:bCs/>
          <w:lang w:eastAsia="ru-RU"/>
        </w:rPr>
        <w:t>Arbor</w:t>
      </w:r>
      <w:r>
        <w:rPr>
          <w:bCs/>
          <w:lang w:eastAsia="ru-RU"/>
        </w:rPr>
        <w:t xml:space="preserve"> (табл. 7.3.2)</w:t>
      </w:r>
      <w:r>
        <w:t>.</w:t>
      </w:r>
    </w:p>
    <w:p w14:paraId="6F1E2D60" w14:textId="33235B92" w:rsidR="007D7257" w:rsidRDefault="007D7257" w:rsidP="007D7257">
      <w:pPr>
        <w:spacing w:before="280" w:after="280"/>
        <w:rPr>
          <w:rFonts w:eastAsia="Times New Roman"/>
          <w:b/>
          <w:bCs/>
          <w:szCs w:val="24"/>
          <w:lang w:eastAsia="ru-RU"/>
        </w:rPr>
      </w:pPr>
      <w:r w:rsidRPr="00154AEE">
        <w:rPr>
          <w:rFonts w:eastAsia="Times New Roman"/>
          <w:b/>
          <w:bCs/>
          <w:szCs w:val="24"/>
          <w:lang w:eastAsia="ru-RU"/>
        </w:rPr>
        <w:t xml:space="preserve">Таблица </w:t>
      </w:r>
      <w:r>
        <w:rPr>
          <w:rFonts w:eastAsia="Times New Roman"/>
          <w:b/>
          <w:bCs/>
          <w:szCs w:val="24"/>
          <w:lang w:eastAsia="ru-RU"/>
        </w:rPr>
        <w:t>7.3.</w:t>
      </w:r>
      <w:r w:rsidRPr="00154AEE">
        <w:rPr>
          <w:rFonts w:eastAsia="Times New Roman"/>
          <w:b/>
          <w:bCs/>
          <w:szCs w:val="24"/>
          <w:lang w:eastAsia="ru-RU"/>
        </w:rPr>
        <w:t>1.</w:t>
      </w:r>
      <w:r w:rsidR="00BD74B4" w:rsidRPr="00BD74B4">
        <w:rPr>
          <w:rFonts w:eastAsia="Times New Roman"/>
          <w:b/>
          <w:bCs/>
          <w:szCs w:val="24"/>
          <w:lang w:eastAsia="ru-RU"/>
        </w:rPr>
        <w:t xml:space="preserve"> </w:t>
      </w:r>
      <w:r w:rsidRPr="00442AB7">
        <w:rPr>
          <w:rFonts w:eastAsia="Times New Roman"/>
          <w:b/>
          <w:bCs/>
          <w:szCs w:val="24"/>
          <w:lang w:eastAsia="ru-RU"/>
        </w:rPr>
        <w:t>Стадирование</w:t>
      </w:r>
      <w:r w:rsidR="00BD74B4" w:rsidRPr="00BD74B4">
        <w:rPr>
          <w:rFonts w:eastAsia="Times New Roman"/>
          <w:b/>
          <w:bCs/>
          <w:szCs w:val="24"/>
          <w:lang w:eastAsia="ru-RU"/>
        </w:rPr>
        <w:t xml:space="preserve"> </w:t>
      </w:r>
      <w:r w:rsidRPr="00442AB7">
        <w:rPr>
          <w:rFonts w:eastAsia="Times New Roman"/>
          <w:b/>
          <w:bCs/>
          <w:szCs w:val="24"/>
          <w:lang w:eastAsia="ru-RU"/>
        </w:rPr>
        <w:t>лимфом желудка: сравнение классификаций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309"/>
        <w:gridCol w:w="1813"/>
        <w:gridCol w:w="1552"/>
        <w:gridCol w:w="2294"/>
      </w:tblGrid>
      <w:tr w:rsidR="007D7257" w:rsidRPr="00442AB7" w14:paraId="49EFE1EE" w14:textId="77777777" w:rsidTr="000E7A74">
        <w:tc>
          <w:tcPr>
            <w:tcW w:w="3488" w:type="dxa"/>
            <w:gridSpan w:val="2"/>
            <w:shd w:val="clear" w:color="auto" w:fill="auto"/>
          </w:tcPr>
          <w:p w14:paraId="73BFB82E" w14:textId="458760D5" w:rsidR="007D7257" w:rsidRPr="00442AB7" w:rsidRDefault="007D7257" w:rsidP="000E7A74">
            <w:pPr>
              <w:ind w:firstLine="0"/>
              <w:rPr>
                <w:szCs w:val="24"/>
              </w:rPr>
            </w:pPr>
            <w:r w:rsidRPr="00442AB7">
              <w:rPr>
                <w:szCs w:val="24"/>
              </w:rPr>
              <w:t>Схема стадирования</w:t>
            </w:r>
            <w:r w:rsidR="00BD74B4" w:rsidRPr="00BD74B4">
              <w:rPr>
                <w:szCs w:val="24"/>
              </w:rPr>
              <w:t xml:space="preserve"> </w:t>
            </w:r>
            <w:r w:rsidRPr="00442AB7">
              <w:rPr>
                <w:szCs w:val="24"/>
              </w:rPr>
              <w:t>лимфом ЖКТ (Лугано, 1993 г.)</w:t>
            </w:r>
          </w:p>
        </w:tc>
        <w:tc>
          <w:tcPr>
            <w:tcW w:w="1866" w:type="dxa"/>
            <w:shd w:val="clear" w:color="auto" w:fill="auto"/>
          </w:tcPr>
          <w:p w14:paraId="1D09A3BD" w14:textId="759A9A20" w:rsidR="007D7257" w:rsidRPr="00442AB7" w:rsidRDefault="007D7257" w:rsidP="000E7A74">
            <w:pPr>
              <w:ind w:firstLine="0"/>
              <w:rPr>
                <w:szCs w:val="24"/>
              </w:rPr>
            </w:pPr>
            <w:r w:rsidRPr="00442AB7">
              <w:rPr>
                <w:szCs w:val="24"/>
              </w:rPr>
              <w:t>Стадия по Ann</w:t>
            </w:r>
            <w:r w:rsidR="00BD74B4">
              <w:rPr>
                <w:szCs w:val="24"/>
                <w:lang w:val="en-US"/>
              </w:rPr>
              <w:t xml:space="preserve"> </w:t>
            </w:r>
            <w:r w:rsidRPr="00442AB7">
              <w:rPr>
                <w:szCs w:val="24"/>
              </w:rPr>
              <w:t>Arbor</w:t>
            </w:r>
          </w:p>
        </w:tc>
        <w:tc>
          <w:tcPr>
            <w:tcW w:w="1572" w:type="dxa"/>
            <w:shd w:val="clear" w:color="auto" w:fill="auto"/>
          </w:tcPr>
          <w:p w14:paraId="15DB5A36" w14:textId="77777777" w:rsidR="007D7257" w:rsidRPr="00442AB7" w:rsidRDefault="007D7257" w:rsidP="000E7A74">
            <w:pPr>
              <w:ind w:firstLine="0"/>
              <w:rPr>
                <w:szCs w:val="24"/>
              </w:rPr>
            </w:pPr>
            <w:r w:rsidRPr="00442AB7">
              <w:rPr>
                <w:szCs w:val="24"/>
              </w:rPr>
              <w:t>Стадия по TNM</w:t>
            </w:r>
          </w:p>
        </w:tc>
        <w:tc>
          <w:tcPr>
            <w:tcW w:w="2311" w:type="dxa"/>
            <w:shd w:val="clear" w:color="auto" w:fill="auto"/>
          </w:tcPr>
          <w:p w14:paraId="1B208736" w14:textId="77777777" w:rsidR="007D7257" w:rsidRPr="00442AB7" w:rsidRDefault="007D7257" w:rsidP="000E7A74">
            <w:pPr>
              <w:ind w:firstLine="0"/>
              <w:rPr>
                <w:szCs w:val="24"/>
              </w:rPr>
            </w:pPr>
            <w:r w:rsidRPr="00442AB7">
              <w:rPr>
                <w:szCs w:val="24"/>
              </w:rPr>
              <w:t>Распространение опухоли</w:t>
            </w:r>
          </w:p>
        </w:tc>
      </w:tr>
      <w:tr w:rsidR="007D7257" w:rsidRPr="00442AB7" w14:paraId="3790B871" w14:textId="77777777" w:rsidTr="000E7A74">
        <w:tc>
          <w:tcPr>
            <w:tcW w:w="9237" w:type="dxa"/>
            <w:gridSpan w:val="5"/>
            <w:shd w:val="clear" w:color="auto" w:fill="auto"/>
          </w:tcPr>
          <w:p w14:paraId="12BB53F6" w14:textId="77777777" w:rsidR="007D7257" w:rsidRPr="00442AB7" w:rsidRDefault="007D7257" w:rsidP="000E7A74">
            <w:pPr>
              <w:ind w:firstLine="0"/>
              <w:jc w:val="center"/>
              <w:rPr>
                <w:szCs w:val="24"/>
              </w:rPr>
            </w:pPr>
            <w:r w:rsidRPr="00442AB7">
              <w:rPr>
                <w:szCs w:val="24"/>
              </w:rPr>
              <w:t>Поражение ограничено ЖКТ</w:t>
            </w:r>
          </w:p>
        </w:tc>
      </w:tr>
      <w:tr w:rsidR="007D7257" w:rsidRPr="00442AB7" w14:paraId="2A327D94" w14:textId="77777777" w:rsidTr="000E7A74">
        <w:tc>
          <w:tcPr>
            <w:tcW w:w="1308" w:type="dxa"/>
            <w:shd w:val="clear" w:color="auto" w:fill="auto"/>
          </w:tcPr>
          <w:p w14:paraId="4600AA1B" w14:textId="77777777" w:rsidR="007D7257" w:rsidRPr="00442AB7" w:rsidRDefault="007D7257" w:rsidP="000E7A74">
            <w:pPr>
              <w:ind w:firstLine="0"/>
              <w:rPr>
                <w:szCs w:val="24"/>
              </w:rPr>
            </w:pPr>
            <w:r w:rsidRPr="00442AB7">
              <w:rPr>
                <w:szCs w:val="24"/>
              </w:rPr>
              <w:t>IЕ1</w:t>
            </w:r>
          </w:p>
        </w:tc>
        <w:tc>
          <w:tcPr>
            <w:tcW w:w="2180" w:type="dxa"/>
            <w:shd w:val="clear" w:color="auto" w:fill="auto"/>
          </w:tcPr>
          <w:p w14:paraId="228AAC98" w14:textId="77777777" w:rsidR="007D7257" w:rsidRPr="00442AB7" w:rsidRDefault="007D7257" w:rsidP="000E7A74">
            <w:pPr>
              <w:ind w:firstLine="0"/>
              <w:rPr>
                <w:szCs w:val="24"/>
              </w:rPr>
            </w:pPr>
            <w:r w:rsidRPr="00442AB7">
              <w:rPr>
                <w:szCs w:val="24"/>
              </w:rPr>
              <w:t>Слизистая, подслизистая</w:t>
            </w:r>
          </w:p>
        </w:tc>
        <w:tc>
          <w:tcPr>
            <w:tcW w:w="1866" w:type="dxa"/>
            <w:shd w:val="clear" w:color="auto" w:fill="auto"/>
          </w:tcPr>
          <w:p w14:paraId="3D0C1471" w14:textId="77777777" w:rsidR="007D7257" w:rsidRPr="00442AB7" w:rsidRDefault="007D7257" w:rsidP="000E7A74">
            <w:pPr>
              <w:ind w:firstLine="0"/>
              <w:rPr>
                <w:szCs w:val="24"/>
              </w:rPr>
            </w:pPr>
            <w:r w:rsidRPr="00442AB7">
              <w:rPr>
                <w:szCs w:val="24"/>
                <w:lang w:val="en-US"/>
              </w:rPr>
              <w:t>I</w:t>
            </w:r>
            <w:r w:rsidRPr="00442AB7">
              <w:rPr>
                <w:szCs w:val="24"/>
              </w:rPr>
              <w:t>Е</w:t>
            </w:r>
          </w:p>
        </w:tc>
        <w:tc>
          <w:tcPr>
            <w:tcW w:w="1572" w:type="dxa"/>
            <w:shd w:val="clear" w:color="auto" w:fill="auto"/>
          </w:tcPr>
          <w:p w14:paraId="137908FF" w14:textId="77777777" w:rsidR="007D7257" w:rsidRPr="00442AB7" w:rsidRDefault="007D7257" w:rsidP="000E7A74">
            <w:pPr>
              <w:ind w:firstLine="0"/>
              <w:rPr>
                <w:szCs w:val="24"/>
                <w:lang w:val="en-US"/>
              </w:rPr>
            </w:pPr>
            <w:r w:rsidRPr="00442AB7">
              <w:rPr>
                <w:szCs w:val="24"/>
              </w:rPr>
              <w:t>T1</w:t>
            </w:r>
            <w:r w:rsidRPr="00442AB7">
              <w:rPr>
                <w:szCs w:val="24"/>
                <w:lang w:val="en-US"/>
              </w:rPr>
              <w:t> N</w:t>
            </w:r>
            <w:r w:rsidRPr="00442AB7">
              <w:rPr>
                <w:szCs w:val="24"/>
              </w:rPr>
              <w:t>0</w:t>
            </w:r>
            <w:r w:rsidRPr="00442AB7">
              <w:rPr>
                <w:szCs w:val="24"/>
                <w:lang w:val="en-US"/>
              </w:rPr>
              <w:t> M</w:t>
            </w:r>
            <w:r w:rsidRPr="00442AB7">
              <w:rPr>
                <w:szCs w:val="24"/>
              </w:rPr>
              <w:t>0</w:t>
            </w:r>
          </w:p>
        </w:tc>
        <w:tc>
          <w:tcPr>
            <w:tcW w:w="2311" w:type="dxa"/>
            <w:shd w:val="clear" w:color="auto" w:fill="auto"/>
          </w:tcPr>
          <w:p w14:paraId="255ADF3A" w14:textId="77777777" w:rsidR="007D7257" w:rsidRPr="00442AB7" w:rsidRDefault="007D7257" w:rsidP="000E7A74">
            <w:pPr>
              <w:ind w:firstLine="0"/>
              <w:rPr>
                <w:szCs w:val="24"/>
              </w:rPr>
            </w:pPr>
            <w:r w:rsidRPr="00442AB7">
              <w:rPr>
                <w:szCs w:val="24"/>
              </w:rPr>
              <w:t>Слизистая, подслизистая</w:t>
            </w:r>
          </w:p>
        </w:tc>
      </w:tr>
      <w:tr w:rsidR="007D7257" w:rsidRPr="00442AB7" w14:paraId="77BDE287" w14:textId="77777777" w:rsidTr="000E7A74">
        <w:tc>
          <w:tcPr>
            <w:tcW w:w="1308" w:type="dxa"/>
            <w:vMerge w:val="restart"/>
            <w:shd w:val="clear" w:color="auto" w:fill="auto"/>
          </w:tcPr>
          <w:p w14:paraId="6E085182" w14:textId="77777777" w:rsidR="007D7257" w:rsidRPr="00442AB7" w:rsidRDefault="007D7257" w:rsidP="000E7A74">
            <w:pPr>
              <w:ind w:firstLine="0"/>
              <w:rPr>
                <w:szCs w:val="24"/>
              </w:rPr>
            </w:pPr>
            <w:r w:rsidRPr="00442AB7">
              <w:rPr>
                <w:szCs w:val="24"/>
              </w:rPr>
              <w:t>IЕ2</w:t>
            </w:r>
          </w:p>
        </w:tc>
        <w:tc>
          <w:tcPr>
            <w:tcW w:w="2180" w:type="dxa"/>
            <w:vMerge w:val="restart"/>
            <w:shd w:val="clear" w:color="auto" w:fill="auto"/>
          </w:tcPr>
          <w:p w14:paraId="502BD1A6" w14:textId="77777777" w:rsidR="007D7257" w:rsidRPr="00442AB7" w:rsidRDefault="007D7257" w:rsidP="000E7A74">
            <w:pPr>
              <w:ind w:firstLine="0"/>
              <w:rPr>
                <w:szCs w:val="24"/>
              </w:rPr>
            </w:pPr>
            <w:r w:rsidRPr="00442AB7">
              <w:rPr>
                <w:szCs w:val="24"/>
              </w:rPr>
              <w:t>Мышечный слой, сероза</w:t>
            </w:r>
          </w:p>
        </w:tc>
        <w:tc>
          <w:tcPr>
            <w:tcW w:w="1866" w:type="dxa"/>
            <w:shd w:val="clear" w:color="auto" w:fill="auto"/>
          </w:tcPr>
          <w:p w14:paraId="3C16BD06" w14:textId="77777777" w:rsidR="007D7257" w:rsidRPr="00442AB7" w:rsidRDefault="007D7257" w:rsidP="000E7A74">
            <w:pPr>
              <w:ind w:firstLine="0"/>
              <w:rPr>
                <w:szCs w:val="24"/>
              </w:rPr>
            </w:pPr>
            <w:r w:rsidRPr="00442AB7">
              <w:rPr>
                <w:szCs w:val="24"/>
                <w:lang w:val="en-US"/>
              </w:rPr>
              <w:t>I</w:t>
            </w:r>
            <w:r w:rsidRPr="00442AB7">
              <w:rPr>
                <w:szCs w:val="24"/>
              </w:rPr>
              <w:t>Е</w:t>
            </w:r>
          </w:p>
        </w:tc>
        <w:tc>
          <w:tcPr>
            <w:tcW w:w="1572" w:type="dxa"/>
            <w:shd w:val="clear" w:color="auto" w:fill="auto"/>
          </w:tcPr>
          <w:p w14:paraId="4F5E6259" w14:textId="77777777" w:rsidR="007D7257" w:rsidRPr="00442AB7" w:rsidRDefault="007D7257" w:rsidP="000E7A74">
            <w:pPr>
              <w:ind w:firstLine="0"/>
              <w:rPr>
                <w:szCs w:val="24"/>
              </w:rPr>
            </w:pPr>
            <w:r w:rsidRPr="00442AB7">
              <w:rPr>
                <w:szCs w:val="24"/>
              </w:rPr>
              <w:t>T2</w:t>
            </w:r>
            <w:r w:rsidRPr="00442AB7">
              <w:rPr>
                <w:szCs w:val="24"/>
                <w:lang w:val="en-US"/>
              </w:rPr>
              <w:t> N</w:t>
            </w:r>
            <w:r w:rsidRPr="00442AB7">
              <w:rPr>
                <w:szCs w:val="24"/>
              </w:rPr>
              <w:t>0</w:t>
            </w:r>
            <w:r w:rsidRPr="00442AB7">
              <w:rPr>
                <w:szCs w:val="24"/>
                <w:lang w:val="en-US"/>
              </w:rPr>
              <w:t> M</w:t>
            </w:r>
            <w:r w:rsidRPr="00442AB7">
              <w:rPr>
                <w:szCs w:val="24"/>
              </w:rPr>
              <w:t>0</w:t>
            </w:r>
          </w:p>
        </w:tc>
        <w:tc>
          <w:tcPr>
            <w:tcW w:w="2311" w:type="dxa"/>
            <w:shd w:val="clear" w:color="auto" w:fill="auto"/>
          </w:tcPr>
          <w:p w14:paraId="72EFE1FF" w14:textId="77777777" w:rsidR="007D7257" w:rsidRPr="00442AB7" w:rsidRDefault="007D7257" w:rsidP="000E7A74">
            <w:pPr>
              <w:ind w:firstLine="0"/>
              <w:rPr>
                <w:szCs w:val="24"/>
              </w:rPr>
            </w:pPr>
            <w:r w:rsidRPr="00442AB7">
              <w:rPr>
                <w:szCs w:val="24"/>
              </w:rPr>
              <w:t>Мышечный слой</w:t>
            </w:r>
          </w:p>
        </w:tc>
      </w:tr>
      <w:tr w:rsidR="007D7257" w:rsidRPr="00442AB7" w14:paraId="2D18FBEF" w14:textId="77777777" w:rsidTr="000E7A74">
        <w:tc>
          <w:tcPr>
            <w:tcW w:w="1308" w:type="dxa"/>
            <w:vMerge/>
            <w:shd w:val="clear" w:color="auto" w:fill="auto"/>
          </w:tcPr>
          <w:p w14:paraId="4AA84EA7" w14:textId="77777777" w:rsidR="007D7257" w:rsidRPr="00442AB7" w:rsidRDefault="007D7257" w:rsidP="000E7A74">
            <w:pPr>
              <w:ind w:firstLine="0"/>
              <w:rPr>
                <w:szCs w:val="24"/>
              </w:rPr>
            </w:pPr>
          </w:p>
        </w:tc>
        <w:tc>
          <w:tcPr>
            <w:tcW w:w="2180" w:type="dxa"/>
            <w:vMerge/>
            <w:shd w:val="clear" w:color="auto" w:fill="auto"/>
          </w:tcPr>
          <w:p w14:paraId="35DE2F04" w14:textId="77777777" w:rsidR="007D7257" w:rsidRPr="00442AB7" w:rsidRDefault="007D7257" w:rsidP="000E7A74">
            <w:pPr>
              <w:ind w:firstLine="0"/>
              <w:rPr>
                <w:szCs w:val="24"/>
              </w:rPr>
            </w:pPr>
          </w:p>
        </w:tc>
        <w:tc>
          <w:tcPr>
            <w:tcW w:w="1866" w:type="dxa"/>
            <w:shd w:val="clear" w:color="auto" w:fill="auto"/>
          </w:tcPr>
          <w:p w14:paraId="27BE77D5" w14:textId="77777777" w:rsidR="007D7257" w:rsidRPr="00442AB7" w:rsidRDefault="007D7257" w:rsidP="000E7A74">
            <w:pPr>
              <w:ind w:firstLine="0"/>
              <w:rPr>
                <w:szCs w:val="24"/>
              </w:rPr>
            </w:pPr>
            <w:r w:rsidRPr="00442AB7">
              <w:rPr>
                <w:szCs w:val="24"/>
                <w:lang w:val="en-US"/>
              </w:rPr>
              <w:t>I</w:t>
            </w:r>
            <w:r w:rsidRPr="00442AB7">
              <w:rPr>
                <w:szCs w:val="24"/>
              </w:rPr>
              <w:t>Е</w:t>
            </w:r>
          </w:p>
        </w:tc>
        <w:tc>
          <w:tcPr>
            <w:tcW w:w="1572" w:type="dxa"/>
            <w:shd w:val="clear" w:color="auto" w:fill="auto"/>
          </w:tcPr>
          <w:p w14:paraId="5107F5E1" w14:textId="77777777" w:rsidR="007D7257" w:rsidRPr="00442AB7" w:rsidRDefault="007D7257" w:rsidP="000E7A74">
            <w:pPr>
              <w:ind w:firstLine="0"/>
              <w:rPr>
                <w:szCs w:val="24"/>
              </w:rPr>
            </w:pPr>
            <w:r w:rsidRPr="00442AB7">
              <w:rPr>
                <w:szCs w:val="24"/>
              </w:rPr>
              <w:t>T3</w:t>
            </w:r>
            <w:r w:rsidRPr="00442AB7">
              <w:rPr>
                <w:szCs w:val="24"/>
                <w:lang w:val="en-US"/>
              </w:rPr>
              <w:t> N</w:t>
            </w:r>
            <w:r w:rsidRPr="00442AB7">
              <w:rPr>
                <w:szCs w:val="24"/>
              </w:rPr>
              <w:t>0</w:t>
            </w:r>
            <w:r w:rsidRPr="00442AB7">
              <w:rPr>
                <w:szCs w:val="24"/>
                <w:lang w:val="en-US"/>
              </w:rPr>
              <w:t> M</w:t>
            </w:r>
            <w:r w:rsidRPr="00442AB7">
              <w:rPr>
                <w:szCs w:val="24"/>
              </w:rPr>
              <w:t>0</w:t>
            </w:r>
          </w:p>
        </w:tc>
        <w:tc>
          <w:tcPr>
            <w:tcW w:w="2311" w:type="dxa"/>
            <w:shd w:val="clear" w:color="auto" w:fill="auto"/>
          </w:tcPr>
          <w:p w14:paraId="397087DD" w14:textId="77777777" w:rsidR="007D7257" w:rsidRPr="00442AB7" w:rsidRDefault="007D7257" w:rsidP="000E7A74">
            <w:pPr>
              <w:ind w:firstLine="0"/>
              <w:rPr>
                <w:szCs w:val="24"/>
              </w:rPr>
            </w:pPr>
            <w:r w:rsidRPr="00442AB7">
              <w:rPr>
                <w:szCs w:val="24"/>
              </w:rPr>
              <w:t>Серозная оболочка</w:t>
            </w:r>
          </w:p>
        </w:tc>
      </w:tr>
      <w:tr w:rsidR="007D7257" w:rsidRPr="00442AB7" w14:paraId="503EEB7F" w14:textId="77777777" w:rsidTr="000E7A74">
        <w:tc>
          <w:tcPr>
            <w:tcW w:w="9237" w:type="dxa"/>
            <w:gridSpan w:val="5"/>
            <w:shd w:val="clear" w:color="auto" w:fill="auto"/>
          </w:tcPr>
          <w:p w14:paraId="3285C0B7" w14:textId="77777777" w:rsidR="007D7257" w:rsidRPr="00442AB7" w:rsidRDefault="007D7257" w:rsidP="000E7A74">
            <w:pPr>
              <w:ind w:firstLine="0"/>
              <w:jc w:val="center"/>
              <w:rPr>
                <w:szCs w:val="24"/>
              </w:rPr>
            </w:pPr>
            <w:r w:rsidRPr="00442AB7">
              <w:rPr>
                <w:szCs w:val="24"/>
              </w:rPr>
              <w:t>Распространение на брюшную полость</w:t>
            </w:r>
          </w:p>
        </w:tc>
      </w:tr>
      <w:tr w:rsidR="007D7257" w:rsidRPr="00442AB7" w14:paraId="153F62BE" w14:textId="77777777" w:rsidTr="000E7A74">
        <w:tc>
          <w:tcPr>
            <w:tcW w:w="1308" w:type="dxa"/>
            <w:shd w:val="clear" w:color="auto" w:fill="auto"/>
          </w:tcPr>
          <w:p w14:paraId="18DD37C3" w14:textId="77777777" w:rsidR="007D7257" w:rsidRPr="00442AB7" w:rsidRDefault="007D7257" w:rsidP="000E7A74">
            <w:pPr>
              <w:ind w:firstLine="0"/>
              <w:rPr>
                <w:szCs w:val="24"/>
              </w:rPr>
            </w:pPr>
            <w:r w:rsidRPr="00442AB7">
              <w:rPr>
                <w:szCs w:val="24"/>
              </w:rPr>
              <w:t>IIЕ1</w:t>
            </w:r>
          </w:p>
        </w:tc>
        <w:tc>
          <w:tcPr>
            <w:tcW w:w="2180" w:type="dxa"/>
            <w:shd w:val="clear" w:color="auto" w:fill="auto"/>
          </w:tcPr>
          <w:p w14:paraId="79B0F865" w14:textId="77777777" w:rsidR="007D7257" w:rsidRPr="00442AB7" w:rsidRDefault="007D7257" w:rsidP="000E7A74">
            <w:pPr>
              <w:ind w:firstLine="0"/>
              <w:rPr>
                <w:szCs w:val="24"/>
              </w:rPr>
            </w:pPr>
            <w:r w:rsidRPr="00442AB7">
              <w:rPr>
                <w:szCs w:val="24"/>
              </w:rPr>
              <w:t>Вовлечение ближайших локальных л/у</w:t>
            </w:r>
          </w:p>
        </w:tc>
        <w:tc>
          <w:tcPr>
            <w:tcW w:w="1866" w:type="dxa"/>
            <w:shd w:val="clear" w:color="auto" w:fill="auto"/>
          </w:tcPr>
          <w:p w14:paraId="1536429D" w14:textId="77777777" w:rsidR="007D7257" w:rsidRPr="00442AB7" w:rsidRDefault="007D7257" w:rsidP="000E7A74">
            <w:pPr>
              <w:ind w:firstLine="0"/>
              <w:rPr>
                <w:szCs w:val="24"/>
              </w:rPr>
            </w:pPr>
            <w:r w:rsidRPr="00442AB7">
              <w:rPr>
                <w:szCs w:val="24"/>
              </w:rPr>
              <w:t>IIE</w:t>
            </w:r>
          </w:p>
        </w:tc>
        <w:tc>
          <w:tcPr>
            <w:tcW w:w="1572" w:type="dxa"/>
            <w:shd w:val="clear" w:color="auto" w:fill="auto"/>
          </w:tcPr>
          <w:p w14:paraId="5DA647B1" w14:textId="77777777" w:rsidR="007D7257" w:rsidRPr="00442AB7" w:rsidRDefault="007D7257" w:rsidP="000E7A74">
            <w:pPr>
              <w:ind w:firstLine="0"/>
              <w:rPr>
                <w:szCs w:val="24"/>
              </w:rPr>
            </w:pPr>
            <w:r w:rsidRPr="00442AB7">
              <w:rPr>
                <w:szCs w:val="24"/>
              </w:rPr>
              <w:t>T1-3</w:t>
            </w:r>
            <w:r w:rsidRPr="00442AB7">
              <w:rPr>
                <w:szCs w:val="24"/>
                <w:lang w:val="en-US"/>
              </w:rPr>
              <w:t> N</w:t>
            </w:r>
            <w:r w:rsidRPr="00442AB7">
              <w:rPr>
                <w:szCs w:val="24"/>
              </w:rPr>
              <w:t>1</w:t>
            </w:r>
            <w:r w:rsidRPr="00442AB7">
              <w:rPr>
                <w:szCs w:val="24"/>
                <w:lang w:val="en-US"/>
              </w:rPr>
              <w:t> M</w:t>
            </w:r>
            <w:r w:rsidRPr="00442AB7">
              <w:rPr>
                <w:szCs w:val="24"/>
              </w:rPr>
              <w:t>0</w:t>
            </w:r>
          </w:p>
        </w:tc>
        <w:tc>
          <w:tcPr>
            <w:tcW w:w="2311" w:type="dxa"/>
            <w:shd w:val="clear" w:color="auto" w:fill="auto"/>
          </w:tcPr>
          <w:p w14:paraId="4F193627" w14:textId="77777777" w:rsidR="007D7257" w:rsidRPr="00442AB7" w:rsidRDefault="007D7257" w:rsidP="000E7A74">
            <w:pPr>
              <w:ind w:firstLine="0"/>
              <w:rPr>
                <w:szCs w:val="24"/>
              </w:rPr>
            </w:pPr>
            <w:r w:rsidRPr="00442AB7">
              <w:rPr>
                <w:szCs w:val="24"/>
              </w:rPr>
              <w:t>Перигастральные л/у</w:t>
            </w:r>
          </w:p>
        </w:tc>
      </w:tr>
      <w:tr w:rsidR="007D7257" w:rsidRPr="00442AB7" w14:paraId="3067A43D" w14:textId="77777777" w:rsidTr="000E7A74">
        <w:tc>
          <w:tcPr>
            <w:tcW w:w="1308" w:type="dxa"/>
            <w:vMerge w:val="restart"/>
            <w:shd w:val="clear" w:color="auto" w:fill="auto"/>
          </w:tcPr>
          <w:p w14:paraId="3BBBCE11" w14:textId="77777777" w:rsidR="007D7257" w:rsidRPr="00442AB7" w:rsidRDefault="007D7257" w:rsidP="000E7A74">
            <w:pPr>
              <w:ind w:firstLine="0"/>
              <w:rPr>
                <w:szCs w:val="24"/>
              </w:rPr>
            </w:pPr>
            <w:r w:rsidRPr="00442AB7">
              <w:rPr>
                <w:szCs w:val="24"/>
              </w:rPr>
              <w:t>IIЕ2</w:t>
            </w:r>
          </w:p>
        </w:tc>
        <w:tc>
          <w:tcPr>
            <w:tcW w:w="2180" w:type="dxa"/>
            <w:shd w:val="clear" w:color="auto" w:fill="auto"/>
          </w:tcPr>
          <w:p w14:paraId="2EDD411C" w14:textId="77777777" w:rsidR="007D7257" w:rsidRPr="00442AB7" w:rsidRDefault="007D7257" w:rsidP="000E7A74">
            <w:pPr>
              <w:ind w:firstLine="0"/>
              <w:rPr>
                <w:szCs w:val="24"/>
              </w:rPr>
            </w:pPr>
            <w:r w:rsidRPr="00442AB7">
              <w:rPr>
                <w:szCs w:val="24"/>
              </w:rPr>
              <w:t>Вовлечение</w:t>
            </w:r>
          </w:p>
          <w:p w14:paraId="7917AE54" w14:textId="77777777" w:rsidR="007D7257" w:rsidRPr="00442AB7" w:rsidRDefault="007D7257" w:rsidP="000E7A74">
            <w:pPr>
              <w:ind w:firstLine="0"/>
              <w:rPr>
                <w:color w:val="FF0000"/>
                <w:szCs w:val="24"/>
              </w:rPr>
            </w:pPr>
            <w:r w:rsidRPr="00442AB7">
              <w:rPr>
                <w:szCs w:val="24"/>
              </w:rPr>
              <w:t xml:space="preserve">отдаленных регионарных узлов </w:t>
            </w:r>
          </w:p>
        </w:tc>
        <w:tc>
          <w:tcPr>
            <w:tcW w:w="1866" w:type="dxa"/>
            <w:shd w:val="clear" w:color="auto" w:fill="auto"/>
          </w:tcPr>
          <w:p w14:paraId="1C87C095" w14:textId="77777777" w:rsidR="007D7257" w:rsidRPr="00442AB7" w:rsidRDefault="007D7257" w:rsidP="000E7A74">
            <w:pPr>
              <w:ind w:firstLine="0"/>
              <w:rPr>
                <w:szCs w:val="24"/>
              </w:rPr>
            </w:pPr>
            <w:r w:rsidRPr="00442AB7">
              <w:rPr>
                <w:szCs w:val="24"/>
              </w:rPr>
              <w:t>IIE</w:t>
            </w:r>
          </w:p>
        </w:tc>
        <w:tc>
          <w:tcPr>
            <w:tcW w:w="1572" w:type="dxa"/>
            <w:shd w:val="clear" w:color="auto" w:fill="auto"/>
          </w:tcPr>
          <w:p w14:paraId="1EF3D58B" w14:textId="77777777" w:rsidR="007D7257" w:rsidRPr="00442AB7" w:rsidRDefault="007D7257" w:rsidP="000E7A74">
            <w:pPr>
              <w:ind w:firstLine="0"/>
              <w:rPr>
                <w:szCs w:val="24"/>
              </w:rPr>
            </w:pPr>
            <w:r w:rsidRPr="00442AB7">
              <w:rPr>
                <w:szCs w:val="24"/>
              </w:rPr>
              <w:t>T1-3</w:t>
            </w:r>
            <w:r w:rsidRPr="00442AB7">
              <w:rPr>
                <w:szCs w:val="24"/>
                <w:lang w:val="en-US"/>
              </w:rPr>
              <w:t> N</w:t>
            </w:r>
            <w:r w:rsidRPr="00442AB7">
              <w:rPr>
                <w:szCs w:val="24"/>
              </w:rPr>
              <w:t>2</w:t>
            </w:r>
            <w:r w:rsidRPr="00442AB7">
              <w:rPr>
                <w:szCs w:val="24"/>
                <w:lang w:val="en-US"/>
              </w:rPr>
              <w:t> M</w:t>
            </w:r>
            <w:r w:rsidRPr="00442AB7">
              <w:rPr>
                <w:szCs w:val="24"/>
              </w:rPr>
              <w:t>0</w:t>
            </w:r>
          </w:p>
        </w:tc>
        <w:tc>
          <w:tcPr>
            <w:tcW w:w="2311" w:type="dxa"/>
            <w:shd w:val="clear" w:color="auto" w:fill="auto"/>
          </w:tcPr>
          <w:p w14:paraId="0B53FEEE" w14:textId="77777777" w:rsidR="007D7257" w:rsidRPr="00442AB7" w:rsidRDefault="007D7257" w:rsidP="000E7A74">
            <w:pPr>
              <w:ind w:firstLine="0"/>
              <w:rPr>
                <w:szCs w:val="24"/>
              </w:rPr>
            </w:pPr>
            <w:r w:rsidRPr="00442AB7">
              <w:rPr>
                <w:szCs w:val="24"/>
              </w:rPr>
              <w:t>Отдаленные л</w:t>
            </w:r>
            <w:r w:rsidRPr="00442AB7">
              <w:rPr>
                <w:szCs w:val="24"/>
                <w:lang w:val="en-US"/>
              </w:rPr>
              <w:t>/</w:t>
            </w:r>
            <w:r w:rsidRPr="00442AB7">
              <w:rPr>
                <w:szCs w:val="24"/>
              </w:rPr>
              <w:t>у</w:t>
            </w:r>
          </w:p>
        </w:tc>
      </w:tr>
      <w:tr w:rsidR="007D7257" w:rsidRPr="00442AB7" w14:paraId="73280B4C" w14:textId="77777777" w:rsidTr="000E7A74">
        <w:tc>
          <w:tcPr>
            <w:tcW w:w="1308" w:type="dxa"/>
            <w:vMerge/>
            <w:shd w:val="clear" w:color="auto" w:fill="auto"/>
          </w:tcPr>
          <w:p w14:paraId="13147F58" w14:textId="77777777" w:rsidR="007D7257" w:rsidRPr="00442AB7" w:rsidRDefault="007D7257" w:rsidP="000E7A74">
            <w:pPr>
              <w:ind w:firstLine="0"/>
              <w:rPr>
                <w:szCs w:val="24"/>
              </w:rPr>
            </w:pPr>
          </w:p>
        </w:tc>
        <w:tc>
          <w:tcPr>
            <w:tcW w:w="2180" w:type="dxa"/>
            <w:shd w:val="clear" w:color="auto" w:fill="auto"/>
          </w:tcPr>
          <w:p w14:paraId="14661BE1" w14:textId="4717BA28" w:rsidR="007D7257" w:rsidRPr="00442AB7" w:rsidRDefault="007D7257" w:rsidP="000E7A74">
            <w:pPr>
              <w:ind w:firstLine="0"/>
              <w:rPr>
                <w:szCs w:val="24"/>
              </w:rPr>
            </w:pPr>
            <w:r w:rsidRPr="00442AB7">
              <w:rPr>
                <w:szCs w:val="24"/>
              </w:rPr>
              <w:t>Пенетрация</w:t>
            </w:r>
            <w:r w:rsidR="00BD74B4" w:rsidRPr="00BD74B4">
              <w:rPr>
                <w:szCs w:val="24"/>
              </w:rPr>
              <w:t xml:space="preserve"> </w:t>
            </w:r>
            <w:r w:rsidRPr="00442AB7">
              <w:rPr>
                <w:szCs w:val="24"/>
              </w:rPr>
              <w:t>серозы и переход на соседние органы и ткани</w:t>
            </w:r>
          </w:p>
        </w:tc>
        <w:tc>
          <w:tcPr>
            <w:tcW w:w="1866" w:type="dxa"/>
            <w:shd w:val="clear" w:color="auto" w:fill="auto"/>
          </w:tcPr>
          <w:p w14:paraId="2C48301A" w14:textId="77777777" w:rsidR="007D7257" w:rsidRPr="00442AB7" w:rsidRDefault="007D7257" w:rsidP="000E7A74">
            <w:pPr>
              <w:ind w:firstLine="0"/>
              <w:rPr>
                <w:szCs w:val="24"/>
              </w:rPr>
            </w:pPr>
            <w:r w:rsidRPr="00442AB7">
              <w:rPr>
                <w:szCs w:val="24"/>
              </w:rPr>
              <w:t>IIE</w:t>
            </w:r>
          </w:p>
        </w:tc>
        <w:tc>
          <w:tcPr>
            <w:tcW w:w="1572" w:type="dxa"/>
            <w:shd w:val="clear" w:color="auto" w:fill="auto"/>
          </w:tcPr>
          <w:p w14:paraId="686A131C" w14:textId="77777777" w:rsidR="007D7257" w:rsidRPr="00442AB7" w:rsidRDefault="007D7257" w:rsidP="000E7A74">
            <w:pPr>
              <w:ind w:firstLine="0"/>
              <w:rPr>
                <w:szCs w:val="24"/>
              </w:rPr>
            </w:pPr>
            <w:r w:rsidRPr="00442AB7">
              <w:rPr>
                <w:szCs w:val="24"/>
              </w:rPr>
              <w:t>T4</w:t>
            </w:r>
            <w:r w:rsidRPr="00442AB7">
              <w:rPr>
                <w:szCs w:val="24"/>
                <w:lang w:val="en-US"/>
              </w:rPr>
              <w:t> N</w:t>
            </w:r>
            <w:r w:rsidRPr="00442AB7">
              <w:rPr>
                <w:szCs w:val="24"/>
              </w:rPr>
              <w:t>0</w:t>
            </w:r>
            <w:r w:rsidRPr="00442AB7">
              <w:rPr>
                <w:szCs w:val="24"/>
                <w:lang w:val="en-US"/>
              </w:rPr>
              <w:t> M</w:t>
            </w:r>
            <w:r w:rsidRPr="00442AB7">
              <w:rPr>
                <w:szCs w:val="24"/>
              </w:rPr>
              <w:t>0</w:t>
            </w:r>
          </w:p>
        </w:tc>
        <w:tc>
          <w:tcPr>
            <w:tcW w:w="2311" w:type="dxa"/>
            <w:shd w:val="clear" w:color="auto" w:fill="auto"/>
          </w:tcPr>
          <w:p w14:paraId="486C05D1" w14:textId="77777777" w:rsidR="007D7257" w:rsidRPr="00442AB7" w:rsidRDefault="007D7257" w:rsidP="000E7A74">
            <w:pPr>
              <w:ind w:firstLine="0"/>
              <w:rPr>
                <w:szCs w:val="24"/>
              </w:rPr>
            </w:pPr>
            <w:r w:rsidRPr="00442AB7">
              <w:rPr>
                <w:szCs w:val="24"/>
              </w:rPr>
              <w:t>Инвазия прилежащих структур</w:t>
            </w:r>
          </w:p>
        </w:tc>
      </w:tr>
      <w:tr w:rsidR="007D7257" w:rsidRPr="00442AB7" w14:paraId="2FA7955A" w14:textId="77777777" w:rsidTr="000E7A74">
        <w:tc>
          <w:tcPr>
            <w:tcW w:w="1308" w:type="dxa"/>
            <w:vMerge w:val="restart"/>
            <w:shd w:val="clear" w:color="auto" w:fill="auto"/>
          </w:tcPr>
          <w:p w14:paraId="624663C9" w14:textId="77777777" w:rsidR="007D7257" w:rsidRPr="00442AB7" w:rsidRDefault="007D7257" w:rsidP="000E7A74">
            <w:pPr>
              <w:ind w:firstLine="0"/>
              <w:rPr>
                <w:szCs w:val="24"/>
              </w:rPr>
            </w:pPr>
            <w:r w:rsidRPr="00442AB7">
              <w:rPr>
                <w:szCs w:val="24"/>
              </w:rPr>
              <w:t>IV</w:t>
            </w:r>
          </w:p>
        </w:tc>
        <w:tc>
          <w:tcPr>
            <w:tcW w:w="2180" w:type="dxa"/>
            <w:vMerge w:val="restart"/>
            <w:shd w:val="clear" w:color="auto" w:fill="auto"/>
          </w:tcPr>
          <w:p w14:paraId="416EF58E" w14:textId="77777777" w:rsidR="007D7257" w:rsidRPr="00442AB7" w:rsidRDefault="007D7257" w:rsidP="000E7A74">
            <w:pPr>
              <w:ind w:firstLine="0"/>
              <w:rPr>
                <w:szCs w:val="24"/>
              </w:rPr>
            </w:pPr>
            <w:r w:rsidRPr="00442AB7">
              <w:rPr>
                <w:szCs w:val="24"/>
              </w:rPr>
              <w:t>Диссеминированное экстранодальное поражение или поражение наддиафрагмальных л/у</w:t>
            </w:r>
          </w:p>
        </w:tc>
        <w:tc>
          <w:tcPr>
            <w:tcW w:w="1866" w:type="dxa"/>
            <w:shd w:val="clear" w:color="auto" w:fill="auto"/>
          </w:tcPr>
          <w:p w14:paraId="58CF12C4" w14:textId="77777777" w:rsidR="007D7257" w:rsidRPr="00442AB7" w:rsidRDefault="007D7257" w:rsidP="000E7A74">
            <w:pPr>
              <w:ind w:firstLine="0"/>
              <w:rPr>
                <w:szCs w:val="24"/>
              </w:rPr>
            </w:pPr>
            <w:r w:rsidRPr="00442AB7">
              <w:rPr>
                <w:szCs w:val="24"/>
              </w:rPr>
              <w:t>IIIE</w:t>
            </w:r>
          </w:p>
        </w:tc>
        <w:tc>
          <w:tcPr>
            <w:tcW w:w="1572" w:type="dxa"/>
            <w:shd w:val="clear" w:color="auto" w:fill="auto"/>
          </w:tcPr>
          <w:p w14:paraId="1B0FBC4D" w14:textId="77777777" w:rsidR="007D7257" w:rsidRPr="00442AB7" w:rsidRDefault="007D7257" w:rsidP="000E7A74">
            <w:pPr>
              <w:ind w:firstLine="0"/>
              <w:rPr>
                <w:szCs w:val="24"/>
              </w:rPr>
            </w:pPr>
            <w:r w:rsidRPr="00442AB7">
              <w:rPr>
                <w:szCs w:val="24"/>
              </w:rPr>
              <w:t>T1-4</w:t>
            </w:r>
            <w:r w:rsidRPr="00442AB7">
              <w:rPr>
                <w:szCs w:val="24"/>
                <w:lang w:val="en-US"/>
              </w:rPr>
              <w:t> N</w:t>
            </w:r>
            <w:r w:rsidRPr="00442AB7">
              <w:rPr>
                <w:szCs w:val="24"/>
              </w:rPr>
              <w:t>3</w:t>
            </w:r>
            <w:r w:rsidRPr="00442AB7">
              <w:rPr>
                <w:szCs w:val="24"/>
                <w:lang w:val="en-US"/>
              </w:rPr>
              <w:t> M</w:t>
            </w:r>
            <w:r w:rsidRPr="00442AB7">
              <w:rPr>
                <w:szCs w:val="24"/>
              </w:rPr>
              <w:t>0</w:t>
            </w:r>
          </w:p>
        </w:tc>
        <w:tc>
          <w:tcPr>
            <w:tcW w:w="2311" w:type="dxa"/>
            <w:vMerge w:val="restart"/>
            <w:shd w:val="clear" w:color="auto" w:fill="auto"/>
          </w:tcPr>
          <w:p w14:paraId="45B79A4F" w14:textId="77777777" w:rsidR="007D7257" w:rsidRPr="00442AB7" w:rsidRDefault="007D7257" w:rsidP="000E7A74">
            <w:pPr>
              <w:ind w:firstLine="0"/>
              <w:rPr>
                <w:szCs w:val="24"/>
              </w:rPr>
            </w:pPr>
            <w:r w:rsidRPr="00442AB7">
              <w:rPr>
                <w:szCs w:val="24"/>
              </w:rPr>
              <w:t>Поражение л/у по обе стороны диафрагмы, отдаленные метастазы (КМ, дополнительные экстранодальные очаги)</w:t>
            </w:r>
          </w:p>
        </w:tc>
      </w:tr>
      <w:tr w:rsidR="007D7257" w:rsidRPr="00442AB7" w14:paraId="52AFECB0" w14:textId="77777777" w:rsidTr="000E7A74">
        <w:tc>
          <w:tcPr>
            <w:tcW w:w="1308" w:type="dxa"/>
            <w:vMerge/>
            <w:shd w:val="clear" w:color="auto" w:fill="auto"/>
          </w:tcPr>
          <w:p w14:paraId="4B197091" w14:textId="77777777" w:rsidR="007D7257" w:rsidRPr="00442AB7" w:rsidRDefault="007D7257" w:rsidP="000E7A74">
            <w:pPr>
              <w:ind w:firstLine="0"/>
              <w:rPr>
                <w:szCs w:val="24"/>
              </w:rPr>
            </w:pPr>
          </w:p>
        </w:tc>
        <w:tc>
          <w:tcPr>
            <w:tcW w:w="2180" w:type="dxa"/>
            <w:vMerge/>
            <w:shd w:val="clear" w:color="auto" w:fill="auto"/>
          </w:tcPr>
          <w:p w14:paraId="2A004078" w14:textId="77777777" w:rsidR="007D7257" w:rsidRPr="00442AB7" w:rsidRDefault="007D7257" w:rsidP="000E7A74">
            <w:pPr>
              <w:ind w:firstLine="0"/>
              <w:rPr>
                <w:szCs w:val="24"/>
              </w:rPr>
            </w:pPr>
          </w:p>
        </w:tc>
        <w:tc>
          <w:tcPr>
            <w:tcW w:w="1866" w:type="dxa"/>
            <w:shd w:val="clear" w:color="auto" w:fill="auto"/>
          </w:tcPr>
          <w:p w14:paraId="66B6149B" w14:textId="77777777" w:rsidR="007D7257" w:rsidRPr="00442AB7" w:rsidRDefault="007D7257" w:rsidP="000E7A74">
            <w:pPr>
              <w:ind w:firstLine="0"/>
              <w:rPr>
                <w:szCs w:val="24"/>
              </w:rPr>
            </w:pPr>
            <w:r w:rsidRPr="00442AB7">
              <w:rPr>
                <w:szCs w:val="24"/>
              </w:rPr>
              <w:t>IV</w:t>
            </w:r>
          </w:p>
        </w:tc>
        <w:tc>
          <w:tcPr>
            <w:tcW w:w="1572" w:type="dxa"/>
            <w:shd w:val="clear" w:color="auto" w:fill="auto"/>
          </w:tcPr>
          <w:p w14:paraId="7241766A" w14:textId="77777777" w:rsidR="007D7257" w:rsidRPr="00442AB7" w:rsidRDefault="007D7257" w:rsidP="000E7A74">
            <w:pPr>
              <w:ind w:firstLine="0"/>
              <w:rPr>
                <w:szCs w:val="24"/>
              </w:rPr>
            </w:pPr>
            <w:r w:rsidRPr="00442AB7">
              <w:rPr>
                <w:szCs w:val="24"/>
              </w:rPr>
              <w:t>T1-4</w:t>
            </w:r>
            <w:r w:rsidRPr="00442AB7">
              <w:rPr>
                <w:szCs w:val="24"/>
                <w:lang w:val="en-US"/>
              </w:rPr>
              <w:t> N</w:t>
            </w:r>
            <w:r w:rsidRPr="00442AB7">
              <w:rPr>
                <w:szCs w:val="24"/>
              </w:rPr>
              <w:t>0</w:t>
            </w:r>
            <w:r w:rsidRPr="00442AB7">
              <w:rPr>
                <w:szCs w:val="24"/>
                <w:lang w:val="en-US"/>
              </w:rPr>
              <w:t>-3 M</w:t>
            </w:r>
            <w:r w:rsidRPr="00442AB7">
              <w:rPr>
                <w:szCs w:val="24"/>
              </w:rPr>
              <w:t>1</w:t>
            </w:r>
          </w:p>
        </w:tc>
        <w:tc>
          <w:tcPr>
            <w:tcW w:w="2311" w:type="dxa"/>
            <w:vMerge/>
            <w:shd w:val="clear" w:color="auto" w:fill="auto"/>
          </w:tcPr>
          <w:p w14:paraId="5468C73A" w14:textId="77777777" w:rsidR="007D7257" w:rsidRPr="00442AB7" w:rsidRDefault="007D7257" w:rsidP="000E7A74">
            <w:pPr>
              <w:ind w:firstLine="0"/>
              <w:rPr>
                <w:szCs w:val="24"/>
              </w:rPr>
            </w:pPr>
          </w:p>
        </w:tc>
      </w:tr>
    </w:tbl>
    <w:p w14:paraId="4217F600" w14:textId="06121661" w:rsidR="007D7257" w:rsidRPr="00BB7996" w:rsidRDefault="007D7257" w:rsidP="007D7257">
      <w:pPr>
        <w:spacing w:before="280" w:after="280"/>
        <w:rPr>
          <w:szCs w:val="24"/>
        </w:rPr>
      </w:pPr>
      <w:r w:rsidRPr="00154AEE">
        <w:rPr>
          <w:rFonts w:eastAsia="Times New Roman"/>
          <w:b/>
          <w:bCs/>
          <w:szCs w:val="24"/>
          <w:lang w:eastAsia="ru-RU"/>
        </w:rPr>
        <w:t xml:space="preserve">Таблица </w:t>
      </w:r>
      <w:r>
        <w:rPr>
          <w:rFonts w:eastAsia="Times New Roman"/>
          <w:b/>
          <w:bCs/>
          <w:szCs w:val="24"/>
          <w:lang w:eastAsia="ru-RU"/>
        </w:rPr>
        <w:t>7.3.2</w:t>
      </w:r>
      <w:r w:rsidRPr="00154AEE">
        <w:rPr>
          <w:rFonts w:eastAsia="Times New Roman"/>
          <w:b/>
          <w:bCs/>
          <w:szCs w:val="24"/>
          <w:lang w:eastAsia="ru-RU"/>
        </w:rPr>
        <w:t xml:space="preserve">. </w:t>
      </w:r>
      <w:r w:rsidRPr="00154AEE">
        <w:rPr>
          <w:b/>
          <w:szCs w:val="24"/>
        </w:rPr>
        <w:t>Стадирование</w:t>
      </w:r>
      <w:r w:rsidR="00BD74B4" w:rsidRPr="00BD74B4">
        <w:rPr>
          <w:b/>
          <w:szCs w:val="24"/>
        </w:rPr>
        <w:t xml:space="preserve"> </w:t>
      </w:r>
      <w:r w:rsidRPr="00154AEE">
        <w:rPr>
          <w:b/>
          <w:szCs w:val="24"/>
        </w:rPr>
        <w:t xml:space="preserve">лимфом по </w:t>
      </w:r>
      <w:r w:rsidRPr="00154AEE">
        <w:rPr>
          <w:b/>
          <w:szCs w:val="24"/>
          <w:lang w:val="en-US"/>
        </w:rPr>
        <w:t>Ann</w:t>
      </w:r>
      <w:r w:rsidR="00BD74B4" w:rsidRPr="00BD74B4">
        <w:rPr>
          <w:b/>
          <w:szCs w:val="24"/>
        </w:rPr>
        <w:t xml:space="preserve"> </w:t>
      </w:r>
      <w:r w:rsidRPr="00154AEE">
        <w:rPr>
          <w:b/>
          <w:szCs w:val="24"/>
          <w:lang w:val="en-US"/>
        </w:rPr>
        <w:t>Arbor</w:t>
      </w:r>
      <w:r w:rsidRPr="00154AEE">
        <w:rPr>
          <w:b/>
          <w:szCs w:val="24"/>
        </w:rPr>
        <w:t xml:space="preserve"> (модификация Лугано, 2014)</w:t>
      </w:r>
      <w:r w:rsidR="00BD74B4" w:rsidRPr="00BD74B4">
        <w:rPr>
          <w:b/>
          <w:szCs w:val="24"/>
        </w:rPr>
        <w:t xml:space="preserve"> </w:t>
      </w:r>
      <w:r>
        <w:rPr>
          <w:lang w:val="en-US"/>
        </w:rPr>
        <w:fldChar w:fldCharType="begin" w:fldLock="1"/>
      </w:r>
      <w:r>
        <w:rPr>
          <w:lang w:val="en-US"/>
        </w:rPr>
        <w:instrText>ADDINCSL</w:instrText>
      </w:r>
      <w:r w:rsidRPr="00F6217A">
        <w:instrText>_</w:instrText>
      </w:r>
      <w:r>
        <w:rPr>
          <w:lang w:val="en-US"/>
        </w:rPr>
        <w:instrText>CITATION</w:instrText>
      </w:r>
      <w:r w:rsidRPr="00F6217A">
        <w:instrText xml:space="preserve"> {"</w:instrText>
      </w:r>
      <w:r>
        <w:rPr>
          <w:lang w:val="en-US"/>
        </w:rPr>
        <w:instrText>citationItems</w:instrText>
      </w:r>
      <w:r w:rsidRPr="00F6217A">
        <w:instrText>":[{"</w:instrText>
      </w:r>
      <w:r>
        <w:rPr>
          <w:lang w:val="en-US"/>
        </w:rPr>
        <w:instrText>id</w:instrText>
      </w:r>
      <w:r w:rsidRPr="00F6217A">
        <w:instrText>":"</w:instrText>
      </w:r>
      <w:r>
        <w:rPr>
          <w:lang w:val="en-US"/>
        </w:rPr>
        <w:instrText>ITEM</w:instrText>
      </w:r>
      <w:r w:rsidRPr="00F6217A">
        <w:instrText>-1","</w:instrText>
      </w:r>
      <w:r>
        <w:rPr>
          <w:lang w:val="en-US"/>
        </w:rPr>
        <w:instrText>itemData</w:instrText>
      </w:r>
      <w:r w:rsidRPr="00F6217A">
        <w:instrText>":{"</w:instrText>
      </w:r>
      <w:r>
        <w:rPr>
          <w:lang w:val="en-US"/>
        </w:rPr>
        <w:instrText>DOI</w:instrText>
      </w:r>
      <w:r w:rsidRPr="00F6217A">
        <w:instrText>":"10.1200/</w:instrText>
      </w:r>
      <w:r>
        <w:rPr>
          <w:lang w:val="en-US"/>
        </w:rPr>
        <w:instrText>JCO</w:instrText>
      </w:r>
      <w:r w:rsidRPr="00F6217A">
        <w:instrText>.2013.54.8800","</w:instrText>
      </w:r>
      <w:r>
        <w:rPr>
          <w:lang w:val="en-US"/>
        </w:rPr>
        <w:instrText>ISSN</w:instrText>
      </w:r>
      <w:r w:rsidRPr="00F6217A">
        <w:instrText>":"15277755","</w:instrText>
      </w:r>
      <w:r>
        <w:rPr>
          <w:lang w:val="en-US"/>
        </w:rPr>
        <w:instrText>PMID</w:instrText>
      </w:r>
      <w:r w:rsidRPr="00F6217A">
        <w:instrText>":"25113753","</w:instrText>
      </w:r>
      <w:r>
        <w:rPr>
          <w:lang w:val="en-US"/>
        </w:rPr>
        <w:instrText>abstract</w:instrText>
      </w:r>
      <w:r w:rsidRPr="00F6217A">
        <w:instrText>":"</w:instrText>
      </w:r>
      <w:r>
        <w:rPr>
          <w:lang w:val="en-US"/>
        </w:rPr>
        <w:instrText>Thepurposeofthisworkwastomodernizerecommendationsforevaluation</w:instrText>
      </w:r>
      <w:r w:rsidRPr="00F6217A">
        <w:instrText xml:space="preserve">, </w:instrText>
      </w:r>
      <w:r>
        <w:rPr>
          <w:lang w:val="en-US"/>
        </w:rPr>
        <w:instrText>staging</w:instrText>
      </w:r>
      <w:r w:rsidRPr="00F6217A">
        <w:instrText xml:space="preserve">, </w:instrText>
      </w:r>
      <w:r>
        <w:rPr>
          <w:lang w:val="en-US"/>
        </w:rPr>
        <w:instrText>andresponseassessmentofpatientswithHodgkinlymphoma</w:instrText>
      </w:r>
      <w:r w:rsidRPr="00F6217A">
        <w:instrText xml:space="preserve"> (</w:instrText>
      </w:r>
      <w:r>
        <w:rPr>
          <w:lang w:val="en-US"/>
        </w:rPr>
        <w:instrText>HL</w:instrText>
      </w:r>
      <w:r w:rsidRPr="00F6217A">
        <w:instrText xml:space="preserve">) </w:instrText>
      </w:r>
      <w:r>
        <w:rPr>
          <w:lang w:val="en-US"/>
        </w:rPr>
        <w:instrText>andnon</w:instrText>
      </w:r>
      <w:r w:rsidRPr="00F6217A">
        <w:instrText>-</w:instrText>
      </w:r>
      <w:r>
        <w:rPr>
          <w:lang w:val="en-US"/>
        </w:rPr>
        <w:instrText>Hodgkinlymphoma</w:instrText>
      </w:r>
      <w:r w:rsidRPr="00F6217A">
        <w:instrText xml:space="preserve"> (</w:instrText>
      </w:r>
      <w:r>
        <w:rPr>
          <w:lang w:val="en-US"/>
        </w:rPr>
        <w:instrText>NHL</w:instrText>
      </w:r>
      <w:r w:rsidRPr="00F6217A">
        <w:instrText xml:space="preserve">). </w:instrText>
      </w:r>
      <w:r>
        <w:rPr>
          <w:lang w:val="en-US"/>
        </w:rPr>
        <w:instrText>Aworkshopwasheldatthe</w:instrText>
      </w:r>
      <w:r w:rsidRPr="00F6217A">
        <w:instrText xml:space="preserve"> 11</w:instrText>
      </w:r>
      <w:r>
        <w:rPr>
          <w:lang w:val="en-US"/>
        </w:rPr>
        <w:instrText>thInternationalConferenceonMalignantLymphomainLugano</w:instrText>
      </w:r>
      <w:r w:rsidRPr="00F6217A">
        <w:instrText xml:space="preserve">, </w:instrText>
      </w:r>
      <w:r>
        <w:rPr>
          <w:lang w:val="en-US"/>
        </w:rPr>
        <w:instrText>Switzerland</w:instrText>
      </w:r>
      <w:r w:rsidRPr="00F6217A">
        <w:instrText xml:space="preserve">, </w:instrText>
      </w:r>
      <w:r>
        <w:rPr>
          <w:lang w:val="en-US"/>
        </w:rPr>
        <w:instrText>inJune</w:instrText>
      </w:r>
      <w:r w:rsidRPr="00F6217A">
        <w:instrText xml:space="preserve"> 2011, </w:instrText>
      </w:r>
      <w:r>
        <w:rPr>
          <w:lang w:val="en-US"/>
        </w:rPr>
        <w:instrText>thatincludedleadinghematologists</w:instrText>
      </w:r>
      <w:r w:rsidRPr="00F6217A">
        <w:instrText xml:space="preserve">, </w:instrText>
      </w:r>
      <w:r>
        <w:rPr>
          <w:lang w:val="en-US"/>
        </w:rPr>
        <w:instrText>oncologists</w:instrText>
      </w:r>
      <w:r w:rsidRPr="00F6217A">
        <w:instrText xml:space="preserve">, </w:instrText>
      </w:r>
      <w:r>
        <w:rPr>
          <w:lang w:val="en-US"/>
        </w:rPr>
        <w:instrText>radiationoncologists</w:instrText>
      </w:r>
      <w:r w:rsidRPr="00F6217A">
        <w:instrText xml:space="preserve">, </w:instrText>
      </w:r>
      <w:r>
        <w:rPr>
          <w:lang w:val="en-US"/>
        </w:rPr>
        <w:instrText>pathologists</w:instrText>
      </w:r>
      <w:r w:rsidRPr="00F6217A">
        <w:instrText xml:space="preserve">, </w:instrText>
      </w:r>
      <w:r>
        <w:rPr>
          <w:lang w:val="en-US"/>
        </w:rPr>
        <w:instrText>radiologists</w:instrText>
      </w:r>
      <w:r w:rsidRPr="00F6217A">
        <w:instrText xml:space="preserve">, </w:instrText>
      </w:r>
      <w:r>
        <w:rPr>
          <w:lang w:val="en-US"/>
        </w:rPr>
        <w:instrText>andnuclearmedicinephysicians</w:instrText>
      </w:r>
      <w:r w:rsidRPr="00F6217A">
        <w:instrText xml:space="preserve">, </w:instrText>
      </w:r>
      <w:r>
        <w:rPr>
          <w:lang w:val="en-US"/>
        </w:rPr>
        <w:instrText>representingmajorinternationallymphomaclinicaltrialsgroupsandcancercenters</w:instrText>
      </w:r>
      <w:r w:rsidRPr="00F6217A">
        <w:instrText xml:space="preserve">. </w:instrText>
      </w:r>
      <w:r>
        <w:rPr>
          <w:lang w:val="en-US"/>
        </w:rPr>
        <w:instrText>Clinicalandimagingsubcommitteespresentedtheirconclusionsatasubsequentworkshopatthe</w:instrText>
      </w:r>
      <w:r w:rsidRPr="00F6217A">
        <w:instrText xml:space="preserve"> 12</w:instrText>
      </w:r>
      <w:r>
        <w:rPr>
          <w:lang w:val="en-US"/>
        </w:rPr>
        <w:instrText>thInternationalConferenceonMalignantLymphoma</w:instrText>
      </w:r>
      <w:r w:rsidRPr="00F6217A">
        <w:instrText xml:space="preserve">, </w:instrText>
      </w:r>
      <w:r>
        <w:rPr>
          <w:lang w:val="en-US"/>
        </w:rPr>
        <w:instrText>leadingtorevisedcriteriaforstagingandoftheInternationalWorkingGroupGuidelinesof</w:instrText>
      </w:r>
      <w:r w:rsidRPr="00F6217A">
        <w:instrText xml:space="preserve"> 2007 </w:instrText>
      </w:r>
      <w:r>
        <w:rPr>
          <w:lang w:val="en-US"/>
        </w:rPr>
        <w:instrText>forresponse</w:instrText>
      </w:r>
      <w:r w:rsidRPr="00F6217A">
        <w:instrText xml:space="preserve">. </w:instrText>
      </w:r>
      <w:r>
        <w:rPr>
          <w:lang w:val="en-US"/>
        </w:rPr>
        <w:instrText>Asaresult</w:instrText>
      </w:r>
      <w:r w:rsidRPr="00F6217A">
        <w:instrText xml:space="preserve">, </w:instrText>
      </w:r>
      <w:r>
        <w:rPr>
          <w:lang w:val="en-US"/>
        </w:rPr>
        <w:instrText>fluorodeoxyglucose</w:instrText>
      </w:r>
      <w:r w:rsidRPr="00F6217A">
        <w:instrText xml:space="preserve"> (</w:instrText>
      </w:r>
      <w:r>
        <w:rPr>
          <w:lang w:val="en-US"/>
        </w:rPr>
        <w:instrText>FDG</w:instrText>
      </w:r>
      <w:r w:rsidRPr="00F6217A">
        <w:instrText xml:space="preserve">) </w:instrText>
      </w:r>
      <w:r>
        <w:rPr>
          <w:lang w:val="en-US"/>
        </w:rPr>
        <w:instrText>positronemissiontomography</w:instrText>
      </w:r>
      <w:r w:rsidRPr="00F6217A">
        <w:instrText xml:space="preserve"> (</w:instrText>
      </w:r>
      <w:r>
        <w:rPr>
          <w:lang w:val="en-US"/>
        </w:rPr>
        <w:instrText>PET</w:instrText>
      </w:r>
      <w:r w:rsidRPr="00F6217A">
        <w:instrText>)-</w:instrText>
      </w:r>
      <w:r>
        <w:rPr>
          <w:lang w:val="en-US"/>
        </w:rPr>
        <w:instrText>computedtomography</w:instrText>
      </w:r>
      <w:r w:rsidRPr="00F6217A">
        <w:instrText xml:space="preserve"> (</w:instrText>
      </w:r>
      <w:r>
        <w:rPr>
          <w:lang w:val="en-US"/>
        </w:rPr>
        <w:instrText>CT</w:instrText>
      </w:r>
      <w:r w:rsidRPr="00F6217A">
        <w:instrText xml:space="preserve">) </w:instrText>
      </w:r>
      <w:r>
        <w:rPr>
          <w:lang w:val="en-US"/>
        </w:rPr>
        <w:instrText>wasformallyincorporatedintostandardstagingforFDG</w:instrText>
      </w:r>
      <w:r w:rsidRPr="00F6217A">
        <w:instrText>-</w:instrText>
      </w:r>
      <w:r>
        <w:rPr>
          <w:lang w:val="en-US"/>
        </w:rPr>
        <w:instrText>avidlymphomas</w:instrText>
      </w:r>
      <w:r w:rsidRPr="00F6217A">
        <w:instrText xml:space="preserve">. </w:instrText>
      </w:r>
      <w:r>
        <w:rPr>
          <w:lang w:val="en-US"/>
        </w:rPr>
        <w:instrText>AmodificationoftheAnnArbordescriptiveterminologywillbeusedforanatomicdistributionofdiseaseextent</w:instrText>
      </w:r>
      <w:r w:rsidRPr="00F6217A">
        <w:instrText xml:space="preserve">, </w:instrText>
      </w:r>
      <w:r>
        <w:rPr>
          <w:lang w:val="en-US"/>
        </w:rPr>
        <w:instrText>butthesuffixesAorBforsymptomswillonlybeincludedforHL</w:instrText>
      </w:r>
      <w:r w:rsidRPr="00F6217A">
        <w:instrText xml:space="preserve">. </w:instrText>
      </w:r>
      <w:r>
        <w:rPr>
          <w:lang w:val="en-US"/>
        </w:rPr>
        <w:instrText>AbonemarrowbiopsyisnolongerindicatedfortheroutinestagingofHLandmostdiffuselargeB</w:instrText>
      </w:r>
      <w:r w:rsidRPr="00F6217A">
        <w:instrText>-</w:instrText>
      </w:r>
      <w:r>
        <w:rPr>
          <w:lang w:val="en-US"/>
        </w:rPr>
        <w:instrText>celllymphomas</w:instrText>
      </w:r>
      <w:r w:rsidRPr="00F6217A">
        <w:instrText xml:space="preserve">. </w:instrText>
      </w:r>
      <w:r>
        <w:rPr>
          <w:lang w:val="en-US"/>
        </w:rPr>
        <w:instrText>However</w:instrText>
      </w:r>
      <w:r w:rsidRPr="00F6217A">
        <w:instrText xml:space="preserve">, </w:instrText>
      </w:r>
      <w:r>
        <w:rPr>
          <w:lang w:val="en-US"/>
        </w:rPr>
        <w:instrText>regardlessofstage</w:instrText>
      </w:r>
      <w:r w:rsidRPr="00F6217A">
        <w:instrText xml:space="preserve">, </w:instrText>
      </w:r>
      <w:r>
        <w:rPr>
          <w:lang w:val="en-US"/>
        </w:rPr>
        <w:instrText>generalpracticeistotreatpatientsbasedonlimited</w:instrText>
      </w:r>
      <w:r w:rsidRPr="00F6217A">
        <w:instrText xml:space="preserve"> (</w:instrText>
      </w:r>
      <w:r>
        <w:rPr>
          <w:lang w:val="en-US"/>
        </w:rPr>
        <w:instrText>stagesIandII</w:instrText>
      </w:r>
      <w:r w:rsidRPr="00F6217A">
        <w:instrText xml:space="preserve">, </w:instrText>
      </w:r>
      <w:r>
        <w:rPr>
          <w:lang w:val="en-US"/>
        </w:rPr>
        <w:instrText>nonbulky</w:instrText>
      </w:r>
      <w:r w:rsidRPr="00F6217A">
        <w:instrText xml:space="preserve">) </w:instrText>
      </w:r>
      <w:r>
        <w:rPr>
          <w:lang w:val="en-US"/>
        </w:rPr>
        <w:instrText>oradvanced</w:instrText>
      </w:r>
      <w:r w:rsidRPr="00F6217A">
        <w:instrText xml:space="preserve"> (</w:instrText>
      </w:r>
      <w:r>
        <w:rPr>
          <w:lang w:val="en-US"/>
        </w:rPr>
        <w:instrText>stageIIIorIV</w:instrText>
      </w:r>
      <w:r w:rsidRPr="00F6217A">
        <w:instrText xml:space="preserve">) </w:instrText>
      </w:r>
      <w:r>
        <w:rPr>
          <w:lang w:val="en-US"/>
        </w:rPr>
        <w:instrText>disease</w:instrText>
      </w:r>
      <w:r w:rsidRPr="00F6217A">
        <w:instrText xml:space="preserve">, </w:instrText>
      </w:r>
      <w:r>
        <w:rPr>
          <w:lang w:val="en-US"/>
        </w:rPr>
        <w:instrText>withstageIIbulkydiseaseconsideredaslimitedoradvanceddiseasebasedonhistologyandanumberofprognosticfactors</w:instrText>
      </w:r>
      <w:r w:rsidRPr="00F6217A">
        <w:instrText xml:space="preserve">. </w:instrText>
      </w:r>
      <w:r>
        <w:rPr>
          <w:lang w:val="en-US"/>
        </w:rPr>
        <w:instrText>PET</w:instrText>
      </w:r>
      <w:r w:rsidRPr="00F6217A">
        <w:instrText>-</w:instrText>
      </w:r>
      <w:r>
        <w:rPr>
          <w:lang w:val="en-US"/>
        </w:rPr>
        <w:instrText>CTwillbeusedtoassessresponseinFDG</w:instrText>
      </w:r>
      <w:r w:rsidRPr="00F6217A">
        <w:instrText>-</w:instrText>
      </w:r>
      <w:r>
        <w:rPr>
          <w:lang w:val="en-US"/>
        </w:rPr>
        <w:instrText>avidhistologiesusingthe</w:instrText>
      </w:r>
      <w:r w:rsidRPr="00F6217A">
        <w:instrText xml:space="preserve"> 5-</w:instrText>
      </w:r>
      <w:r>
        <w:rPr>
          <w:lang w:val="en-US"/>
        </w:rPr>
        <w:instrText>pointscale</w:instrText>
      </w:r>
      <w:r w:rsidRPr="00F6217A">
        <w:instrText xml:space="preserve">. </w:instrText>
      </w:r>
      <w:r>
        <w:rPr>
          <w:lang w:val="en-US"/>
        </w:rPr>
        <w:instrText>Theproductoftheperpendiculardiametersofasinglenodecanbeusedtoidentifyprogressivedisease</w:instrText>
      </w:r>
      <w:r w:rsidRPr="00F6217A">
        <w:instrText xml:space="preserve">. </w:instrText>
      </w:r>
      <w:r>
        <w:rPr>
          <w:lang w:val="en-US"/>
        </w:rPr>
        <w:instrText>Routinesurveillancescansarediscouraged</w:instrText>
      </w:r>
      <w:r w:rsidRPr="00F6217A">
        <w:instrText xml:space="preserve">. </w:instrText>
      </w:r>
      <w:r>
        <w:rPr>
          <w:lang w:val="en-US"/>
        </w:rPr>
        <w:instrText>Theserecommendationsshouldimproveevaluationofpatientswithlymphomaandenhancetheabilitytocompareoutcomesofclinicaltrials</w:instrText>
      </w:r>
      <w:r w:rsidRPr="00F6217A">
        <w:instrText>.","</w:instrText>
      </w:r>
      <w:r>
        <w:rPr>
          <w:lang w:val="en-US"/>
        </w:rPr>
        <w:instrText>author</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family</w:instrText>
      </w:r>
      <w:r w:rsidRPr="00F6217A">
        <w:instrText>":"</w:instrText>
      </w:r>
      <w:r>
        <w:rPr>
          <w:lang w:val="en-US"/>
        </w:rPr>
        <w:instrText>Cheson</w:instrText>
      </w:r>
      <w:r w:rsidRPr="00F6217A">
        <w:instrText>","</w:instrText>
      </w:r>
      <w:r>
        <w:rPr>
          <w:lang w:val="en-US"/>
        </w:rPr>
        <w:instrText>given</w:instrText>
      </w:r>
      <w:r w:rsidRPr="00F6217A">
        <w:instrText>":"</w:instrText>
      </w:r>
      <w:r>
        <w:rPr>
          <w:lang w:val="en-US"/>
        </w:rPr>
        <w:instrText>BruceD</w:instrText>
      </w:r>
      <w:r w:rsidRPr="00F6217A">
        <w:instrText>.","</w:instrText>
      </w:r>
      <w:r>
        <w:rPr>
          <w:lang w:val="en-US"/>
        </w:rPr>
        <w:instrText>non</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parse</w:instrText>
      </w:r>
      <w:r w:rsidRPr="00F6217A">
        <w:instrText>-</w:instrText>
      </w:r>
      <w:r>
        <w:rPr>
          <w:lang w:val="en-US"/>
        </w:rPr>
        <w:instrText>names</w:instrText>
      </w:r>
      <w:r w:rsidRPr="00F6217A">
        <w:instrText>":</w:instrText>
      </w:r>
      <w:r>
        <w:rPr>
          <w:lang w:val="en-US"/>
        </w:rPr>
        <w:instrText>false</w:instrText>
      </w:r>
      <w:r w:rsidRPr="00F6217A">
        <w:instrText>,"</w:instrText>
      </w:r>
      <w:r>
        <w:rPr>
          <w:lang w:val="en-US"/>
        </w:rPr>
        <w:instrText>suffix</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family</w:instrText>
      </w:r>
      <w:r w:rsidRPr="00F6217A">
        <w:instrText>":"</w:instrText>
      </w:r>
      <w:r>
        <w:rPr>
          <w:lang w:val="en-US"/>
        </w:rPr>
        <w:instrText>Fisher</w:instrText>
      </w:r>
      <w:r w:rsidRPr="00F6217A">
        <w:instrText>","</w:instrText>
      </w:r>
      <w:r>
        <w:rPr>
          <w:lang w:val="en-US"/>
        </w:rPr>
        <w:instrText>given</w:instrText>
      </w:r>
      <w:r w:rsidRPr="00F6217A">
        <w:instrText>":"</w:instrText>
      </w:r>
      <w:r>
        <w:rPr>
          <w:lang w:val="en-US"/>
        </w:rPr>
        <w:instrText>RichardI</w:instrText>
      </w:r>
      <w:r w:rsidRPr="00F6217A">
        <w:instrText>.","</w:instrText>
      </w:r>
      <w:r>
        <w:rPr>
          <w:lang w:val="en-US"/>
        </w:rPr>
        <w:instrText>non</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parse</w:instrText>
      </w:r>
      <w:r w:rsidRPr="00F6217A">
        <w:instrText>-</w:instrText>
      </w:r>
      <w:r>
        <w:rPr>
          <w:lang w:val="en-US"/>
        </w:rPr>
        <w:instrText>names</w:instrText>
      </w:r>
      <w:r w:rsidRPr="00F6217A">
        <w:instrText>":</w:instrText>
      </w:r>
      <w:r>
        <w:rPr>
          <w:lang w:val="en-US"/>
        </w:rPr>
        <w:instrText>false</w:instrText>
      </w:r>
      <w:r w:rsidRPr="00F6217A">
        <w:instrText>,"</w:instrText>
      </w:r>
      <w:r>
        <w:rPr>
          <w:lang w:val="en-US"/>
        </w:rPr>
        <w:instrText>suffix</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family</w:instrText>
      </w:r>
      <w:r w:rsidRPr="00F6217A">
        <w:instrText>":"</w:instrText>
      </w:r>
      <w:r>
        <w:rPr>
          <w:lang w:val="en-US"/>
        </w:rPr>
        <w:instrText>Barrington</w:instrText>
      </w:r>
      <w:r w:rsidRPr="00F6217A">
        <w:instrText>","</w:instrText>
      </w:r>
      <w:r>
        <w:rPr>
          <w:lang w:val="en-US"/>
        </w:rPr>
        <w:instrText>given</w:instrText>
      </w:r>
      <w:r w:rsidRPr="00F6217A">
        <w:instrText>":"</w:instrText>
      </w:r>
      <w:r>
        <w:rPr>
          <w:lang w:val="en-US"/>
        </w:rPr>
        <w:instrText>SallyF</w:instrText>
      </w:r>
      <w:r w:rsidRPr="00F6217A">
        <w:instrText>.","</w:instrText>
      </w:r>
      <w:r>
        <w:rPr>
          <w:lang w:val="en-US"/>
        </w:rPr>
        <w:instrText>non</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parse</w:instrText>
      </w:r>
      <w:r w:rsidRPr="00F6217A">
        <w:instrText>-</w:instrText>
      </w:r>
      <w:r>
        <w:rPr>
          <w:lang w:val="en-US"/>
        </w:rPr>
        <w:instrText>names</w:instrText>
      </w:r>
      <w:r w:rsidRPr="00F6217A">
        <w:instrText>":</w:instrText>
      </w:r>
      <w:r>
        <w:rPr>
          <w:lang w:val="en-US"/>
        </w:rPr>
        <w:instrText>false</w:instrText>
      </w:r>
      <w:r w:rsidRPr="00F6217A">
        <w:instrText>,"</w:instrText>
      </w:r>
      <w:r>
        <w:rPr>
          <w:lang w:val="en-US"/>
        </w:rPr>
        <w:instrText>suffix</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family</w:instrText>
      </w:r>
      <w:r w:rsidRPr="00F6217A">
        <w:instrText>":"</w:instrText>
      </w:r>
      <w:r>
        <w:rPr>
          <w:lang w:val="en-US"/>
        </w:rPr>
        <w:instrText>Cavalli</w:instrText>
      </w:r>
      <w:r w:rsidRPr="00F6217A">
        <w:instrText>","</w:instrText>
      </w:r>
      <w:r>
        <w:rPr>
          <w:lang w:val="en-US"/>
        </w:rPr>
        <w:instrText>given</w:instrText>
      </w:r>
      <w:r w:rsidRPr="00F6217A">
        <w:instrText>":"</w:instrText>
      </w:r>
      <w:r>
        <w:rPr>
          <w:lang w:val="en-US"/>
        </w:rPr>
        <w:instrText>Franco</w:instrText>
      </w:r>
      <w:r w:rsidRPr="00F6217A">
        <w:instrText>","</w:instrText>
      </w:r>
      <w:r>
        <w:rPr>
          <w:lang w:val="en-US"/>
        </w:rPr>
        <w:instrText>non</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parse</w:instrText>
      </w:r>
      <w:r w:rsidRPr="00F6217A">
        <w:instrText>-</w:instrText>
      </w:r>
      <w:r>
        <w:rPr>
          <w:lang w:val="en-US"/>
        </w:rPr>
        <w:instrText>names</w:instrText>
      </w:r>
      <w:r w:rsidRPr="00F6217A">
        <w:instrText>":</w:instrText>
      </w:r>
      <w:r>
        <w:rPr>
          <w:lang w:val="en-US"/>
        </w:rPr>
        <w:instrText>false</w:instrText>
      </w:r>
      <w:r w:rsidRPr="00F6217A">
        <w:instrText>,"</w:instrText>
      </w:r>
      <w:r>
        <w:rPr>
          <w:lang w:val="en-US"/>
        </w:rPr>
        <w:instrText>suffix</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family</w:instrText>
      </w:r>
      <w:r w:rsidRPr="00F6217A">
        <w:instrText>":"</w:instrText>
      </w:r>
      <w:r>
        <w:rPr>
          <w:lang w:val="en-US"/>
        </w:rPr>
        <w:instrText>Schwartz</w:instrText>
      </w:r>
      <w:r w:rsidRPr="00F6217A">
        <w:instrText>","</w:instrText>
      </w:r>
      <w:r>
        <w:rPr>
          <w:lang w:val="en-US"/>
        </w:rPr>
        <w:instrText>given</w:instrText>
      </w:r>
      <w:r w:rsidRPr="00F6217A">
        <w:instrText>":"</w:instrText>
      </w:r>
      <w:r>
        <w:rPr>
          <w:lang w:val="en-US"/>
        </w:rPr>
        <w:instrText>LawrenceH</w:instrText>
      </w:r>
      <w:r w:rsidRPr="00F6217A">
        <w:instrText>.","</w:instrText>
      </w:r>
      <w:r>
        <w:rPr>
          <w:lang w:val="en-US"/>
        </w:rPr>
        <w:instrText>non</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parse</w:instrText>
      </w:r>
      <w:r w:rsidRPr="00F6217A">
        <w:instrText>-</w:instrText>
      </w:r>
      <w:r>
        <w:rPr>
          <w:lang w:val="en-US"/>
        </w:rPr>
        <w:instrText>names</w:instrText>
      </w:r>
      <w:r w:rsidRPr="00F6217A">
        <w:instrText>":</w:instrText>
      </w:r>
      <w:r>
        <w:rPr>
          <w:lang w:val="en-US"/>
        </w:rPr>
        <w:instrText>false</w:instrText>
      </w:r>
      <w:r w:rsidRPr="00F6217A">
        <w:instrText>,"</w:instrText>
      </w:r>
      <w:r>
        <w:rPr>
          <w:lang w:val="en-US"/>
        </w:rPr>
        <w:instrText>suffix</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family</w:instrText>
      </w:r>
      <w:r w:rsidRPr="00F6217A">
        <w:instrText>":"</w:instrText>
      </w:r>
      <w:r>
        <w:rPr>
          <w:lang w:val="en-US"/>
        </w:rPr>
        <w:instrText>Zucca</w:instrText>
      </w:r>
      <w:r w:rsidRPr="00F6217A">
        <w:instrText>","</w:instrText>
      </w:r>
      <w:r>
        <w:rPr>
          <w:lang w:val="en-US"/>
        </w:rPr>
        <w:instrText>given</w:instrText>
      </w:r>
      <w:r w:rsidRPr="00F6217A">
        <w:instrText>":"</w:instrText>
      </w:r>
      <w:r>
        <w:rPr>
          <w:lang w:val="en-US"/>
        </w:rPr>
        <w:instrText>Emanuele</w:instrText>
      </w:r>
      <w:r w:rsidRPr="00F6217A">
        <w:instrText>","</w:instrText>
      </w:r>
      <w:r>
        <w:rPr>
          <w:lang w:val="en-US"/>
        </w:rPr>
        <w:instrText>non</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parse</w:instrText>
      </w:r>
      <w:r w:rsidRPr="00F6217A">
        <w:instrText>-</w:instrText>
      </w:r>
      <w:r>
        <w:rPr>
          <w:lang w:val="en-US"/>
        </w:rPr>
        <w:instrText>names</w:instrText>
      </w:r>
      <w:r w:rsidRPr="00F6217A">
        <w:instrText>":</w:instrText>
      </w:r>
      <w:r>
        <w:rPr>
          <w:lang w:val="en-US"/>
        </w:rPr>
        <w:instrText>false</w:instrText>
      </w:r>
      <w:r w:rsidRPr="00F6217A">
        <w:instrText>,"</w:instrText>
      </w:r>
      <w:r>
        <w:rPr>
          <w:lang w:val="en-US"/>
        </w:rPr>
        <w:instrText>suffix</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family</w:instrText>
      </w:r>
      <w:r w:rsidRPr="00F6217A">
        <w:instrText>":"</w:instrText>
      </w:r>
      <w:r>
        <w:rPr>
          <w:lang w:val="en-US"/>
        </w:rPr>
        <w:instrText>Lister</w:instrText>
      </w:r>
      <w:r w:rsidRPr="00F6217A">
        <w:instrText>","</w:instrText>
      </w:r>
      <w:r>
        <w:rPr>
          <w:lang w:val="en-US"/>
        </w:rPr>
        <w:instrText>given</w:instrText>
      </w:r>
      <w:r w:rsidRPr="00F6217A">
        <w:instrText>":"</w:instrText>
      </w:r>
      <w:r>
        <w:rPr>
          <w:lang w:val="en-US"/>
        </w:rPr>
        <w:instrText>T</w:instrText>
      </w:r>
      <w:r w:rsidRPr="00F6217A">
        <w:instrText xml:space="preserve">. </w:instrText>
      </w:r>
      <w:r>
        <w:rPr>
          <w:lang w:val="en-US"/>
        </w:rPr>
        <w:instrText>Andrew</w:instrText>
      </w:r>
      <w:r w:rsidRPr="00F6217A">
        <w:instrText>","</w:instrText>
      </w:r>
      <w:r>
        <w:rPr>
          <w:lang w:val="en-US"/>
        </w:rPr>
        <w:instrText>non</w:instrText>
      </w:r>
      <w:r w:rsidRPr="00F6217A">
        <w:instrText>-</w:instrText>
      </w:r>
      <w:r>
        <w:rPr>
          <w:lang w:val="en-US"/>
        </w:rPr>
        <w:instrText>dropping</w:instrText>
      </w:r>
      <w:r w:rsidRPr="00F6217A">
        <w:instrText>-</w:instrText>
      </w:r>
      <w:r>
        <w:rPr>
          <w:lang w:val="en-US"/>
        </w:rPr>
        <w:instrText>particle</w:instrText>
      </w:r>
      <w:r w:rsidRPr="00F6217A">
        <w:instrText>":"","</w:instrText>
      </w:r>
      <w:r>
        <w:rPr>
          <w:lang w:val="en-US"/>
        </w:rPr>
        <w:instrText>parse</w:instrText>
      </w:r>
      <w:r w:rsidRPr="00F6217A">
        <w:instrText>-</w:instrText>
      </w:r>
      <w:r>
        <w:rPr>
          <w:lang w:val="en-US"/>
        </w:rPr>
        <w:instrText>names</w:instrText>
      </w:r>
      <w:r w:rsidRPr="00F6217A">
        <w:instrText>":</w:instrText>
      </w:r>
      <w:r>
        <w:rPr>
          <w:lang w:val="en-US"/>
        </w:rPr>
        <w:instrText>false</w:instrText>
      </w:r>
      <w:r w:rsidRPr="00F6217A">
        <w:instrText>,"</w:instrText>
      </w:r>
      <w:r>
        <w:rPr>
          <w:lang w:val="en-US"/>
        </w:rPr>
        <w:instrText>suffix</w:instrText>
      </w:r>
      <w:r w:rsidRPr="00F6217A">
        <w:instrText>":""}],"</w:instrText>
      </w:r>
      <w:r>
        <w:rPr>
          <w:lang w:val="en-US"/>
        </w:rPr>
        <w:instrText>container</w:instrText>
      </w:r>
      <w:r w:rsidRPr="00F6217A">
        <w:instrText>-</w:instrText>
      </w:r>
      <w:r>
        <w:rPr>
          <w:lang w:val="en-US"/>
        </w:rPr>
        <w:instrText>title</w:instrText>
      </w:r>
      <w:r w:rsidRPr="00F6217A">
        <w:instrText>":"</w:instrText>
      </w:r>
      <w:r>
        <w:rPr>
          <w:lang w:val="en-US"/>
        </w:rPr>
        <w:instrText>JournalofClinicalOncology</w:instrText>
      </w:r>
      <w:r w:rsidRPr="00F6217A">
        <w:instrText>","</w:instrText>
      </w:r>
      <w:r>
        <w:rPr>
          <w:lang w:val="en-US"/>
        </w:rPr>
        <w:instrText>id</w:instrText>
      </w:r>
      <w:r w:rsidRPr="00F6217A">
        <w:instrText>":"</w:instrText>
      </w:r>
      <w:r>
        <w:rPr>
          <w:lang w:val="en-US"/>
        </w:rPr>
        <w:instrText>ITEM</w:instrText>
      </w:r>
      <w:r w:rsidRPr="00F6217A">
        <w:instrText>-1","</w:instrText>
      </w:r>
      <w:r>
        <w:rPr>
          <w:lang w:val="en-US"/>
        </w:rPr>
        <w:instrText>issue</w:instrText>
      </w:r>
      <w:r w:rsidRPr="00F6217A">
        <w:instrText>":"27","</w:instrText>
      </w:r>
      <w:r>
        <w:rPr>
          <w:lang w:val="en-US"/>
        </w:rPr>
        <w:instrText>issued</w:instrText>
      </w:r>
      <w:r w:rsidRPr="00F6217A">
        <w:instrText>":{"</w:instrText>
      </w:r>
      <w:r>
        <w:rPr>
          <w:lang w:val="en-US"/>
        </w:rPr>
        <w:instrText>date</w:instrText>
      </w:r>
      <w:r w:rsidRPr="00F6217A">
        <w:instrText>-</w:instrText>
      </w:r>
      <w:r>
        <w:rPr>
          <w:lang w:val="en-US"/>
        </w:rPr>
        <w:instrText>parts</w:instrText>
      </w:r>
      <w:r w:rsidRPr="00F6217A">
        <w:instrText>":[["2014","9","20"]]},"</w:instrText>
      </w:r>
      <w:r>
        <w:rPr>
          <w:lang w:val="en-US"/>
        </w:rPr>
        <w:instrText>page</w:instrText>
      </w:r>
      <w:r w:rsidRPr="00F6217A">
        <w:instrText>":"3059-3067","</w:instrText>
      </w:r>
      <w:r>
        <w:rPr>
          <w:lang w:val="en-US"/>
        </w:rPr>
        <w:instrText>publisher</w:instrText>
      </w:r>
      <w:r w:rsidRPr="00F6217A">
        <w:instrText>":"</w:instrText>
      </w:r>
      <w:r>
        <w:rPr>
          <w:lang w:val="en-US"/>
        </w:rPr>
        <w:instrText>AmericanSocietyofClinicalOncology</w:instrText>
      </w:r>
      <w:r w:rsidRPr="00F6217A">
        <w:instrText>","</w:instrText>
      </w:r>
      <w:r>
        <w:rPr>
          <w:lang w:val="en-US"/>
        </w:rPr>
        <w:instrText>title</w:instrText>
      </w:r>
      <w:r w:rsidRPr="00F6217A">
        <w:instrText>":"</w:instrText>
      </w:r>
      <w:r>
        <w:rPr>
          <w:lang w:val="en-US"/>
        </w:rPr>
        <w:instrText>Recommendationsforinitialevaluation</w:instrText>
      </w:r>
      <w:r w:rsidRPr="00F6217A">
        <w:instrText xml:space="preserve">, </w:instrText>
      </w:r>
      <w:r>
        <w:rPr>
          <w:lang w:val="en-US"/>
        </w:rPr>
        <w:instrText>staging</w:instrText>
      </w:r>
      <w:r w:rsidRPr="00F6217A">
        <w:instrText xml:space="preserve">, </w:instrText>
      </w:r>
      <w:r>
        <w:rPr>
          <w:lang w:val="en-US"/>
        </w:rPr>
        <w:instrText>andresponseassessmentofhodgkinandnon</w:instrText>
      </w:r>
      <w:r w:rsidRPr="00F6217A">
        <w:instrText>-</w:instrText>
      </w:r>
      <w:r>
        <w:rPr>
          <w:lang w:val="en-US"/>
        </w:rPr>
        <w:instrText>hodgkinlymphoma</w:instrText>
      </w:r>
      <w:r w:rsidRPr="00F6217A">
        <w:instrText xml:space="preserve">: </w:instrText>
      </w:r>
      <w:r>
        <w:rPr>
          <w:lang w:val="en-US"/>
        </w:rPr>
        <w:instrText>Theluganoclassification</w:instrText>
      </w:r>
      <w:r w:rsidRPr="00F6217A">
        <w:instrText>","</w:instrText>
      </w:r>
      <w:r>
        <w:rPr>
          <w:lang w:val="en-US"/>
        </w:rPr>
        <w:instrText>type</w:instrText>
      </w:r>
      <w:r w:rsidRPr="00F6217A">
        <w:instrText>":"</w:instrText>
      </w:r>
      <w:r>
        <w:rPr>
          <w:lang w:val="en-US"/>
        </w:rPr>
        <w:instrText>article</w:instrText>
      </w:r>
      <w:r w:rsidRPr="00F6217A">
        <w:instrText>","</w:instrText>
      </w:r>
      <w:r>
        <w:rPr>
          <w:lang w:val="en-US"/>
        </w:rPr>
        <w:instrText>volume</w:instrText>
      </w:r>
      <w:r w:rsidRPr="00F6217A">
        <w:instrText>":"32"},"</w:instrText>
      </w:r>
      <w:r>
        <w:rPr>
          <w:lang w:val="en-US"/>
        </w:rPr>
        <w:instrText>uris</w:instrText>
      </w:r>
      <w:r w:rsidRPr="00F6217A">
        <w:instrText>":["</w:instrText>
      </w:r>
      <w:r>
        <w:rPr>
          <w:lang w:val="en-US"/>
        </w:rPr>
        <w:instrText>http</w:instrText>
      </w:r>
      <w:r w:rsidRPr="00F6217A">
        <w:instrText>://</w:instrText>
      </w:r>
      <w:r>
        <w:rPr>
          <w:lang w:val="en-US"/>
        </w:rPr>
        <w:instrText>www</w:instrText>
      </w:r>
      <w:r w:rsidRPr="00F6217A">
        <w:instrText>.</w:instrText>
      </w:r>
      <w:r>
        <w:rPr>
          <w:lang w:val="en-US"/>
        </w:rPr>
        <w:instrText>mendeley</w:instrText>
      </w:r>
      <w:r w:rsidRPr="00F6217A">
        <w:instrText>.</w:instrText>
      </w:r>
      <w:r>
        <w:rPr>
          <w:lang w:val="en-US"/>
        </w:rPr>
        <w:instrText>com</w:instrText>
      </w:r>
      <w:r w:rsidRPr="00F6217A">
        <w:instrText>/</w:instrText>
      </w:r>
      <w:r>
        <w:rPr>
          <w:lang w:val="en-US"/>
        </w:rPr>
        <w:instrText>documents</w:instrText>
      </w:r>
      <w:r w:rsidRPr="00F6217A">
        <w:instrText>/?</w:instrText>
      </w:r>
      <w:r>
        <w:rPr>
          <w:lang w:val="en-US"/>
        </w:rPr>
        <w:instrText>uuid</w:instrText>
      </w:r>
      <w:r w:rsidRPr="00F6217A">
        <w:instrText>=3853</w:instrText>
      </w:r>
      <w:r>
        <w:rPr>
          <w:lang w:val="en-US"/>
        </w:rPr>
        <w:instrText>ddf</w:instrText>
      </w:r>
      <w:r w:rsidRPr="00F6217A">
        <w:instrText>5-</w:instrText>
      </w:r>
      <w:r>
        <w:rPr>
          <w:lang w:val="en-US"/>
        </w:rPr>
        <w:instrText>ac</w:instrText>
      </w:r>
      <w:r w:rsidRPr="00F6217A">
        <w:instrText>32-35</w:instrText>
      </w:r>
      <w:r>
        <w:rPr>
          <w:lang w:val="en-US"/>
        </w:rPr>
        <w:instrText>e</w:instrText>
      </w:r>
      <w:r w:rsidRPr="00F6217A">
        <w:instrText>2-</w:instrText>
      </w:r>
      <w:r>
        <w:rPr>
          <w:lang w:val="en-US"/>
        </w:rPr>
        <w:instrText>bd</w:instrText>
      </w:r>
      <w:r w:rsidRPr="00F6217A">
        <w:instrText>1</w:instrText>
      </w:r>
      <w:r>
        <w:rPr>
          <w:lang w:val="en-US"/>
        </w:rPr>
        <w:instrText>b</w:instrText>
      </w:r>
      <w:r w:rsidRPr="00F6217A">
        <w:instrText>-3</w:instrText>
      </w:r>
      <w:r>
        <w:rPr>
          <w:lang w:val="en-US"/>
        </w:rPr>
        <w:instrText>ee</w:instrText>
      </w:r>
      <w:r w:rsidRPr="00F6217A">
        <w:instrText>48</w:instrText>
      </w:r>
      <w:r>
        <w:rPr>
          <w:lang w:val="en-US"/>
        </w:rPr>
        <w:instrText>b</w:instrText>
      </w:r>
      <w:r w:rsidRPr="00F6217A">
        <w:instrText>5</w:instrText>
      </w:r>
      <w:r>
        <w:rPr>
          <w:lang w:val="en-US"/>
        </w:rPr>
        <w:instrText>dd</w:instrText>
      </w:r>
      <w:r w:rsidRPr="00F6217A">
        <w:instrText>16</w:instrText>
      </w:r>
      <w:r>
        <w:rPr>
          <w:lang w:val="en-US"/>
        </w:rPr>
        <w:instrText>a</w:instrText>
      </w:r>
      <w:r w:rsidRPr="00F6217A">
        <w:instrText>"]}],"</w:instrText>
      </w:r>
      <w:r>
        <w:rPr>
          <w:lang w:val="en-US"/>
        </w:rPr>
        <w:instrText>mendeley</w:instrText>
      </w:r>
      <w:r w:rsidRPr="00F6217A">
        <w:instrText>":{"</w:instrText>
      </w:r>
      <w:r>
        <w:rPr>
          <w:lang w:val="en-US"/>
        </w:rPr>
        <w:instrText>formattedCitation</w:instrText>
      </w:r>
      <w:r w:rsidRPr="00F6217A">
        <w:instrText>":"[32]","</w:instrText>
      </w:r>
      <w:r>
        <w:rPr>
          <w:lang w:val="en-US"/>
        </w:rPr>
        <w:instrText>plainTextFormattedCitation</w:instrText>
      </w:r>
      <w:r w:rsidRPr="00F6217A">
        <w:instrText>":"[32]","</w:instrText>
      </w:r>
      <w:r>
        <w:rPr>
          <w:lang w:val="en-US"/>
        </w:rPr>
        <w:instrText>previouslyFormattedCitation</w:instrText>
      </w:r>
      <w:r w:rsidRPr="00F6217A">
        <w:instrText>":"[32]"},"</w:instrText>
      </w:r>
      <w:r>
        <w:rPr>
          <w:lang w:val="en-US"/>
        </w:rPr>
        <w:instrText>properties</w:instrText>
      </w:r>
      <w:r w:rsidRPr="00F6217A">
        <w:instrText>":{"</w:instrText>
      </w:r>
      <w:r>
        <w:rPr>
          <w:lang w:val="en-US"/>
        </w:rPr>
        <w:instrText>noteIndex</w:instrText>
      </w:r>
      <w:r w:rsidRPr="00F6217A">
        <w:instrText>":0},"</w:instrText>
      </w:r>
      <w:r>
        <w:rPr>
          <w:lang w:val="en-US"/>
        </w:rPr>
        <w:instrText>schema</w:instrText>
      </w:r>
      <w:r w:rsidRPr="00F6217A">
        <w:instrText>":"</w:instrText>
      </w:r>
      <w:r>
        <w:rPr>
          <w:lang w:val="en-US"/>
        </w:rPr>
        <w:instrText>https</w:instrText>
      </w:r>
      <w:r w:rsidRPr="00F6217A">
        <w:instrText>://</w:instrText>
      </w:r>
      <w:r>
        <w:rPr>
          <w:lang w:val="en-US"/>
        </w:rPr>
        <w:instrText>github</w:instrText>
      </w:r>
      <w:r w:rsidRPr="00F6217A">
        <w:instrText>.</w:instrText>
      </w:r>
      <w:r>
        <w:rPr>
          <w:lang w:val="en-US"/>
        </w:rPr>
        <w:instrText>com</w:instrText>
      </w:r>
      <w:r w:rsidRPr="00F6217A">
        <w:instrText>/</w:instrText>
      </w:r>
      <w:r>
        <w:rPr>
          <w:lang w:val="en-US"/>
        </w:rPr>
        <w:instrText>citation</w:instrText>
      </w:r>
      <w:r w:rsidRPr="00F6217A">
        <w:instrText>-</w:instrText>
      </w:r>
      <w:r>
        <w:rPr>
          <w:lang w:val="en-US"/>
        </w:rPr>
        <w:instrText>style</w:instrText>
      </w:r>
      <w:r w:rsidRPr="00F6217A">
        <w:instrText>-</w:instrText>
      </w:r>
      <w:r>
        <w:rPr>
          <w:lang w:val="en-US"/>
        </w:rPr>
        <w:instrText>language</w:instrText>
      </w:r>
      <w:r w:rsidRPr="00F6217A">
        <w:instrText>/</w:instrText>
      </w:r>
      <w:r>
        <w:rPr>
          <w:lang w:val="en-US"/>
        </w:rPr>
        <w:instrText>schema</w:instrText>
      </w:r>
      <w:r w:rsidRPr="00F6217A">
        <w:instrText>/</w:instrText>
      </w:r>
      <w:r>
        <w:rPr>
          <w:lang w:val="en-US"/>
        </w:rPr>
        <w:instrText>raw</w:instrText>
      </w:r>
      <w:r w:rsidRPr="00F6217A">
        <w:instrText>/</w:instrText>
      </w:r>
      <w:r>
        <w:rPr>
          <w:lang w:val="en-US"/>
        </w:rPr>
        <w:instrText>master</w:instrText>
      </w:r>
      <w:r w:rsidRPr="00F6217A">
        <w:instrText>/</w:instrText>
      </w:r>
      <w:r>
        <w:rPr>
          <w:lang w:val="en-US"/>
        </w:rPr>
        <w:instrText>csl</w:instrText>
      </w:r>
      <w:r w:rsidRPr="00F6217A">
        <w:instrText>-</w:instrText>
      </w:r>
      <w:r>
        <w:rPr>
          <w:lang w:val="en-US"/>
        </w:rPr>
        <w:instrText>citation</w:instrText>
      </w:r>
      <w:r w:rsidRPr="00F6217A">
        <w:instrText>.</w:instrText>
      </w:r>
      <w:r>
        <w:rPr>
          <w:lang w:val="en-US"/>
        </w:rPr>
        <w:instrText>json</w:instrText>
      </w:r>
      <w:r w:rsidRPr="00F6217A">
        <w:instrText>"}</w:instrText>
      </w:r>
      <w:r>
        <w:rPr>
          <w:lang w:val="en-US"/>
        </w:rPr>
        <w:fldChar w:fldCharType="separate"/>
      </w:r>
      <w:r w:rsidRPr="00342C61">
        <w:rPr>
          <w:noProof/>
        </w:rPr>
        <w:t>[32]</w:t>
      </w:r>
      <w:r>
        <w:rPr>
          <w:lang w:val="en-US"/>
        </w:rPr>
        <w:fldChar w:fldCharType="end"/>
      </w:r>
      <w:r>
        <w:t>:</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1555"/>
        <w:gridCol w:w="3892"/>
        <w:gridCol w:w="3892"/>
      </w:tblGrid>
      <w:tr w:rsidR="007D7257" w:rsidRPr="00224547" w14:paraId="12098D59" w14:textId="77777777" w:rsidTr="000E7A74">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54494" w14:textId="77777777" w:rsidR="007D7257" w:rsidRPr="00224547" w:rsidRDefault="007D7257" w:rsidP="000E7A74">
            <w:pPr>
              <w:ind w:firstLine="0"/>
              <w:jc w:val="left"/>
              <w:rPr>
                <w:rFonts w:eastAsia="Times New Roman"/>
                <w:b/>
                <w:szCs w:val="24"/>
              </w:rPr>
            </w:pPr>
            <w:r w:rsidRPr="00224547">
              <w:rPr>
                <w:rFonts w:eastAsia="Times New Roman"/>
                <w:b/>
                <w:szCs w:val="24"/>
              </w:rPr>
              <w:t>Стадия</w:t>
            </w:r>
          </w:p>
        </w:tc>
        <w:tc>
          <w:tcPr>
            <w:tcW w:w="3892" w:type="dxa"/>
            <w:tcBorders>
              <w:top w:val="single" w:sz="4" w:space="0" w:color="000000"/>
              <w:left w:val="single" w:sz="4" w:space="0" w:color="000000"/>
              <w:right w:val="single" w:sz="4" w:space="0" w:color="000000"/>
            </w:tcBorders>
            <w:shd w:val="clear" w:color="auto" w:fill="auto"/>
          </w:tcPr>
          <w:p w14:paraId="7864AECA" w14:textId="77777777" w:rsidR="007D7257" w:rsidRPr="00224547" w:rsidRDefault="007D7257" w:rsidP="000E7A74">
            <w:pPr>
              <w:ind w:firstLine="0"/>
              <w:jc w:val="left"/>
              <w:rPr>
                <w:rFonts w:eastAsia="Times New Roman"/>
                <w:b/>
                <w:szCs w:val="24"/>
              </w:rPr>
            </w:pPr>
            <w:r w:rsidRPr="00224547">
              <w:rPr>
                <w:rFonts w:eastAsia="Times New Roman"/>
                <w:b/>
                <w:szCs w:val="24"/>
              </w:rPr>
              <w:t>Поражение лимфоузлов</w:t>
            </w:r>
          </w:p>
        </w:tc>
        <w:tc>
          <w:tcPr>
            <w:tcW w:w="3892" w:type="dxa"/>
            <w:tcBorders>
              <w:top w:val="single" w:sz="4" w:space="0" w:color="000000"/>
              <w:left w:val="single" w:sz="4" w:space="0" w:color="000000"/>
              <w:right w:val="single" w:sz="4" w:space="0" w:color="000000"/>
            </w:tcBorders>
            <w:shd w:val="clear" w:color="auto" w:fill="auto"/>
          </w:tcPr>
          <w:p w14:paraId="49927118" w14:textId="77777777" w:rsidR="007D7257" w:rsidRPr="00224547" w:rsidRDefault="007D7257" w:rsidP="000E7A74">
            <w:pPr>
              <w:ind w:firstLine="0"/>
              <w:jc w:val="left"/>
              <w:rPr>
                <w:b/>
                <w:szCs w:val="24"/>
              </w:rPr>
            </w:pPr>
            <w:r w:rsidRPr="00224547">
              <w:rPr>
                <w:b/>
                <w:szCs w:val="24"/>
              </w:rPr>
              <w:t>Экс</w:t>
            </w:r>
            <w:r>
              <w:rPr>
                <w:b/>
                <w:szCs w:val="24"/>
              </w:rPr>
              <w:t>транодальное поражение</w:t>
            </w:r>
          </w:p>
        </w:tc>
      </w:tr>
      <w:tr w:rsidR="007D7257" w:rsidRPr="00154AEE" w14:paraId="1162C758" w14:textId="77777777" w:rsidTr="000E7A74">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04AD4" w14:textId="77777777" w:rsidR="007D7257" w:rsidRPr="00154AEE" w:rsidRDefault="007D7257" w:rsidP="000E7A74">
            <w:pPr>
              <w:ind w:firstLine="0"/>
              <w:jc w:val="left"/>
              <w:rPr>
                <w:rFonts w:eastAsia="Times New Roman"/>
                <w:b/>
                <w:szCs w:val="24"/>
              </w:rPr>
            </w:pPr>
            <w:r w:rsidRPr="00154AEE">
              <w:rPr>
                <w:rFonts w:eastAsia="Times New Roman"/>
                <w:b/>
                <w:szCs w:val="24"/>
              </w:rPr>
              <w:t>Стадия I</w:t>
            </w:r>
          </w:p>
        </w:tc>
        <w:tc>
          <w:tcPr>
            <w:tcW w:w="3892" w:type="dxa"/>
            <w:tcBorders>
              <w:top w:val="single" w:sz="4" w:space="0" w:color="000000"/>
              <w:left w:val="single" w:sz="4" w:space="0" w:color="000000"/>
              <w:right w:val="single" w:sz="4" w:space="0" w:color="000000"/>
            </w:tcBorders>
            <w:shd w:val="clear" w:color="auto" w:fill="auto"/>
          </w:tcPr>
          <w:p w14:paraId="3BC36309" w14:textId="77777777" w:rsidR="007D7257" w:rsidRPr="00154AEE" w:rsidRDefault="007D7257" w:rsidP="000E7A74">
            <w:pPr>
              <w:ind w:firstLine="0"/>
              <w:jc w:val="left"/>
              <w:rPr>
                <w:szCs w:val="24"/>
              </w:rPr>
            </w:pPr>
            <w:r w:rsidRPr="00154AEE">
              <w:rPr>
                <w:rFonts w:eastAsia="Times New Roman"/>
                <w:szCs w:val="24"/>
              </w:rPr>
              <w:t>Вовлечение одн</w:t>
            </w:r>
            <w:r>
              <w:rPr>
                <w:rFonts w:eastAsia="Times New Roman"/>
                <w:szCs w:val="24"/>
              </w:rPr>
              <w:t>ого ЛУ или одной</w:t>
            </w:r>
            <w:r w:rsidRPr="00154AEE">
              <w:rPr>
                <w:rFonts w:eastAsia="Times New Roman"/>
                <w:szCs w:val="24"/>
              </w:rPr>
              <w:t xml:space="preserve"> группы</w:t>
            </w:r>
            <w:r>
              <w:rPr>
                <w:rFonts w:eastAsia="Times New Roman"/>
                <w:szCs w:val="24"/>
              </w:rPr>
              <w:t xml:space="preserve"> ЛУ</w:t>
            </w:r>
          </w:p>
        </w:tc>
        <w:tc>
          <w:tcPr>
            <w:tcW w:w="3892" w:type="dxa"/>
            <w:tcBorders>
              <w:top w:val="single" w:sz="4" w:space="0" w:color="000000"/>
              <w:left w:val="single" w:sz="4" w:space="0" w:color="000000"/>
              <w:right w:val="single" w:sz="4" w:space="0" w:color="000000"/>
            </w:tcBorders>
            <w:shd w:val="clear" w:color="auto" w:fill="auto"/>
          </w:tcPr>
          <w:p w14:paraId="51BB16B4" w14:textId="77777777" w:rsidR="007D7257" w:rsidRPr="00154AEE" w:rsidRDefault="007D7257" w:rsidP="000E7A74">
            <w:pPr>
              <w:ind w:firstLine="0"/>
              <w:jc w:val="left"/>
              <w:rPr>
                <w:szCs w:val="24"/>
              </w:rPr>
            </w:pPr>
            <w:r>
              <w:rPr>
                <w:szCs w:val="24"/>
              </w:rPr>
              <w:t>Локализованное поражение одного экстралимфатического органа или ткани без поражения ЛУ</w:t>
            </w:r>
          </w:p>
        </w:tc>
      </w:tr>
      <w:tr w:rsidR="007D7257" w:rsidRPr="00154AEE" w14:paraId="63DE7CF9" w14:textId="77777777" w:rsidTr="000E7A74">
        <w:trPr>
          <w:trHeight w:val="1284"/>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272E" w14:textId="77777777" w:rsidR="007D7257" w:rsidRPr="00154AEE" w:rsidRDefault="007D7257" w:rsidP="000E7A74">
            <w:pPr>
              <w:ind w:firstLine="0"/>
              <w:jc w:val="left"/>
              <w:rPr>
                <w:rFonts w:eastAsia="Times New Roman"/>
                <w:b/>
                <w:szCs w:val="24"/>
              </w:rPr>
            </w:pPr>
            <w:r w:rsidRPr="00154AEE">
              <w:rPr>
                <w:rFonts w:eastAsia="Times New Roman"/>
                <w:b/>
                <w:szCs w:val="24"/>
              </w:rPr>
              <w:t>Стадия II</w:t>
            </w:r>
          </w:p>
        </w:tc>
        <w:tc>
          <w:tcPr>
            <w:tcW w:w="3892" w:type="dxa"/>
            <w:tcBorders>
              <w:left w:val="single" w:sz="4" w:space="0" w:color="000000"/>
              <w:right w:val="single" w:sz="4" w:space="0" w:color="000000"/>
            </w:tcBorders>
            <w:shd w:val="clear" w:color="auto" w:fill="auto"/>
          </w:tcPr>
          <w:p w14:paraId="5699C9A1" w14:textId="77777777" w:rsidR="007D7257" w:rsidRPr="00224547" w:rsidRDefault="007D7257" w:rsidP="000E7A74">
            <w:pPr>
              <w:ind w:firstLine="0"/>
              <w:jc w:val="left"/>
              <w:rPr>
                <w:szCs w:val="24"/>
              </w:rPr>
            </w:pPr>
            <w:r w:rsidRPr="00154AEE">
              <w:rPr>
                <w:rFonts w:eastAsia="Times New Roman"/>
                <w:szCs w:val="24"/>
              </w:rPr>
              <w:t>Вовлечение ≥ 2 групп ЛУ по одну сторону диафрагмы</w:t>
            </w:r>
          </w:p>
          <w:p w14:paraId="64D90EFC" w14:textId="42425435" w:rsidR="007D7257" w:rsidRPr="00154AEE" w:rsidRDefault="007D7257" w:rsidP="000E7A74">
            <w:pPr>
              <w:ind w:firstLine="0"/>
              <w:jc w:val="left"/>
              <w:rPr>
                <w:szCs w:val="24"/>
              </w:rPr>
            </w:pPr>
            <w:r>
              <w:rPr>
                <w:rFonts w:eastAsia="Times New Roman"/>
                <w:b/>
                <w:szCs w:val="24"/>
              </w:rPr>
              <w:t xml:space="preserve">Стадия </w:t>
            </w:r>
            <w:r w:rsidRPr="00154AEE">
              <w:rPr>
                <w:rFonts w:eastAsia="Times New Roman"/>
                <w:b/>
                <w:szCs w:val="24"/>
                <w:lang w:val="en-US"/>
              </w:rPr>
              <w:t>II</w:t>
            </w:r>
            <w:r w:rsidR="00BD74B4" w:rsidRPr="00BD74B4">
              <w:rPr>
                <w:rFonts w:eastAsia="Times New Roman"/>
                <w:b/>
                <w:szCs w:val="24"/>
              </w:rPr>
              <w:t xml:space="preserve"> </w:t>
            </w:r>
            <w:r w:rsidRPr="00154AEE">
              <w:rPr>
                <w:rFonts w:eastAsia="Times New Roman"/>
                <w:b/>
                <w:szCs w:val="24"/>
                <w:lang w:val="en-US"/>
              </w:rPr>
              <w:t>bulky</w:t>
            </w:r>
            <w:r>
              <w:rPr>
                <w:rFonts w:eastAsia="Times New Roman"/>
                <w:b/>
                <w:szCs w:val="24"/>
              </w:rPr>
              <w:t>–</w:t>
            </w:r>
            <w:r w:rsidRPr="00224547">
              <w:rPr>
                <w:rFonts w:eastAsia="Times New Roman"/>
                <w:bCs/>
                <w:szCs w:val="24"/>
              </w:rPr>
              <w:t>стадия</w:t>
            </w:r>
            <w:r w:rsidR="00BD74B4" w:rsidRPr="00BD74B4">
              <w:rPr>
                <w:rFonts w:eastAsia="Times New Roman"/>
                <w:bCs/>
                <w:szCs w:val="24"/>
              </w:rPr>
              <w:t xml:space="preserve"> </w:t>
            </w:r>
            <w:r w:rsidRPr="00224547">
              <w:rPr>
                <w:rFonts w:eastAsia="Times New Roman"/>
                <w:bCs/>
                <w:szCs w:val="24"/>
                <w:lang w:val="en-US"/>
              </w:rPr>
              <w:t>II</w:t>
            </w:r>
            <w:r w:rsidR="00BD74B4" w:rsidRPr="00BD74B4">
              <w:rPr>
                <w:rFonts w:eastAsia="Times New Roman"/>
                <w:bCs/>
                <w:szCs w:val="24"/>
              </w:rPr>
              <w:t xml:space="preserve"> </w:t>
            </w:r>
            <w:r w:rsidRPr="00154AEE">
              <w:rPr>
                <w:rFonts w:eastAsia="Times New Roman"/>
                <w:szCs w:val="24"/>
                <w:lang w:val="en-US"/>
              </w:rPr>
              <w:t>c</w:t>
            </w:r>
            <w:r w:rsidRPr="00154AEE">
              <w:rPr>
                <w:rFonts w:eastAsia="Times New Roman"/>
                <w:szCs w:val="24"/>
              </w:rPr>
              <w:t xml:space="preserve"> массивным поражением ЛУ</w:t>
            </w:r>
          </w:p>
        </w:tc>
        <w:tc>
          <w:tcPr>
            <w:tcW w:w="3892" w:type="dxa"/>
            <w:tcBorders>
              <w:left w:val="single" w:sz="4" w:space="0" w:color="000000"/>
              <w:right w:val="single" w:sz="4" w:space="0" w:color="000000"/>
            </w:tcBorders>
            <w:shd w:val="clear" w:color="auto" w:fill="auto"/>
          </w:tcPr>
          <w:p w14:paraId="7620D028" w14:textId="77777777" w:rsidR="007D7257" w:rsidRPr="00154AEE" w:rsidRDefault="007D7257" w:rsidP="000E7A74">
            <w:pPr>
              <w:ind w:firstLine="0"/>
              <w:jc w:val="left"/>
              <w:rPr>
                <w:szCs w:val="24"/>
              </w:rPr>
            </w:pPr>
            <w:r w:rsidRPr="00154AEE">
              <w:rPr>
                <w:rFonts w:eastAsia="Times New Roman"/>
                <w:szCs w:val="24"/>
              </w:rPr>
              <w:t>Локализованное поражение экстралимфатического органа или ткани</w:t>
            </w:r>
            <w:r>
              <w:rPr>
                <w:rFonts w:eastAsia="Times New Roman"/>
                <w:szCs w:val="24"/>
              </w:rPr>
              <w:t xml:space="preserve"> + поражение регионарных ЛУ по одну сторону диафрагмы</w:t>
            </w:r>
          </w:p>
        </w:tc>
      </w:tr>
      <w:tr w:rsidR="007D7257" w:rsidRPr="00154AEE" w14:paraId="6CE378FF" w14:textId="77777777" w:rsidTr="000E7A74">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D52C4" w14:textId="77777777" w:rsidR="007D7257" w:rsidRPr="00154AEE" w:rsidRDefault="007D7257" w:rsidP="000E7A74">
            <w:pPr>
              <w:ind w:firstLine="0"/>
              <w:jc w:val="left"/>
              <w:rPr>
                <w:rFonts w:eastAsia="Times New Roman"/>
                <w:b/>
                <w:szCs w:val="24"/>
              </w:rPr>
            </w:pPr>
            <w:r w:rsidRPr="00154AEE">
              <w:rPr>
                <w:rFonts w:eastAsia="Times New Roman"/>
                <w:b/>
                <w:szCs w:val="24"/>
              </w:rPr>
              <w:t>Стадия III</w:t>
            </w:r>
          </w:p>
        </w:tc>
        <w:tc>
          <w:tcPr>
            <w:tcW w:w="7784" w:type="dxa"/>
            <w:gridSpan w:val="2"/>
            <w:tcBorders>
              <w:left w:val="single" w:sz="4" w:space="0" w:color="000000"/>
              <w:right w:val="single" w:sz="4" w:space="0" w:color="000000"/>
            </w:tcBorders>
            <w:shd w:val="clear" w:color="auto" w:fill="auto"/>
          </w:tcPr>
          <w:p w14:paraId="220D2224" w14:textId="77777777" w:rsidR="007D7257" w:rsidRPr="00154AEE" w:rsidRDefault="007D7257" w:rsidP="000E7A74">
            <w:pPr>
              <w:ind w:firstLine="0"/>
              <w:jc w:val="left"/>
              <w:rPr>
                <w:rFonts w:eastAsia="Times New Roman"/>
                <w:szCs w:val="24"/>
              </w:rPr>
            </w:pPr>
            <w:r w:rsidRPr="00154AEE">
              <w:rPr>
                <w:rFonts w:eastAsia="Times New Roman"/>
                <w:szCs w:val="24"/>
              </w:rPr>
              <w:t>Вовлечение ЛУ по обе стороны диафрагмы или вовлечение ЛУ выше диафрагмы с поражением селезенки</w:t>
            </w:r>
          </w:p>
        </w:tc>
      </w:tr>
      <w:tr w:rsidR="007D7257" w:rsidRPr="00154AEE" w14:paraId="56CA59E3" w14:textId="77777777" w:rsidTr="000E7A74">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5B822" w14:textId="77777777" w:rsidR="007D7257" w:rsidRPr="00154AEE" w:rsidRDefault="007D7257" w:rsidP="000E7A74">
            <w:pPr>
              <w:ind w:firstLine="0"/>
              <w:jc w:val="left"/>
              <w:rPr>
                <w:rFonts w:eastAsia="Times New Roman"/>
                <w:b/>
                <w:szCs w:val="24"/>
              </w:rPr>
            </w:pPr>
            <w:r w:rsidRPr="00154AEE">
              <w:rPr>
                <w:rFonts w:eastAsia="Times New Roman"/>
                <w:b/>
                <w:szCs w:val="24"/>
              </w:rPr>
              <w:t>Стадия IV</w:t>
            </w:r>
          </w:p>
        </w:tc>
        <w:tc>
          <w:tcPr>
            <w:tcW w:w="7784" w:type="dxa"/>
            <w:gridSpan w:val="2"/>
            <w:tcBorders>
              <w:left w:val="single" w:sz="4" w:space="0" w:color="000000"/>
              <w:bottom w:val="single" w:sz="4" w:space="0" w:color="000000"/>
              <w:right w:val="single" w:sz="4" w:space="0" w:color="000000"/>
            </w:tcBorders>
            <w:shd w:val="clear" w:color="auto" w:fill="auto"/>
          </w:tcPr>
          <w:p w14:paraId="0995E6F7" w14:textId="77777777" w:rsidR="007D7257" w:rsidRPr="00154AEE" w:rsidRDefault="007D7257" w:rsidP="000E7A74">
            <w:pPr>
              <w:ind w:firstLine="0"/>
              <w:jc w:val="left"/>
              <w:rPr>
                <w:rFonts w:eastAsia="Times New Roman"/>
                <w:szCs w:val="24"/>
              </w:rPr>
            </w:pPr>
            <w:r w:rsidRPr="00154AEE">
              <w:rPr>
                <w:rFonts w:eastAsia="Times New Roman"/>
                <w:szCs w:val="24"/>
              </w:rPr>
              <w:t>Диффузное или диссеминированное поражение экстралимфатического органа или ткани с/без вовлечения ЛУ</w:t>
            </w:r>
            <w:r>
              <w:rPr>
                <w:rFonts w:eastAsia="Times New Roman"/>
                <w:szCs w:val="24"/>
              </w:rPr>
              <w:t xml:space="preserve"> либо поражение экстранодального органа или ткани + поражение нерегионарных ЛУ</w:t>
            </w:r>
          </w:p>
        </w:tc>
      </w:tr>
    </w:tbl>
    <w:p w14:paraId="2BE7303C" w14:textId="341423A8" w:rsidR="007D7257" w:rsidRDefault="007D7257" w:rsidP="007D7257">
      <w:pPr>
        <w:spacing w:before="280" w:after="280"/>
        <w:rPr>
          <w:i/>
          <w:iCs/>
          <w:szCs w:val="24"/>
        </w:rPr>
      </w:pPr>
      <w:r w:rsidRPr="00154AEE">
        <w:rPr>
          <w:b/>
          <w:bCs/>
          <w:szCs w:val="24"/>
        </w:rPr>
        <w:t>Комментарии:</w:t>
      </w:r>
      <w:r w:rsidR="00BD74B4" w:rsidRPr="00BD74B4">
        <w:rPr>
          <w:b/>
          <w:bCs/>
          <w:szCs w:val="24"/>
        </w:rPr>
        <w:t xml:space="preserve"> </w:t>
      </w:r>
      <w:r w:rsidRPr="00154AEE">
        <w:rPr>
          <w:i/>
          <w:iCs/>
          <w:szCs w:val="24"/>
        </w:rPr>
        <w:t>миндалины, кольцо</w:t>
      </w:r>
      <w:r w:rsidR="00BD74B4" w:rsidRPr="00BD74B4">
        <w:rPr>
          <w:i/>
          <w:iCs/>
          <w:szCs w:val="24"/>
        </w:rPr>
        <w:t xml:space="preserve"> </w:t>
      </w:r>
      <w:r>
        <w:rPr>
          <w:i/>
          <w:iCs/>
          <w:szCs w:val="24"/>
        </w:rPr>
        <w:t>Вальдейера</w:t>
      </w:r>
      <w:r w:rsidRPr="00154AEE">
        <w:rPr>
          <w:i/>
          <w:iCs/>
          <w:szCs w:val="24"/>
        </w:rPr>
        <w:t>, селезенка относятся к нодальным образованиям</w:t>
      </w:r>
    </w:p>
    <w:p w14:paraId="5F322E4F" w14:textId="77777777" w:rsidR="007D7257" w:rsidRDefault="007D7257" w:rsidP="007D7257">
      <w:pPr>
        <w:pStyle w:val="2"/>
      </w:pPr>
      <w:bookmarkStart w:id="85" w:name="_Toc35277469"/>
      <w:bookmarkStart w:id="86" w:name="_Toc103332110"/>
      <w:r>
        <w:t>7.4. Оценка ответа на лечение при лимфомах</w:t>
      </w:r>
      <w:bookmarkEnd w:id="85"/>
      <w:bookmarkEnd w:id="86"/>
    </w:p>
    <w:p w14:paraId="2327759A" w14:textId="720511B2" w:rsidR="007D7257" w:rsidRDefault="007D7257" w:rsidP="007D7257">
      <w:r>
        <w:lastRenderedPageBreak/>
        <w:t xml:space="preserve">Оценка ответа на лечение проводится в соответствии с обновленными критериями, предложенными Международной рабочей группой по лимфомам в 2007 году </w:t>
      </w:r>
      <w:r>
        <w:fldChar w:fldCharType="begin" w:fldLock="1"/>
      </w:r>
      <w:r w:rsidR="004A6A9D">
        <w:instrText>ADDIN CSL_CITATION {"citationItems":[{"id":"ITEM-1","itemData":{"DOI":"10.1200/JCO.2006.09.2403","ISSN":"0732183X","abstract":"PURPOSE Standardized response criteria are needed to interpret and compare clinical trials and for approval of new therapeutic agents by regulatory agencies. METHODS The International Working Group response criteria (Cheson et al, J Clin Oncol 17:1244, 1999) were widely adopted, but required reassessment because of identified limitations and the increased use of [18F]fluorodeoxyglucose-positron emission tomography (PET), immunohistochemistry (IHC), and flow cytometry. The International Harmonization Project was convened to provide updated recommendations. RESULTS New guidelines are presented incorporating PET, IHC, and flow cytometry for definitions of response in non-Hodgkin's and Hodgkin's lymphoma. Standardized definitions of end points are provided. CONCLUSION We hope that these guidelines will be adopted widely by study groups, pharmaceutical and biotechnology companies, and regulatory agencies to facilitate the development of new and more effective therapies to improve the outcome of patients with lymphoma.","author":[{"dropping-particle":"","family":"Cheson","given":"Bruce D.","non-dropping-particle":"","parse-names":false,"suffix":""},{"dropping-particle":"","family":"Pfistner","given":"Beate","non-dropping-particle":"","parse-names":false,"suffix":""},{"dropping-particle":"","family":"Juweid","given":"Malik E.","non-dropping-particle":"","parse-names":false,"suffix":""},{"dropping-particle":"","family":"Gascoyne","given":"Randy D.","non-dropping-particle":"","parse-names":false,"suffix":""},{"dropping-particle":"","family":"Specht","given":"Lena","non-dropping-particle":"","parse-names":false,"suffix":""},{"dropping-particle":"","family":"Horning","given":"Sandra J.","non-dropping-particle":"","parse-names":false,"suffix":""},{"dropping-particle":"","family":"Coiffier","given":"Bertrand","non-dropping-particle":"","parse-names":false,"suffix":""},{"dropping-particle":"","family":"Fisher","given":"Richard I.","non-dropping-particle":"","parse-names":false,"suffix":""},{"dropping-particle":"","family":"Hagenbeek","given":"Anton","non-dropping-particle":"","parse-names":false,"suffix":""},{"dropping-particle":"","family":"Zucca","given":"Emanuele","non-dropping-particle":"","parse-names":false,"suffix":""},{"dropping-particle":"","family":"Rosen","given":"Steven T.","non-dropping-particle":"","parse-names":false,"suffix":""},{"dropping-particle":"","family":"Stroobants","given":"Sigrid","non-dropping-particle":"","parse-names":false,"suffix":""},{"dropping-particle":"","family":"Lister","given":"T. Andrew","non-dropping-particle":"","parse-names":false,"suffix":""},{"dropping-particle":"","family":"Hoppe","given":"Richard T.","non-dropping-particle":"","parse-names":false,"suffix":""},{"dropping-particle":"","family":"Dreyling","given":"Martin","non-dropping-particle":"","parse-names":false,"suffix":""},{"dropping-particle":"","family":"Tobinai","given":"Kensei","non-dropping-particle":"","parse-names":false,"suffix":""},{"dropping-particle":"","family":"Vose","given":"Julie M.","non-dropping-particle":"","parse-names":false,"suffix":""},{"dropping-particle":"","family":"Connors","given":"Joseph M.","non-dropping-particle":"","parse-names":false,"suffix":""},{"dropping-particle":"","family":"Federico","given":"Massimo","non-dropping-particle":"","parse-names":false,"suffix":""},{"dropping-particle":"","family":"Diehl","given":"Volker","non-dropping-particle":"","parse-names":false,"suffix":""}],"container-title":"Journal of Clinical Oncology","id":"ITEM-1","issue":"5","issued":{"date-parts":[["2007"]]},"page":"579-586","title":"Revised response criteria for malignant lymphoma","type":"article","volume":"25"},"uris":["http://www.mendeley.com/documents/?uuid=54621e2a-fa6c-3787-a396-2fbb20883fe7"]}],"mendeley":{"formattedCitation":"[41]","plainTextFormattedCitation":"[41]","previouslyFormattedCitation":"[41]"},"properties":{"noteIndex":0},"schema":"https://github.com/citation-style-language/schema/raw/master/csl-citation.json"}</w:instrText>
      </w:r>
      <w:r>
        <w:fldChar w:fldCharType="separate"/>
      </w:r>
      <w:r w:rsidR="00DC3E15" w:rsidRPr="00DC3E15">
        <w:rPr>
          <w:noProof/>
        </w:rPr>
        <w:t>[41]</w:t>
      </w:r>
      <w:r>
        <w:fldChar w:fldCharType="end"/>
      </w:r>
      <w:r>
        <w:t>.</w:t>
      </w:r>
    </w:p>
    <w:p w14:paraId="3BD753D0" w14:textId="77777777" w:rsidR="007D7257" w:rsidRPr="00940BBC" w:rsidRDefault="007D7257" w:rsidP="007D7257">
      <w:pPr>
        <w:rPr>
          <w:i/>
          <w:u w:val="single"/>
        </w:rPr>
      </w:pPr>
      <w:r w:rsidRPr="00940BBC">
        <w:rPr>
          <w:i/>
          <w:u w:val="single"/>
        </w:rPr>
        <w:t>Полная ремиссия</w:t>
      </w:r>
      <w:r w:rsidRPr="00940BBC">
        <w:rPr>
          <w:i/>
          <w:u w:val="single"/>
          <w:lang w:val="en-US"/>
        </w:rPr>
        <w:t xml:space="preserve"> (</w:t>
      </w:r>
      <w:r w:rsidRPr="00940BBC">
        <w:rPr>
          <w:i/>
          <w:u w:val="single"/>
        </w:rPr>
        <w:t>ПР</w:t>
      </w:r>
      <w:r w:rsidRPr="00940BBC">
        <w:rPr>
          <w:i/>
          <w:u w:val="single"/>
          <w:lang w:val="en-US"/>
        </w:rPr>
        <w:t>)</w:t>
      </w:r>
      <w:r w:rsidRPr="00940BBC">
        <w:rPr>
          <w:i/>
          <w:u w:val="single"/>
        </w:rPr>
        <w:t>:</w:t>
      </w:r>
    </w:p>
    <w:p w14:paraId="4EB71540" w14:textId="77777777" w:rsidR="007D7257" w:rsidRPr="00940BBC" w:rsidRDefault="007D7257" w:rsidP="00A72B1B">
      <w:pPr>
        <w:numPr>
          <w:ilvl w:val="0"/>
          <w:numId w:val="17"/>
        </w:numPr>
        <w:contextualSpacing/>
      </w:pPr>
      <w:r w:rsidRPr="00940BBC">
        <w:t>Полное исчезновение всех проявлений заболевания, в том числе выявляемых при помощи лабораторных и лучевых методов диагностики, а также клинических симптомов, если они имели место до начала лечения.</w:t>
      </w:r>
    </w:p>
    <w:p w14:paraId="60B7050D" w14:textId="77777777" w:rsidR="007D7257" w:rsidRPr="00940BBC" w:rsidRDefault="007D7257" w:rsidP="00A72B1B">
      <w:pPr>
        <w:numPr>
          <w:ilvl w:val="0"/>
          <w:numId w:val="17"/>
        </w:numPr>
        <w:contextualSpacing/>
      </w:pPr>
      <w:r w:rsidRPr="00940BBC">
        <w:t>Размеры лимфатических узлов:</w:t>
      </w:r>
    </w:p>
    <w:p w14:paraId="6849A487" w14:textId="77777777" w:rsidR="007D7257" w:rsidRPr="00940BBC" w:rsidRDefault="007D7257" w:rsidP="00A72B1B">
      <w:pPr>
        <w:numPr>
          <w:ilvl w:val="1"/>
          <w:numId w:val="17"/>
        </w:numPr>
        <w:contextualSpacing/>
      </w:pPr>
      <w:r w:rsidRPr="00940BBC">
        <w:t>≤ 1,5см по наибольшему диаметру, если до начала лечения размеры лимфатических узлов были больше 1,5 см</w:t>
      </w:r>
    </w:p>
    <w:p w14:paraId="6C39C2F4" w14:textId="77777777" w:rsidR="007D7257" w:rsidRPr="00940BBC" w:rsidRDefault="007D7257" w:rsidP="00A72B1B">
      <w:pPr>
        <w:numPr>
          <w:ilvl w:val="1"/>
          <w:numId w:val="17"/>
        </w:numPr>
        <w:contextualSpacing/>
      </w:pPr>
      <w:r w:rsidRPr="00940BBC">
        <w:t>≤ 1,0см по наибольшему диаметру, если до начала лечения размеры лимфатических узлов были 1,5 – 1,1см</w:t>
      </w:r>
    </w:p>
    <w:p w14:paraId="7EF90AC4" w14:textId="77777777" w:rsidR="007D7257" w:rsidRPr="00940BBC" w:rsidRDefault="007D7257" w:rsidP="00A72B1B">
      <w:pPr>
        <w:numPr>
          <w:ilvl w:val="0"/>
          <w:numId w:val="17"/>
        </w:numPr>
        <w:contextualSpacing/>
      </w:pPr>
      <w:r w:rsidRPr="00940BBC">
        <w:t>Печень, селезенка, если были увеличены до начала лечения, не пальпируются, по данным лучевых методов объемные образования в них не выявляются.</w:t>
      </w:r>
    </w:p>
    <w:p w14:paraId="331EF26C" w14:textId="77777777" w:rsidR="007D7257" w:rsidRPr="00940BBC" w:rsidRDefault="007D7257" w:rsidP="00A72B1B">
      <w:pPr>
        <w:numPr>
          <w:ilvl w:val="0"/>
          <w:numId w:val="17"/>
        </w:numPr>
        <w:contextualSpacing/>
      </w:pPr>
      <w:r w:rsidRPr="00940BBC">
        <w:t xml:space="preserve">Костный мозг без признаков опухолевого поражения. Если результат морфологического исследования костного мозга неоднозначный, наличие или отсутствие поражения должно определяться иммуногистохимически. </w:t>
      </w:r>
    </w:p>
    <w:p w14:paraId="4546DE65" w14:textId="77777777" w:rsidR="007D7257" w:rsidRPr="0059411A" w:rsidRDefault="007D7257" w:rsidP="007D7257">
      <w:pPr>
        <w:pStyle w:val="afd"/>
        <w:ind w:firstLine="0"/>
        <w:rPr>
          <w:i/>
          <w:u w:val="single"/>
        </w:rPr>
      </w:pPr>
      <w:r w:rsidRPr="0059411A">
        <w:rPr>
          <w:i/>
          <w:u w:val="single"/>
        </w:rPr>
        <w:t>Неуверенная полная ремиссия (ПРн) констатируется только у</w:t>
      </w:r>
      <w:r>
        <w:rPr>
          <w:i/>
          <w:u w:val="single"/>
        </w:rPr>
        <w:t xml:space="preserve"> пациентов</w:t>
      </w:r>
      <w:r w:rsidRPr="0059411A">
        <w:rPr>
          <w:i/>
          <w:u w:val="single"/>
        </w:rPr>
        <w:t>, которым не выполнялась ПЭТ-КТ для оценки эффекта:</w:t>
      </w:r>
    </w:p>
    <w:p w14:paraId="4ACE9545" w14:textId="77777777" w:rsidR="007D7257" w:rsidRPr="00940BBC" w:rsidRDefault="007D7257" w:rsidP="00A72B1B">
      <w:pPr>
        <w:numPr>
          <w:ilvl w:val="0"/>
          <w:numId w:val="18"/>
        </w:numPr>
        <w:contextualSpacing/>
      </w:pPr>
      <w:r w:rsidRPr="00940BBC">
        <w:t>Остаточные изменения, выявляемые только при помощи лучевых методов исследования (особенно это касается остаточных объемных образований в месте массивного опухолевого поражения, чаще всего в средостении), в случае сокращения опухоли более чем на 75% от исходных размеров по сумме двух наибольших её диаметров. Эти остаточные изменения не должны увеличиваться в течение более чем 3 месяцев.</w:t>
      </w:r>
    </w:p>
    <w:p w14:paraId="724143F7" w14:textId="77777777" w:rsidR="007D7257" w:rsidRPr="00940BBC" w:rsidRDefault="007D7257" w:rsidP="00A72B1B">
      <w:pPr>
        <w:numPr>
          <w:ilvl w:val="0"/>
          <w:numId w:val="18"/>
        </w:numPr>
        <w:contextualSpacing/>
      </w:pPr>
      <w:r w:rsidRPr="00940BBC">
        <w:t>По другим показателям – соответствие критериям полной ремиссии.</w:t>
      </w:r>
    </w:p>
    <w:p w14:paraId="4CD95B02" w14:textId="77777777" w:rsidR="007D7257" w:rsidRPr="00940BBC" w:rsidRDefault="007D7257" w:rsidP="007D7257">
      <w:pPr>
        <w:rPr>
          <w:i/>
          <w:u w:val="single"/>
        </w:rPr>
      </w:pPr>
      <w:r w:rsidRPr="00940BBC">
        <w:rPr>
          <w:i/>
          <w:u w:val="single"/>
        </w:rPr>
        <w:t>Частичная ремиссия (ЧР):</w:t>
      </w:r>
    </w:p>
    <w:p w14:paraId="4985345E" w14:textId="77777777" w:rsidR="007D7257" w:rsidRPr="00940BBC" w:rsidRDefault="007D7257" w:rsidP="00A72B1B">
      <w:pPr>
        <w:numPr>
          <w:ilvl w:val="0"/>
          <w:numId w:val="19"/>
        </w:numPr>
        <w:contextualSpacing/>
      </w:pPr>
      <w:r w:rsidRPr="00940BBC">
        <w:t>Уменьшение суммы диаметров всех измеряемых очагов (лимфоузлов и/или очагов экстранодального поражения) не менее чем на 50%. Если размеры пораженных очагов менее 3см по наибольшему диаметру, то 2 наибольших очага должны уменьшиться не менее, чем на 50% по наибольшему диаметру. При наличии более чем 6 очагов поражения более 3 см, достаточна оценка 6 наибольших очагов, доступных четкому измерению в двух перпендикулярных направлениях. При наличии медиастинальных и/или ретроперитонеальных очагов поражения, они обязательно должны учитываться при измерении.</w:t>
      </w:r>
    </w:p>
    <w:p w14:paraId="1636CF6B" w14:textId="77777777" w:rsidR="007D7257" w:rsidRPr="00940BBC" w:rsidRDefault="007D7257" w:rsidP="00A72B1B">
      <w:pPr>
        <w:numPr>
          <w:ilvl w:val="0"/>
          <w:numId w:val="19"/>
        </w:numPr>
        <w:ind w:left="714" w:hanging="357"/>
        <w:contextualSpacing/>
      </w:pPr>
      <w:r w:rsidRPr="00940BBC">
        <w:lastRenderedPageBreak/>
        <w:t>Отсутствие новых очагов поражения, отсутствие признаков увеличени</w:t>
      </w:r>
      <w:r>
        <w:t>я</w:t>
      </w:r>
      <w:r w:rsidRPr="00940BBC">
        <w:t xml:space="preserve"> какого-либо из ранее диагностированных очагов поражения.</w:t>
      </w:r>
    </w:p>
    <w:p w14:paraId="4FC00A78" w14:textId="7777D812" w:rsidR="007D7257" w:rsidRPr="00940BBC" w:rsidRDefault="007D7257" w:rsidP="00A72B1B">
      <w:pPr>
        <w:numPr>
          <w:ilvl w:val="0"/>
          <w:numId w:val="19"/>
        </w:numPr>
        <w:contextualSpacing/>
      </w:pPr>
      <w:r w:rsidRPr="00940BBC">
        <w:t>В случае исходного поражения костного мозга статус костного мозга для определения ЧР не значим. Однако при сохранении поражения костного мозга в процессе и/или после завершения лечения, обязательно уточнение характеристики опухолевых клеток.</w:t>
      </w:r>
      <w:r>
        <w:t xml:space="preserve"> Пациенты</w:t>
      </w:r>
      <w:r w:rsidRPr="00940BBC">
        <w:t xml:space="preserve"> с исходным поражением костного мозга, у которых после завершения лечения клинически диагностируется ПР, но при этом сохраняется поражение костного мозга или костный мозг не может быть оценен, относятся к ЧР.</w:t>
      </w:r>
    </w:p>
    <w:p w14:paraId="155E8C31" w14:textId="77777777" w:rsidR="007D7257" w:rsidRPr="00940BBC" w:rsidRDefault="007D7257" w:rsidP="007D7257">
      <w:pPr>
        <w:rPr>
          <w:i/>
          <w:u w:val="single"/>
        </w:rPr>
      </w:pPr>
      <w:r w:rsidRPr="00940BBC">
        <w:rPr>
          <w:i/>
          <w:u w:val="single"/>
        </w:rPr>
        <w:t>Стабилизация</w:t>
      </w:r>
    </w:p>
    <w:p w14:paraId="6734EB2C" w14:textId="77777777" w:rsidR="007D7257" w:rsidRPr="00940BBC" w:rsidRDefault="007D7257" w:rsidP="007D7257">
      <w:pPr>
        <w:ind w:left="709" w:firstLine="0"/>
      </w:pPr>
      <w:r w:rsidRPr="00940BBC">
        <w:t>Показатели опухоли не соответствуют ни критериям ПР или ЧР, ни критериям прогрессирования.</w:t>
      </w:r>
    </w:p>
    <w:p w14:paraId="742ED9BD" w14:textId="77777777" w:rsidR="007D7257" w:rsidRPr="00940BBC" w:rsidRDefault="007D7257" w:rsidP="007D7257">
      <w:pPr>
        <w:rPr>
          <w:i/>
          <w:u w:val="single"/>
        </w:rPr>
      </w:pPr>
      <w:r w:rsidRPr="00940BBC">
        <w:rPr>
          <w:i/>
          <w:u w:val="single"/>
        </w:rPr>
        <w:t>Рецидив (после ПР) или прогрессирование (после ЧР или ст</w:t>
      </w:r>
      <w:r>
        <w:rPr>
          <w:i/>
          <w:u w:val="single"/>
        </w:rPr>
        <w:t>абилизации</w:t>
      </w:r>
      <w:r w:rsidRPr="00940BBC">
        <w:rPr>
          <w:i/>
          <w:u w:val="single"/>
        </w:rPr>
        <w:t>)</w:t>
      </w:r>
    </w:p>
    <w:p w14:paraId="446410EF" w14:textId="77777777" w:rsidR="007D7257" w:rsidRPr="00940BBC" w:rsidRDefault="007D7257" w:rsidP="00A72B1B">
      <w:pPr>
        <w:numPr>
          <w:ilvl w:val="0"/>
          <w:numId w:val="20"/>
        </w:numPr>
        <w:contextualSpacing/>
        <w:rPr>
          <w:u w:val="single"/>
        </w:rPr>
      </w:pPr>
      <w:r w:rsidRPr="00940BBC">
        <w:t>Появление новых очагов (увеличение лимфатических узлов или объемных образований экстранодальных локализаций) более 1,5 см в наибольшем измерении в процессе или после завершения лечения, вне зависимости от изменения размеров других очагов поражения.</w:t>
      </w:r>
    </w:p>
    <w:p w14:paraId="4DEA829B" w14:textId="77777777" w:rsidR="007D7257" w:rsidRPr="00D3063E" w:rsidRDefault="007D7257" w:rsidP="00A72B1B">
      <w:pPr>
        <w:numPr>
          <w:ilvl w:val="0"/>
          <w:numId w:val="20"/>
        </w:numPr>
        <w:contextualSpacing/>
        <w:rPr>
          <w:u w:val="single"/>
        </w:rPr>
      </w:pPr>
      <w:r w:rsidRPr="00940BBC">
        <w:t xml:space="preserve">Увеличение как минимум одного уже известного очага более чем на 25% от минимального. Для очагов менее 1 см в наибольшем измерении – увеличение до 1,5 см и более. </w:t>
      </w:r>
    </w:p>
    <w:p w14:paraId="180AEC0C" w14:textId="77777777" w:rsidR="00D71DD0" w:rsidRDefault="00D71DD0" w:rsidP="00D71DD0">
      <w:pPr>
        <w:pStyle w:val="2"/>
        <w:spacing w:before="0"/>
      </w:pPr>
      <w:bookmarkStart w:id="87" w:name="_Toc101882882"/>
    </w:p>
    <w:p w14:paraId="0BC9479E" w14:textId="1B22F207" w:rsidR="00D71DD0" w:rsidRDefault="00D71DD0" w:rsidP="00D71DD0">
      <w:pPr>
        <w:pStyle w:val="2"/>
        <w:spacing w:before="0"/>
      </w:pPr>
      <w:bookmarkStart w:id="88" w:name="_Toc103332111"/>
      <w:r w:rsidRPr="006641A3">
        <w:t>7.</w:t>
      </w:r>
      <w:r>
        <w:t>5</w:t>
      </w:r>
      <w:r>
        <w:t xml:space="preserve">. </w:t>
      </w:r>
      <w:bookmarkStart w:id="89" w:name="_Toc64295957"/>
      <w:bookmarkStart w:id="90" w:name="_Toc64479345"/>
      <w:r>
        <w:t>Профилактика тромботических осложнений</w:t>
      </w:r>
      <w:bookmarkEnd w:id="87"/>
      <w:bookmarkEnd w:id="88"/>
      <w:bookmarkEnd w:id="89"/>
      <w:bookmarkEnd w:id="90"/>
    </w:p>
    <w:p w14:paraId="43CD3D08" w14:textId="61FC9687" w:rsidR="00D71DD0" w:rsidRDefault="00D71DD0" w:rsidP="00D71DD0">
      <w:r>
        <w:rPr>
          <w:szCs w:val="24"/>
        </w:rPr>
        <w:t>Частота возникновения ВТЭО при лимфомах колеблется от 1,5 до 59,5% и зависит от варианта лимфомы, стадии заболевания, ее локализации</w:t>
      </w:r>
      <w:r w:rsidRPr="00EF10DB">
        <w:rPr>
          <w:szCs w:val="24"/>
        </w:rPr>
        <w:t xml:space="preserve"> </w:t>
      </w:r>
      <w:r>
        <w:rPr>
          <w:szCs w:val="24"/>
        </w:rPr>
        <w:fldChar w:fldCharType="begin" w:fldLock="1"/>
      </w:r>
      <w:r w:rsidR="004D13EB">
        <w:rPr>
          <w:szCs w:val="24"/>
        </w:rPr>
        <w:instrText>ADDIN CSL_CITATION {"citationItems":[{"id":"ITEM-1","itemData":{"DOI":"10.1016/j.thromres.2016.05.008","ISSN":"18792472","PMID":"27208462","abstract":"Introduction Patients with non-Hodgkin lymphoma (NHL) have an increased risk of venous thromboembolism (VTE). Current risk-prediction models classify NHL as a single entity. We aimed to quantify the difference in VTE risk in follicular lymphoma (FL) versus diffuse large B cell lymphoma (DLBCL). Methods Using a prospective cohort study, we identified 2730 patients (2037 DLBCL; 693 FL) within the Veteran's Administration Central Cancer Registry. A competing risk model assessed the association between VTE risk and histology in the first year after NHL diagnosis. We assessed the effect of additional risk factors for VTE in NHL. Results In univariate analysis, DLBCL was associated with increased risk of VTE compared to FL in the first year after diagnosis; this association was no longer significant in adjusted analysis (adjusted hazard ratio (aHR) 1.52; 95% CI 0.97-2.40). Major risk factors for VTE included history of VTE before NHL diagnosis (aHR 4.73, p ≤ 0.0001) and time period during chemotherapy administration (aHR 7.60, p ≤ 0.0001). Additional risk factors included: stage III/IV disease (p = 0.02), BMI ≥ 30 (p = 0.02), B-symptoms (p = 0.02), and doxorubicin (p = 0.04). The cumulative incidence of VTE was highest in the period following diagnosis and decreased over time for both histologies. Conclusion DLBCL is associated with increased risk of VTE compared to FL. This risk is markedly attenuated when adjusting for additional risk factors. The strongest predictors for development of VTE included: time period during chemotherapy administration (especially doxorubicin) and history of VTE. This knowledge can assist clinicians in identifying NHL patients at high risk for VTE.","author":[{"dropping-particle":"","family":"Sanfilippo","given":"K. M.","non-dropping-particle":"","parse-names":false,"suffix":""},{"dropping-particle":"","family":"Wang","given":"T. F.","non-dropping-particle":"","parse-names":false,"suffix":""},{"dropping-particle":"","family":"Gage","given":"B. F.","non-dropping-particle":"","parse-names":false,"suffix":""},{"dropping-particle":"","family":"Luo","given":"S.","non-dropping-particle":"","parse-names":false,"suffix":""},{"dropping-particle":"","family":"Riedell","given":"P.","non-dropping-particle":"","parse-names":false,"suffix":""},{"dropping-particle":"","family":"Carson","given":"K. R.","non-dropping-particle":"","parse-names":false,"suffix":""}],"container-title":"Thrombosis Research","id":"ITEM-1","issued":{"date-parts":[["2016","7","1"]]},"page":"86-90","publisher":"Elsevier Ltd","title":"Incidence of venous thromboembolism in patients with non-Hodgkin lymphoma","type":"article-journal","volume":"143"},"uris":["http://www.mendeley.com/documents/?uuid=7b8bbbe4-fc75-35bc-b4a6-c3fcc6ae90cc"]},{"id":"ITEM-2","itemData":{"DOI":"10.1016/j.thromres.2012.03.019","ISSN":"18792472","PMID":"22507288","abstract":"Introduction: Venous thromboembolism (VTE) may be associated with treatment failure rate and quality of life deterioration in lymphoma patients. However, the majority of data regarding VTE has come from retrospective studies done in Western countries. Materials and methods: We analyzed VTE, including pulmonary embolism and deep vein thrombosis, from Asian patients enrolled a prospective cohort study. All patients were newly diagnosed Hodgkin's lymphoma (HL) and non-Hodgkin's lymphoma (NHL). Results: A total of 686 patients were analyzed, and the median follow-up duration was 21.8 months. There were 54 cases of VTE including deep vein thrombosis alone (33/54, 61.1%) and pulmonary embolism (21/54, 38.9%). The median time to VTE was 1.97 months, and the one-year actuarial incidence was 7.9%. The global incidence of VTE was higher in patients with NHL (51/641, 8.0%) than HL (3/45, 6.7%). All cases of VTE occurred in patients receiving chemotherapy whereas no VTE in patients without chemotherapy. VTE was also independently associated with age older than 60 years and primary central nervous system (CNS) lymphoma. No VTE-related deaths were reported among all cases of VTE. Thus, overall survival was not different between patients with and without VTE. The subgroup analysis of patients with diffuse large B-cell lymphoma showed 8.9% of one-year actuarial incidence, but the occurrence of VTE did not influence its overall survival, either. Conclusions: The incidence of VTE in our study population was comparable to that of Western countries, and VTE was associated with chemotherapy, brain involvement and old age. © 2012 Elsevier Ltd.","author":[{"dropping-particle":"","family":"Park","given":"Lee Chun","non-dropping-particle":"","parse-names":false,"suffix":""},{"dropping-particle":"","family":"Woo","given":"Sook Young","non-dropping-particle":"","parse-names":false,"suffix":""},{"dropping-particle":"","family":"Kim","given":"Seonwoo","non-dropping-particle":"","parse-names":false,"suffix":""},{"dropping-particle":"","family":"Jeon","given":"Hyejin","non-dropping-particle":"","parse-names":false,"suffix":""},{"dropping-particle":"","family":"Ko","given":"Young Hyeh","non-dropping-particle":"","parse-names":false,"suffix":""},{"dropping-particle":"","family":"Kim","given":"Seok Jin","non-dropping-particle":"","parse-names":false,"suffix":""},{"dropping-particle":"","family":"Kim","given":"Won Seog","non-dropping-particle":"","parse-names":false,"suffix":""}],"container-title":"Thrombosis Research","id":"ITEM-2","issue":"3","issued":{"date-parts":[["2012"]]},"page":"e6","publisher":"Elsevier Ltd","title":"Incidence, risk factors and clinical features of venous thromboembolism in newly diagnosed lymphoma patients: Results from a prospective cohort study with Asian population","type":"article-journal","volume":"130"},"uris":["http://www.mendeley.com/documents/?uuid=3cf2b606-ef7e-3c57-a3c7-2a7b45850867"]}],"mendeley":{"formattedCitation":"[60,61]","plainTextFormattedCitation":"[60,61]","previouslyFormattedCitation":"[60,61]"},"properties":{"noteIndex":0},"schema":"https://github.com/citation-style-language/schema/raw/master/csl-citation.json"}</w:instrText>
      </w:r>
      <w:r>
        <w:rPr>
          <w:szCs w:val="24"/>
        </w:rPr>
        <w:fldChar w:fldCharType="separate"/>
      </w:r>
      <w:r w:rsidR="00EF3174" w:rsidRPr="00EF3174">
        <w:rPr>
          <w:noProof/>
          <w:szCs w:val="24"/>
        </w:rPr>
        <w:t>[60,61]</w:t>
      </w:r>
      <w:r>
        <w:rPr>
          <w:szCs w:val="24"/>
        </w:rPr>
        <w:fldChar w:fldCharType="end"/>
      </w:r>
      <w:r>
        <w:rPr>
          <w:szCs w:val="24"/>
        </w:rPr>
        <w:t xml:space="preserve">. При лимфомах высокой степени злокачественности риск ВТЭО выше, чем при лимфомах низкой степени злокачественности (8.3% против 6.3%). Развитию ВТЭО способствует сдавление венозных сосудов опухолевой массой, которое встречается у 22% больных лимфомами </w:t>
      </w:r>
      <w:r>
        <w:rPr>
          <w:szCs w:val="24"/>
        </w:rPr>
        <w:fldChar w:fldCharType="begin" w:fldLock="1"/>
      </w:r>
      <w:r w:rsidR="004D13EB">
        <w:rPr>
          <w:szCs w:val="24"/>
        </w:rPr>
        <w:instrText>ADDIN CSL_CITATION {"citationItems":[{"id":"ITEM-1","itemData":{"DOI":"10.1016/j.thromres.2016.05.008","ISSN":"18792472","PMID":"27208462","abstract":"Introduction Patients with non-Hodgkin lymphoma (NHL) have an increased risk of venous thromboembolism (VTE). Current risk-prediction models classify NHL as a single entity. We aimed to quantify the difference in VTE risk in follicular lymphoma (FL) versus diffuse large B cell lymphoma (DLBCL). Methods Using a prospective cohort study, we identified 2730 patients (2037 DLBCL; 693 FL) within the Veteran's Administration Central Cancer Registry. A competing risk model assessed the association between VTE risk and histology in the first year after NHL diagnosis. We assessed the effect of additional risk factors for VTE in NHL. Results In univariate analysis, DLBCL was associated with increased risk of VTE compared to FL in the first year after diagnosis; this association was no longer significant in adjusted analysis (adjusted hazard ratio (aHR) 1.52; 95% CI 0.97-2.40). Major risk factors for VTE included history of VTE before NHL diagnosis (aHR 4.73, p ≤ 0.0001) and time period during chemotherapy administration (aHR 7.60, p ≤ 0.0001). Additional risk factors included: stage III/IV disease (p = 0.02), BMI ≥ 30 (p = 0.02), B-symptoms (p = 0.02), and doxorubicin (p = 0.04). The cumulative incidence of VTE was highest in the period following diagnosis and decreased over time for both histologies. Conclusion DLBCL is associated with increased risk of VTE compared to FL. This risk is markedly attenuated when adjusting for additional risk factors. The strongest predictors for development of VTE included: time period during chemotherapy administration (especially doxorubicin) and history of VTE. This knowledge can assist clinicians in identifying NHL patients at high risk for VTE.","author":[{"dropping-particle":"","family":"Sanfilippo","given":"K. M.","non-dropping-particle":"","parse-names":false,"suffix":""},{"dropping-particle":"","family":"Wang","given":"T. F.","non-dropping-particle":"","parse-names":false,"suffix":""},{"dropping-particle":"","family":"Gage","given":"B. F.","non-dropping-particle":"","parse-names":false,"suffix":""},{"dropping-particle":"","family":"Luo","given":"S.","non-dropping-particle":"","parse-names":false,"suffix":""},{"dropping-particle":"","family":"Riedell","given":"P.","non-dropping-particle":"","parse-names":false,"suffix":""},{"dropping-particle":"","family":"Carson","given":"K. R.","non-dropping-particle":"","parse-names":false,"suffix":""}],"container-title":"Thrombosis Research","id":"ITEM-1","issued":{"date-parts":[["2016","7","1"]]},"page":"86-90","publisher":"Elsevier Ltd","title":"Incidence of venous thromboembolism in patients with non-Hodgkin lymphoma","type":"article-journal","volume":"143"},"uris":["http://www.mendeley.com/documents/?uuid=7b8bbbe4-fc75-35bc-b4a6-c3fcc6ae90cc"]},{"id":"ITEM-2","itemData":{"DOI":"10.1016/j.thromres.2012.03.019","ISSN":"18792472","PMID":"22507288","abstract":"Introduction: Venous thromboembolism (VTE) may be associated with treatment failure rate and quality of life deterioration in lymphoma patients. However, the majority of data regarding VTE has come from retrospective studies done in Western countries. Materials and methods: We analyzed VTE, including pulmonary embolism and deep vein thrombosis, from Asian patients enrolled a prospective cohort study. All patients were newly diagnosed Hodgkin's lymphoma (HL) and non-Hodgkin's lymphoma (NHL). Results: A total of 686 patients were analyzed, and the median follow-up duration was 21.8 months. There were 54 cases of VTE including deep vein thrombosis alone (33/54, 61.1%) and pulmonary embolism (21/54, 38.9%). The median time to VTE was 1.97 months, and the one-year actuarial incidence was 7.9%. The global incidence of VTE was higher in patients with NHL (51/641, 8.0%) than HL (3/45, 6.7%). All cases of VTE occurred in patients receiving chemotherapy whereas no VTE in patients without chemotherapy. VTE was also independently associated with age older than 60 years and primary central nervous system (CNS) lymphoma. No VTE-related deaths were reported among all cases of VTE. Thus, overall survival was not different between patients with and without VTE. The subgroup analysis of patients with diffuse large B-cell lymphoma showed 8.9% of one-year actuarial incidence, but the occurrence of VTE did not influence its overall survival, either. Conclusions: The incidence of VTE in our study population was comparable to that of Western countries, and VTE was associated with chemotherapy, brain involvement and old age. © 2012 Elsevier Ltd.","author":[{"dropping-particle":"","family":"Park","given":"Lee Chun","non-dropping-particle":"","parse-names":false,"suffix":""},{"dropping-particle":"","family":"Woo","given":"Sook Young","non-dropping-particle":"","parse-names":false,"suffix":""},{"dropping-particle":"","family":"Kim","given":"Seonwoo","non-dropping-particle":"","parse-names":false,"suffix":""},{"dropping-particle":"","family":"Jeon","given":"Hyejin","non-dropping-particle":"","parse-names":false,"suffix":""},{"dropping-particle":"","family":"Ko","given":"Young Hyeh","non-dropping-particle":"","parse-names":false,"suffix":""},{"dropping-particle":"","family":"Kim","given":"Seok Jin","non-dropping-particle":"","parse-names":false,"suffix":""},{"dropping-particle":"","family":"Kim","given":"Won Seog","non-dropping-particle":"","parse-names":false,"suffix":""}],"container-title":"Thrombosis Research","id":"ITEM-2","issue":"3","issued":{"date-parts":[["2012"]]},"page":"e6","publisher":"Elsevier Ltd","title":"Incidence, risk factors and clinical features of venous thromboembolism in newly diagnosed lymphoma patients: Results from a prospective cohort study with Asian population","type":"article-journal","volume":"130"},"uris":["http://www.mendeley.com/documents/?uuid=3cf2b606-ef7e-3c57-a3c7-2a7b45850867"]}],"mendeley":{"formattedCitation":"[60,61]","plainTextFormattedCitation":"[60,61]","previouslyFormattedCitation":"[60,61]"},"properties":{"noteIndex":0},"schema":"https://github.com/citation-style-language/schema/raw/master/csl-citation.json"}</w:instrText>
      </w:r>
      <w:r>
        <w:rPr>
          <w:szCs w:val="24"/>
        </w:rPr>
        <w:fldChar w:fldCharType="separate"/>
      </w:r>
      <w:r w:rsidR="00EF3174" w:rsidRPr="00EF3174">
        <w:rPr>
          <w:noProof/>
          <w:szCs w:val="24"/>
        </w:rPr>
        <w:t>[60,61]</w:t>
      </w:r>
      <w:r>
        <w:rPr>
          <w:szCs w:val="24"/>
        </w:rPr>
        <w:fldChar w:fldCharType="end"/>
      </w:r>
      <w:r>
        <w:rPr>
          <w:szCs w:val="24"/>
        </w:rPr>
        <w:t>.</w:t>
      </w:r>
    </w:p>
    <w:p w14:paraId="33AB446F" w14:textId="77777777" w:rsidR="00D71DD0" w:rsidRDefault="00D71DD0" w:rsidP="00D71DD0">
      <w:pPr>
        <w:rPr>
          <w:szCs w:val="24"/>
        </w:rPr>
      </w:pPr>
      <w:r>
        <w:rPr>
          <w:szCs w:val="24"/>
        </w:rPr>
        <w:t xml:space="preserve">При лимфомах факторами риска ВТЭО являются возраст старше 60 лет, интоксикационный синдром, а также ХТ и лучевая терапия. В частности, после ХТ в течение первых 3 мес. лечения более, чем в 70% случаев, у больных регистрируются ВТЭО.  </w:t>
      </w:r>
    </w:p>
    <w:p w14:paraId="4C6D18B6" w14:textId="267D6743" w:rsidR="00D71DD0" w:rsidRDefault="00D71DD0" w:rsidP="00D71DD0">
      <w:pPr>
        <w:rPr>
          <w:szCs w:val="24"/>
        </w:rPr>
      </w:pPr>
      <w:r>
        <w:rPr>
          <w:szCs w:val="24"/>
        </w:rPr>
        <w:t>При решении вопроса о проведения профилактики необходимо учитывать индивидуальный риск развития ВТЭО (табл. 7.</w:t>
      </w:r>
      <w:r>
        <w:rPr>
          <w:szCs w:val="24"/>
        </w:rPr>
        <w:t>5</w:t>
      </w:r>
      <w:r>
        <w:rPr>
          <w:szCs w:val="24"/>
        </w:rPr>
        <w:t xml:space="preserve">.1). </w:t>
      </w:r>
    </w:p>
    <w:p w14:paraId="1059D569" w14:textId="77777777" w:rsidR="00D71DD0" w:rsidRDefault="00D71DD0" w:rsidP="00D71DD0">
      <w:pPr>
        <w:ind w:firstLine="0"/>
        <w:rPr>
          <w:szCs w:val="24"/>
        </w:rPr>
      </w:pPr>
    </w:p>
    <w:p w14:paraId="615CE812" w14:textId="7A6D9B0A" w:rsidR="00D71DD0" w:rsidRPr="00947086" w:rsidRDefault="00D71DD0" w:rsidP="00D71DD0">
      <w:pPr>
        <w:ind w:firstLine="0"/>
        <w:rPr>
          <w:szCs w:val="24"/>
        </w:rPr>
      </w:pPr>
      <w:r w:rsidRPr="00947086">
        <w:rPr>
          <w:szCs w:val="24"/>
        </w:rPr>
        <w:t xml:space="preserve">Таблица </w:t>
      </w:r>
      <w:r>
        <w:rPr>
          <w:szCs w:val="24"/>
        </w:rPr>
        <w:t>7.</w:t>
      </w:r>
      <w:r>
        <w:rPr>
          <w:szCs w:val="24"/>
        </w:rPr>
        <w:t>5</w:t>
      </w:r>
      <w:r>
        <w:rPr>
          <w:szCs w:val="24"/>
        </w:rPr>
        <w:t>.1</w:t>
      </w:r>
      <w:r w:rsidRPr="00947086">
        <w:rPr>
          <w:szCs w:val="24"/>
        </w:rPr>
        <w:t xml:space="preserve">. Оценка риска развития ВТЭО у пациентов с лимфомами </w:t>
      </w:r>
    </w:p>
    <w:tbl>
      <w:tblPr>
        <w:tblStyle w:val="aff8"/>
        <w:tblW w:w="8080" w:type="dxa"/>
        <w:tblInd w:w="817" w:type="dxa"/>
        <w:tblLook w:val="04A0" w:firstRow="1" w:lastRow="0" w:firstColumn="1" w:lastColumn="0" w:noHBand="0" w:noVBand="1"/>
      </w:tblPr>
      <w:tblGrid>
        <w:gridCol w:w="4536"/>
        <w:gridCol w:w="3544"/>
      </w:tblGrid>
      <w:tr w:rsidR="00D71DD0" w14:paraId="2F54962C" w14:textId="77777777" w:rsidTr="00EC1C67">
        <w:tc>
          <w:tcPr>
            <w:tcW w:w="4536" w:type="dxa"/>
            <w:shd w:val="clear" w:color="auto" w:fill="auto"/>
          </w:tcPr>
          <w:p w14:paraId="443FECF4" w14:textId="77777777" w:rsidR="00D71DD0" w:rsidRPr="00947086" w:rsidRDefault="00D71DD0" w:rsidP="00EC1C67">
            <w:pPr>
              <w:ind w:firstLine="0"/>
              <w:jc w:val="center"/>
              <w:rPr>
                <w:szCs w:val="24"/>
              </w:rPr>
            </w:pPr>
            <w:r w:rsidRPr="00947086">
              <w:rPr>
                <w:szCs w:val="24"/>
              </w:rPr>
              <w:t>Факторы риска</w:t>
            </w:r>
          </w:p>
        </w:tc>
        <w:tc>
          <w:tcPr>
            <w:tcW w:w="3544" w:type="dxa"/>
            <w:shd w:val="clear" w:color="auto" w:fill="auto"/>
          </w:tcPr>
          <w:p w14:paraId="6372347D" w14:textId="77777777" w:rsidR="00D71DD0" w:rsidRPr="00947086" w:rsidRDefault="00D71DD0" w:rsidP="00EC1C67">
            <w:pPr>
              <w:ind w:firstLine="0"/>
              <w:jc w:val="center"/>
              <w:rPr>
                <w:szCs w:val="24"/>
              </w:rPr>
            </w:pPr>
            <w:r w:rsidRPr="00947086">
              <w:rPr>
                <w:szCs w:val="24"/>
              </w:rPr>
              <w:t>Рекомендуемые действия</w:t>
            </w:r>
          </w:p>
        </w:tc>
      </w:tr>
      <w:tr w:rsidR="00D71DD0" w14:paraId="43E9A3A9" w14:textId="77777777" w:rsidTr="00EC1C67">
        <w:tc>
          <w:tcPr>
            <w:tcW w:w="4536" w:type="dxa"/>
            <w:shd w:val="clear" w:color="auto" w:fill="auto"/>
          </w:tcPr>
          <w:p w14:paraId="5B11EC00" w14:textId="77777777" w:rsidR="00D71DD0" w:rsidRDefault="00D71DD0" w:rsidP="00EC1C67">
            <w:pPr>
              <w:rPr>
                <w:szCs w:val="24"/>
              </w:rPr>
            </w:pPr>
            <w:r>
              <w:rPr>
                <w:szCs w:val="24"/>
              </w:rPr>
              <w:lastRenderedPageBreak/>
              <w:t>Индивидуальные для пациента:</w:t>
            </w:r>
          </w:p>
          <w:p w14:paraId="5997A9EB" w14:textId="77777777" w:rsidR="00D71DD0" w:rsidRDefault="00D71DD0" w:rsidP="00A72B1B">
            <w:pPr>
              <w:pStyle w:val="afd"/>
              <w:numPr>
                <w:ilvl w:val="0"/>
                <w:numId w:val="27"/>
              </w:numPr>
              <w:jc w:val="left"/>
              <w:rPr>
                <w:szCs w:val="24"/>
              </w:rPr>
            </w:pPr>
            <w:r>
              <w:rPr>
                <w:szCs w:val="24"/>
              </w:rPr>
              <w:t>ожирение (ИМТ ≥ 30 кг/м</w:t>
            </w:r>
            <w:r>
              <w:rPr>
                <w:szCs w:val="24"/>
                <w:vertAlign w:val="superscript"/>
              </w:rPr>
              <w:t>2</w:t>
            </w:r>
            <w:r>
              <w:rPr>
                <w:szCs w:val="24"/>
              </w:rPr>
              <w:t>)</w:t>
            </w:r>
          </w:p>
          <w:p w14:paraId="2A5E881F" w14:textId="77777777" w:rsidR="00D71DD0" w:rsidRDefault="00D71DD0" w:rsidP="00A72B1B">
            <w:pPr>
              <w:pStyle w:val="afd"/>
              <w:numPr>
                <w:ilvl w:val="0"/>
                <w:numId w:val="27"/>
              </w:numPr>
              <w:jc w:val="left"/>
              <w:rPr>
                <w:szCs w:val="24"/>
              </w:rPr>
            </w:pPr>
            <w:r>
              <w:rPr>
                <w:szCs w:val="24"/>
              </w:rPr>
              <w:t>ВТЭО в анамнезе</w:t>
            </w:r>
          </w:p>
          <w:p w14:paraId="0798C862" w14:textId="77777777" w:rsidR="00D71DD0" w:rsidRDefault="00D71DD0" w:rsidP="00A72B1B">
            <w:pPr>
              <w:pStyle w:val="afd"/>
              <w:numPr>
                <w:ilvl w:val="0"/>
                <w:numId w:val="27"/>
              </w:numPr>
              <w:jc w:val="left"/>
              <w:rPr>
                <w:szCs w:val="24"/>
              </w:rPr>
            </w:pPr>
            <w:r>
              <w:rPr>
                <w:szCs w:val="24"/>
              </w:rPr>
              <w:t>ЦВК или водители ритма</w:t>
            </w:r>
          </w:p>
          <w:p w14:paraId="0B4C1725" w14:textId="77777777" w:rsidR="00D71DD0" w:rsidRDefault="00D71DD0" w:rsidP="00A72B1B">
            <w:pPr>
              <w:pStyle w:val="afd"/>
              <w:numPr>
                <w:ilvl w:val="0"/>
                <w:numId w:val="27"/>
              </w:numPr>
              <w:jc w:val="left"/>
              <w:rPr>
                <w:szCs w:val="24"/>
              </w:rPr>
            </w:pPr>
            <w:r>
              <w:rPr>
                <w:szCs w:val="24"/>
              </w:rPr>
              <w:t>сопутствующие заболевания (ИБС, ХБП, сахарный диабет, инфекции, иммобилизация)</w:t>
            </w:r>
          </w:p>
          <w:p w14:paraId="01209B1F" w14:textId="77777777" w:rsidR="00D71DD0" w:rsidRDefault="00D71DD0" w:rsidP="00A72B1B">
            <w:pPr>
              <w:pStyle w:val="afd"/>
              <w:numPr>
                <w:ilvl w:val="0"/>
                <w:numId w:val="27"/>
              </w:numPr>
              <w:jc w:val="left"/>
              <w:rPr>
                <w:szCs w:val="24"/>
              </w:rPr>
            </w:pPr>
            <w:r>
              <w:rPr>
                <w:szCs w:val="24"/>
              </w:rPr>
              <w:t>хирургия, анестезия, травмы</w:t>
            </w:r>
          </w:p>
          <w:p w14:paraId="5AEB9BF9" w14:textId="77777777" w:rsidR="00D71DD0" w:rsidRDefault="00D71DD0" w:rsidP="00A72B1B">
            <w:pPr>
              <w:pStyle w:val="afd"/>
              <w:numPr>
                <w:ilvl w:val="0"/>
                <w:numId w:val="27"/>
              </w:numPr>
              <w:jc w:val="left"/>
              <w:rPr>
                <w:szCs w:val="24"/>
              </w:rPr>
            </w:pPr>
            <w:r>
              <w:rPr>
                <w:szCs w:val="24"/>
              </w:rPr>
              <w:t>применение эритропоэтина</w:t>
            </w:r>
          </w:p>
          <w:p w14:paraId="1BCB83A4" w14:textId="77777777" w:rsidR="00D71DD0" w:rsidRDefault="00D71DD0" w:rsidP="00A72B1B">
            <w:pPr>
              <w:pStyle w:val="afd"/>
              <w:numPr>
                <w:ilvl w:val="0"/>
                <w:numId w:val="27"/>
              </w:numPr>
              <w:jc w:val="left"/>
              <w:rPr>
                <w:b/>
                <w:szCs w:val="24"/>
              </w:rPr>
            </w:pPr>
            <w:r>
              <w:rPr>
                <w:szCs w:val="24"/>
              </w:rPr>
              <w:t>тромбофилии</w:t>
            </w:r>
          </w:p>
        </w:tc>
        <w:tc>
          <w:tcPr>
            <w:tcW w:w="3544" w:type="dxa"/>
            <w:vMerge w:val="restart"/>
            <w:shd w:val="clear" w:color="auto" w:fill="auto"/>
            <w:vAlign w:val="center"/>
          </w:tcPr>
          <w:p w14:paraId="6985E3E5" w14:textId="77777777" w:rsidR="00D71DD0" w:rsidRPr="00947086" w:rsidRDefault="00D71DD0" w:rsidP="00EC1C67">
            <w:pPr>
              <w:pStyle w:val="afd"/>
              <w:ind w:firstLine="0"/>
              <w:rPr>
                <w:szCs w:val="24"/>
                <w:u w:val="single"/>
              </w:rPr>
            </w:pPr>
            <w:r w:rsidRPr="00947086">
              <w:rPr>
                <w:szCs w:val="24"/>
                <w:u w:val="single"/>
              </w:rPr>
              <w:t>0– 1 факторов риска:</w:t>
            </w:r>
          </w:p>
          <w:p w14:paraId="5084C6AB" w14:textId="77777777" w:rsidR="00D71DD0" w:rsidRDefault="00D71DD0" w:rsidP="00EC1C67">
            <w:pPr>
              <w:ind w:firstLine="0"/>
              <w:jc w:val="center"/>
              <w:rPr>
                <w:szCs w:val="24"/>
              </w:rPr>
            </w:pPr>
            <w:r>
              <w:rPr>
                <w:szCs w:val="24"/>
              </w:rPr>
              <w:t>- ацетилсалициловая кислота 75-325 мг/сут</w:t>
            </w:r>
          </w:p>
          <w:p w14:paraId="10C67F57" w14:textId="77777777" w:rsidR="00D71DD0" w:rsidRDefault="00D71DD0" w:rsidP="00EC1C67">
            <w:pPr>
              <w:pStyle w:val="afd"/>
              <w:ind w:left="375" w:firstLine="0"/>
              <w:jc w:val="center"/>
              <w:rPr>
                <w:szCs w:val="24"/>
              </w:rPr>
            </w:pPr>
          </w:p>
          <w:p w14:paraId="2A0FF1B1" w14:textId="77777777" w:rsidR="00D71DD0" w:rsidRPr="00947086" w:rsidRDefault="00D71DD0" w:rsidP="00EC1C67">
            <w:pPr>
              <w:ind w:firstLine="0"/>
              <w:jc w:val="center"/>
              <w:rPr>
                <w:szCs w:val="24"/>
                <w:u w:val="single"/>
              </w:rPr>
            </w:pPr>
            <w:r w:rsidRPr="00947086">
              <w:rPr>
                <w:szCs w:val="24"/>
                <w:u w:val="single"/>
              </w:rPr>
              <w:t>≥ 2 фактора риска:</w:t>
            </w:r>
          </w:p>
          <w:p w14:paraId="40B7D8E9" w14:textId="77777777" w:rsidR="00D71DD0" w:rsidRDefault="00D71DD0" w:rsidP="00EC1C67">
            <w:pPr>
              <w:ind w:firstLine="0"/>
              <w:rPr>
                <w:szCs w:val="24"/>
              </w:rPr>
            </w:pPr>
            <w:r>
              <w:rPr>
                <w:szCs w:val="24"/>
              </w:rPr>
              <w:t>- НМГ (эквивалентно 40 мг/сут эноксапарина натрия) или</w:t>
            </w:r>
          </w:p>
          <w:p w14:paraId="680932AA" w14:textId="77777777" w:rsidR="00D71DD0" w:rsidRDefault="00D71DD0" w:rsidP="00EC1C67">
            <w:pPr>
              <w:ind w:firstLine="0"/>
              <w:rPr>
                <w:b/>
                <w:szCs w:val="24"/>
              </w:rPr>
            </w:pPr>
            <w:r>
              <w:rPr>
                <w:b/>
                <w:szCs w:val="24"/>
              </w:rPr>
              <w:t xml:space="preserve">- </w:t>
            </w:r>
            <w:r w:rsidRPr="00AD6DDA">
              <w:rPr>
                <w:szCs w:val="24"/>
              </w:rPr>
              <w:t>Прямые оральные антикоагулянты</w:t>
            </w:r>
          </w:p>
        </w:tc>
      </w:tr>
      <w:tr w:rsidR="00D71DD0" w14:paraId="7B3D3A48" w14:textId="77777777" w:rsidTr="00EC1C67">
        <w:tc>
          <w:tcPr>
            <w:tcW w:w="4536" w:type="dxa"/>
            <w:shd w:val="clear" w:color="auto" w:fill="auto"/>
          </w:tcPr>
          <w:p w14:paraId="7538668E" w14:textId="77777777" w:rsidR="00D71DD0" w:rsidRDefault="00D71DD0" w:rsidP="00EC1C67">
            <w:pPr>
              <w:rPr>
                <w:szCs w:val="24"/>
              </w:rPr>
            </w:pPr>
            <w:r>
              <w:rPr>
                <w:szCs w:val="24"/>
              </w:rPr>
              <w:t>У пациентов с ММ:</w:t>
            </w:r>
          </w:p>
          <w:p w14:paraId="0FC33F76" w14:textId="77777777" w:rsidR="00D71DD0" w:rsidRDefault="00D71DD0" w:rsidP="00A72B1B">
            <w:pPr>
              <w:pStyle w:val="afd"/>
              <w:numPr>
                <w:ilvl w:val="0"/>
                <w:numId w:val="28"/>
              </w:numPr>
              <w:jc w:val="left"/>
              <w:rPr>
                <w:szCs w:val="24"/>
              </w:rPr>
            </w:pPr>
            <w:r>
              <w:rPr>
                <w:szCs w:val="24"/>
              </w:rPr>
              <w:t>гипервискозный синдром</w:t>
            </w:r>
          </w:p>
          <w:p w14:paraId="50665EAB" w14:textId="77777777" w:rsidR="00D71DD0" w:rsidRDefault="00D71DD0" w:rsidP="00A72B1B">
            <w:pPr>
              <w:pStyle w:val="afd"/>
              <w:numPr>
                <w:ilvl w:val="0"/>
                <w:numId w:val="28"/>
              </w:numPr>
              <w:jc w:val="left"/>
              <w:rPr>
                <w:szCs w:val="24"/>
              </w:rPr>
            </w:pPr>
            <w:r>
              <w:rPr>
                <w:szCs w:val="24"/>
              </w:rPr>
              <w:t>применение ингибиторов ангиогенеза в комбинации с</w:t>
            </w:r>
          </w:p>
          <w:p w14:paraId="024AA6EF" w14:textId="77777777" w:rsidR="00D71DD0" w:rsidRDefault="00D71DD0" w:rsidP="00EC1C67">
            <w:pPr>
              <w:rPr>
                <w:szCs w:val="24"/>
              </w:rPr>
            </w:pPr>
            <w:r>
              <w:rPr>
                <w:szCs w:val="24"/>
              </w:rPr>
              <w:t>- высокими дозами дексаметазона (≥ 480 мг/мес);</w:t>
            </w:r>
          </w:p>
          <w:p w14:paraId="04F2C604" w14:textId="77777777" w:rsidR="00D71DD0" w:rsidRDefault="00D71DD0" w:rsidP="00EC1C67">
            <w:pPr>
              <w:rPr>
                <w:szCs w:val="24"/>
              </w:rPr>
            </w:pPr>
            <w:r>
              <w:rPr>
                <w:szCs w:val="24"/>
              </w:rPr>
              <w:t>- доксорубицином;</w:t>
            </w:r>
          </w:p>
          <w:p w14:paraId="70A33ADB" w14:textId="77777777" w:rsidR="00D71DD0" w:rsidRDefault="00D71DD0" w:rsidP="00EC1C67">
            <w:pPr>
              <w:rPr>
                <w:b/>
                <w:szCs w:val="24"/>
              </w:rPr>
            </w:pPr>
            <w:r>
              <w:rPr>
                <w:szCs w:val="24"/>
              </w:rPr>
              <w:t>- в схемах ПХТ</w:t>
            </w:r>
          </w:p>
        </w:tc>
        <w:tc>
          <w:tcPr>
            <w:tcW w:w="3544" w:type="dxa"/>
            <w:vMerge/>
            <w:shd w:val="clear" w:color="auto" w:fill="auto"/>
          </w:tcPr>
          <w:p w14:paraId="4115C542" w14:textId="77777777" w:rsidR="00D71DD0" w:rsidRDefault="00D71DD0" w:rsidP="00EC1C67">
            <w:pPr>
              <w:jc w:val="center"/>
              <w:rPr>
                <w:b/>
                <w:szCs w:val="24"/>
              </w:rPr>
            </w:pPr>
          </w:p>
        </w:tc>
      </w:tr>
    </w:tbl>
    <w:p w14:paraId="76F1DD08" w14:textId="77777777" w:rsidR="00D71DD0" w:rsidRDefault="00D71DD0" w:rsidP="00D71DD0">
      <w:pPr>
        <w:rPr>
          <w:szCs w:val="24"/>
        </w:rPr>
      </w:pPr>
    </w:p>
    <w:p w14:paraId="37B965EE" w14:textId="77777777" w:rsidR="00D71DD0" w:rsidRDefault="00D71DD0" w:rsidP="00D71DD0">
      <w:pPr>
        <w:ind w:firstLine="708"/>
        <w:rPr>
          <w:szCs w:val="24"/>
        </w:rPr>
      </w:pPr>
      <w:r>
        <w:rPr>
          <w:szCs w:val="24"/>
        </w:rPr>
        <w:t xml:space="preserve">Определение продолжительности антитромботической профилактики должно проводиться на основании оценки сохранения/прекращения действия факторов риска развития тромбоза. К таким факторам, в первую очередь, относятся активность основного заболевания, химио- и лучевая терапия, ограничение подвижности пациента, наличие у него воспалительной активности инфекционного или неинфекционного генеза, дыхательной или сердечной недостаточности. В случае неполного устранения провоцирующих тромбоз факторов и сохранения высокого риска развития ВТЭО необходимо продолжение антитромботической профилактики. На начальной стадии антитромботической профилактики у пациентов с 0-1 фактором риска ВТЭО может применяться ацетилсалициловая кислота; у пациентов с ≥ 2 факторами риска препаратами выбора являются низкомолекулярные гепарины (НМГ), антагонисты витамина К (АВК) или </w:t>
      </w:r>
      <w:r>
        <w:rPr>
          <w:rFonts w:eastAsia="Times New Roman"/>
          <w:szCs w:val="24"/>
          <w:lang w:eastAsia="ru-RU"/>
        </w:rPr>
        <w:t>прямые оральные антикоагулянты (ПОАК)</w:t>
      </w:r>
      <w:r>
        <w:rPr>
          <w:szCs w:val="24"/>
        </w:rPr>
        <w:t xml:space="preserve">. Нет однозначных преимуществ тех или иных НМГ, АВК или АВК. </w:t>
      </w:r>
    </w:p>
    <w:p w14:paraId="5E883633" w14:textId="77777777" w:rsidR="00D71DD0" w:rsidRPr="00312DF1" w:rsidRDefault="00D71DD0" w:rsidP="00D71DD0">
      <w:pPr>
        <w:widowControl w:val="0"/>
        <w:rPr>
          <w:rFonts w:eastAsia="Times New Roman"/>
          <w:szCs w:val="24"/>
          <w:lang w:eastAsia="ru-RU"/>
        </w:rPr>
      </w:pPr>
      <w:r>
        <w:rPr>
          <w:rFonts w:eastAsia="Times New Roman"/>
          <w:szCs w:val="24"/>
          <w:lang w:eastAsia="ru-RU"/>
        </w:rPr>
        <w:t>Доза НМГ подбирается из расчета 100 анти-</w:t>
      </w:r>
      <w:r>
        <w:rPr>
          <w:rFonts w:eastAsia="Times New Roman"/>
          <w:szCs w:val="24"/>
          <w:lang w:val="en-US" w:eastAsia="ru-RU"/>
        </w:rPr>
        <w:t>Xa</w:t>
      </w:r>
      <w:r>
        <w:rPr>
          <w:rFonts w:eastAsia="Times New Roman"/>
          <w:szCs w:val="24"/>
          <w:lang w:eastAsia="ru-RU"/>
        </w:rPr>
        <w:t xml:space="preserve"> МЕ на кг массы тела. Профилактические режимы введения НМГ представлены в таблице 7.6.2. Препарат НМГ </w:t>
      </w:r>
      <w:r>
        <w:rPr>
          <w:rFonts w:eastAsia="Times New Roman"/>
          <w:szCs w:val="24"/>
          <w:lang w:eastAsia="ru-RU"/>
        </w:rPr>
        <w:lastRenderedPageBreak/>
        <w:t>вводится подкожно 1-2 раза в день. Для контроля используется анти-</w:t>
      </w:r>
      <w:r>
        <w:rPr>
          <w:rFonts w:eastAsia="Times New Roman"/>
          <w:szCs w:val="24"/>
          <w:lang w:val="en-US" w:eastAsia="ru-RU"/>
        </w:rPr>
        <w:t>X</w:t>
      </w:r>
      <w:r>
        <w:rPr>
          <w:rFonts w:eastAsia="Times New Roman"/>
          <w:szCs w:val="24"/>
          <w:lang w:eastAsia="ru-RU"/>
        </w:rPr>
        <w:t xml:space="preserve">а активность, максимальный пик которой должен составлять </w:t>
      </w:r>
      <w:r>
        <w:rPr>
          <w:szCs w:val="24"/>
        </w:rPr>
        <w:t xml:space="preserve">при профилактической дозе НМГ 0,3-0,4 МЕ/мл плазмы.  </w:t>
      </w:r>
    </w:p>
    <w:p w14:paraId="2A941B18" w14:textId="77777777" w:rsidR="00D71DD0" w:rsidRDefault="00D71DD0" w:rsidP="00D71DD0">
      <w:pPr>
        <w:widowControl w:val="0"/>
        <w:rPr>
          <w:szCs w:val="24"/>
        </w:rPr>
      </w:pPr>
    </w:p>
    <w:p w14:paraId="0EE03606" w14:textId="482769B6" w:rsidR="00D71DD0" w:rsidRPr="00B46409" w:rsidRDefault="00D71DD0" w:rsidP="00D71DD0">
      <w:pPr>
        <w:ind w:firstLine="0"/>
        <w:rPr>
          <w:bCs/>
          <w:szCs w:val="24"/>
        </w:rPr>
      </w:pPr>
      <w:r>
        <w:rPr>
          <w:bCs/>
          <w:szCs w:val="24"/>
        </w:rPr>
        <w:t>Таблица 7.</w:t>
      </w:r>
      <w:r>
        <w:rPr>
          <w:bCs/>
          <w:szCs w:val="24"/>
        </w:rPr>
        <w:t>5</w:t>
      </w:r>
      <w:r>
        <w:rPr>
          <w:bCs/>
          <w:szCs w:val="24"/>
        </w:rPr>
        <w:t>.2</w:t>
      </w:r>
      <w:r w:rsidRPr="00B46409">
        <w:rPr>
          <w:bCs/>
          <w:szCs w:val="24"/>
        </w:rPr>
        <w:t xml:space="preserve">. Дозы антикоагулянтных препаратов </w:t>
      </w:r>
      <w:r w:rsidRPr="00B46409">
        <w:rPr>
          <w:bCs/>
          <w:iCs/>
          <w:szCs w:val="24"/>
        </w:rPr>
        <w:t>для профилактики</w:t>
      </w:r>
      <w:r>
        <w:rPr>
          <w:bCs/>
          <w:iCs/>
          <w:szCs w:val="24"/>
        </w:rPr>
        <w:t xml:space="preserve"> </w:t>
      </w:r>
      <w:r w:rsidRPr="00B46409">
        <w:rPr>
          <w:bCs/>
          <w:szCs w:val="24"/>
        </w:rPr>
        <w:t>тромботических осложнений</w:t>
      </w:r>
    </w:p>
    <w:tbl>
      <w:tblPr>
        <w:tblStyle w:val="1f4"/>
        <w:tblW w:w="86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998"/>
        <w:gridCol w:w="4678"/>
      </w:tblGrid>
      <w:tr w:rsidR="00D71DD0" w:rsidRPr="00B46409" w14:paraId="14BAFC2C" w14:textId="77777777" w:rsidTr="00EC1C67">
        <w:trPr>
          <w:trHeight w:val="452"/>
        </w:trPr>
        <w:tc>
          <w:tcPr>
            <w:tcW w:w="3998" w:type="dxa"/>
            <w:shd w:val="clear" w:color="auto" w:fill="auto"/>
          </w:tcPr>
          <w:p w14:paraId="4A853089" w14:textId="77777777" w:rsidR="00D71DD0" w:rsidRPr="00B46409" w:rsidRDefault="00D71DD0" w:rsidP="00EC1C67">
            <w:pPr>
              <w:ind w:firstLine="0"/>
              <w:jc w:val="center"/>
              <w:rPr>
                <w:rFonts w:cs="Times New Roman"/>
                <w:bCs/>
                <w:szCs w:val="24"/>
              </w:rPr>
            </w:pPr>
            <w:r w:rsidRPr="00B46409">
              <w:rPr>
                <w:rFonts w:eastAsiaTheme="majorEastAsia" w:cs="Times New Roman"/>
                <w:bCs/>
                <w:szCs w:val="24"/>
              </w:rPr>
              <w:t>Терапия</w:t>
            </w:r>
          </w:p>
        </w:tc>
        <w:tc>
          <w:tcPr>
            <w:tcW w:w="4678" w:type="dxa"/>
            <w:shd w:val="clear" w:color="auto" w:fill="auto"/>
          </w:tcPr>
          <w:p w14:paraId="72A3E5FC" w14:textId="77777777" w:rsidR="00D71DD0" w:rsidRPr="00B46409" w:rsidRDefault="00D71DD0" w:rsidP="00EC1C67">
            <w:pPr>
              <w:ind w:firstLine="0"/>
              <w:jc w:val="center"/>
              <w:rPr>
                <w:rFonts w:cs="Times New Roman"/>
                <w:bCs/>
                <w:szCs w:val="24"/>
              </w:rPr>
            </w:pPr>
            <w:r w:rsidRPr="00B46409">
              <w:rPr>
                <w:rFonts w:eastAsiaTheme="majorEastAsia" w:cs="Times New Roman"/>
                <w:bCs/>
                <w:szCs w:val="24"/>
              </w:rPr>
              <w:t>Дозы</w:t>
            </w:r>
          </w:p>
        </w:tc>
      </w:tr>
      <w:tr w:rsidR="00D71DD0" w:rsidRPr="00B46409" w14:paraId="2A59DB35" w14:textId="77777777" w:rsidTr="00EC1C67">
        <w:trPr>
          <w:trHeight w:val="452"/>
        </w:trPr>
        <w:tc>
          <w:tcPr>
            <w:tcW w:w="3998" w:type="dxa"/>
            <w:shd w:val="clear" w:color="auto" w:fill="auto"/>
          </w:tcPr>
          <w:p w14:paraId="6468CEC4" w14:textId="77777777" w:rsidR="00D71DD0" w:rsidRPr="00B46409" w:rsidRDefault="00D71DD0" w:rsidP="00EC1C67">
            <w:pPr>
              <w:ind w:firstLine="0"/>
              <w:rPr>
                <w:rFonts w:cs="Times New Roman"/>
                <w:bCs/>
                <w:szCs w:val="24"/>
              </w:rPr>
            </w:pPr>
            <w:r w:rsidRPr="00B46409">
              <w:rPr>
                <w:rFonts w:eastAsiaTheme="majorEastAsia" w:cs="Times New Roman"/>
                <w:bCs/>
                <w:szCs w:val="24"/>
              </w:rPr>
              <w:t>Далтепарин натрия</w:t>
            </w:r>
          </w:p>
        </w:tc>
        <w:tc>
          <w:tcPr>
            <w:tcW w:w="4678" w:type="dxa"/>
            <w:shd w:val="clear" w:color="auto" w:fill="auto"/>
          </w:tcPr>
          <w:p w14:paraId="23D12A8B" w14:textId="77777777" w:rsidR="00D71DD0" w:rsidRPr="00B46409" w:rsidRDefault="00D71DD0" w:rsidP="00EC1C67">
            <w:pPr>
              <w:ind w:firstLine="0"/>
              <w:rPr>
                <w:rFonts w:cs="Times New Roman"/>
                <w:bCs/>
                <w:szCs w:val="24"/>
              </w:rPr>
            </w:pPr>
            <w:r w:rsidRPr="00B46409">
              <w:rPr>
                <w:rFonts w:eastAsiaTheme="majorEastAsia" w:cs="Times New Roman"/>
                <w:bCs/>
                <w:szCs w:val="24"/>
              </w:rPr>
              <w:t>5000 МЕ 1 раз в день, п/к</w:t>
            </w:r>
          </w:p>
        </w:tc>
      </w:tr>
      <w:tr w:rsidR="00D71DD0" w:rsidRPr="00B46409" w14:paraId="6A83C419" w14:textId="77777777" w:rsidTr="00EC1C67">
        <w:trPr>
          <w:trHeight w:val="452"/>
        </w:trPr>
        <w:tc>
          <w:tcPr>
            <w:tcW w:w="3998" w:type="dxa"/>
            <w:shd w:val="clear" w:color="auto" w:fill="auto"/>
          </w:tcPr>
          <w:p w14:paraId="543B4962" w14:textId="77777777" w:rsidR="00D71DD0" w:rsidRPr="00B46409" w:rsidRDefault="00D71DD0" w:rsidP="00EC1C67">
            <w:pPr>
              <w:ind w:firstLine="0"/>
              <w:rPr>
                <w:rFonts w:cs="Times New Roman"/>
                <w:bCs/>
                <w:szCs w:val="24"/>
              </w:rPr>
            </w:pPr>
            <w:r w:rsidRPr="00B46409">
              <w:rPr>
                <w:rFonts w:eastAsiaTheme="majorEastAsia" w:cs="Times New Roman"/>
                <w:bCs/>
                <w:szCs w:val="24"/>
              </w:rPr>
              <w:t>Эноксапарин натрия</w:t>
            </w:r>
          </w:p>
        </w:tc>
        <w:tc>
          <w:tcPr>
            <w:tcW w:w="4678" w:type="dxa"/>
            <w:shd w:val="clear" w:color="auto" w:fill="auto"/>
          </w:tcPr>
          <w:p w14:paraId="017B193C" w14:textId="77777777" w:rsidR="00D71DD0" w:rsidRPr="00B46409" w:rsidRDefault="00D71DD0" w:rsidP="00EC1C67">
            <w:pPr>
              <w:ind w:firstLine="0"/>
              <w:rPr>
                <w:rFonts w:cs="Times New Roman"/>
                <w:bCs/>
                <w:szCs w:val="24"/>
              </w:rPr>
            </w:pPr>
            <w:r w:rsidRPr="00B46409">
              <w:rPr>
                <w:rFonts w:eastAsiaTheme="majorEastAsia" w:cs="Times New Roman"/>
                <w:bCs/>
                <w:szCs w:val="24"/>
              </w:rPr>
              <w:t>0,4 мл 1 раз в день, п/к</w:t>
            </w:r>
          </w:p>
        </w:tc>
      </w:tr>
      <w:tr w:rsidR="00D71DD0" w:rsidRPr="00B46409" w14:paraId="336B814D" w14:textId="77777777" w:rsidTr="00EC1C67">
        <w:trPr>
          <w:trHeight w:val="452"/>
        </w:trPr>
        <w:tc>
          <w:tcPr>
            <w:tcW w:w="3998" w:type="dxa"/>
            <w:shd w:val="clear" w:color="auto" w:fill="auto"/>
          </w:tcPr>
          <w:p w14:paraId="5C06E0DA" w14:textId="77777777" w:rsidR="00D71DD0" w:rsidRPr="00B46409" w:rsidRDefault="00D71DD0" w:rsidP="00EC1C67">
            <w:pPr>
              <w:ind w:firstLine="0"/>
              <w:rPr>
                <w:rFonts w:cs="Times New Roman"/>
                <w:bCs/>
                <w:szCs w:val="24"/>
              </w:rPr>
            </w:pPr>
            <w:r w:rsidRPr="00B46409">
              <w:rPr>
                <w:rFonts w:eastAsiaTheme="majorEastAsia" w:cs="Times New Roman"/>
                <w:bCs/>
                <w:szCs w:val="24"/>
              </w:rPr>
              <w:t>Надропарин кальция</w:t>
            </w:r>
          </w:p>
        </w:tc>
        <w:tc>
          <w:tcPr>
            <w:tcW w:w="4678" w:type="dxa"/>
            <w:shd w:val="clear" w:color="auto" w:fill="auto"/>
          </w:tcPr>
          <w:p w14:paraId="0EECF479" w14:textId="77777777" w:rsidR="00D71DD0" w:rsidRPr="00B46409" w:rsidRDefault="00D71DD0" w:rsidP="00EC1C67">
            <w:pPr>
              <w:ind w:firstLine="0"/>
              <w:rPr>
                <w:rFonts w:cs="Times New Roman"/>
                <w:bCs/>
                <w:szCs w:val="24"/>
              </w:rPr>
            </w:pPr>
            <w:r w:rsidRPr="00B46409">
              <w:rPr>
                <w:rFonts w:eastAsiaTheme="majorEastAsia" w:cs="Times New Roman"/>
                <w:bCs/>
                <w:szCs w:val="24"/>
              </w:rPr>
              <w:t>0,3 мл 1 раз в день, п/к</w:t>
            </w:r>
          </w:p>
        </w:tc>
      </w:tr>
      <w:tr w:rsidR="00D71DD0" w:rsidRPr="00B46409" w14:paraId="72EF380E" w14:textId="77777777" w:rsidTr="00EC1C67">
        <w:trPr>
          <w:trHeight w:val="452"/>
        </w:trPr>
        <w:tc>
          <w:tcPr>
            <w:tcW w:w="3998" w:type="dxa"/>
            <w:shd w:val="clear" w:color="auto" w:fill="auto"/>
          </w:tcPr>
          <w:p w14:paraId="3E4C3B6B" w14:textId="77777777" w:rsidR="00D71DD0" w:rsidRPr="00B46409" w:rsidRDefault="00D71DD0" w:rsidP="00EC1C67">
            <w:pPr>
              <w:ind w:firstLine="0"/>
              <w:rPr>
                <w:rFonts w:cs="Times New Roman"/>
                <w:bCs/>
                <w:szCs w:val="24"/>
              </w:rPr>
            </w:pPr>
            <w:r w:rsidRPr="00B46409">
              <w:rPr>
                <w:rFonts w:eastAsiaTheme="majorEastAsia" w:cs="Times New Roman"/>
                <w:bCs/>
                <w:szCs w:val="24"/>
              </w:rPr>
              <w:t>Фондапаринукс натрия</w:t>
            </w:r>
          </w:p>
        </w:tc>
        <w:tc>
          <w:tcPr>
            <w:tcW w:w="4678" w:type="dxa"/>
            <w:shd w:val="clear" w:color="auto" w:fill="auto"/>
          </w:tcPr>
          <w:p w14:paraId="0D90468D" w14:textId="77777777" w:rsidR="00D71DD0" w:rsidRPr="00B46409" w:rsidRDefault="00D71DD0" w:rsidP="00EC1C67">
            <w:pPr>
              <w:ind w:firstLine="0"/>
              <w:rPr>
                <w:rFonts w:cs="Times New Roman"/>
                <w:bCs/>
                <w:szCs w:val="24"/>
              </w:rPr>
            </w:pPr>
            <w:r w:rsidRPr="00B46409">
              <w:rPr>
                <w:rFonts w:eastAsiaTheme="majorEastAsia" w:cs="Times New Roman"/>
                <w:bCs/>
                <w:szCs w:val="24"/>
              </w:rPr>
              <w:t>2,5 мг 1 раз в день, п/к</w:t>
            </w:r>
          </w:p>
        </w:tc>
      </w:tr>
      <w:tr w:rsidR="00D71DD0" w:rsidRPr="00B46409" w14:paraId="04285171" w14:textId="77777777" w:rsidTr="00EC1C67">
        <w:trPr>
          <w:trHeight w:val="452"/>
        </w:trPr>
        <w:tc>
          <w:tcPr>
            <w:tcW w:w="3998" w:type="dxa"/>
            <w:shd w:val="clear" w:color="auto" w:fill="auto"/>
          </w:tcPr>
          <w:p w14:paraId="5E467110" w14:textId="77777777" w:rsidR="00D71DD0" w:rsidRPr="00A4634E" w:rsidRDefault="00D71DD0" w:rsidP="00EC1C67">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4678" w:type="dxa"/>
            <w:shd w:val="clear" w:color="auto" w:fill="auto"/>
          </w:tcPr>
          <w:p w14:paraId="4F6C55F1" w14:textId="77777777" w:rsidR="00D71DD0" w:rsidRPr="00A4634E" w:rsidRDefault="00D71DD0" w:rsidP="00EC1C67">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w:t>
            </w:r>
            <w:r>
              <w:rPr>
                <w:rFonts w:eastAsia="Times New Roman" w:cs="Times New Roman"/>
                <w:bCs/>
                <w:color w:val="000000" w:themeColor="dark1" w:themeShade="BF"/>
                <w:kern w:val="2"/>
                <w:szCs w:val="24"/>
                <w:lang w:eastAsia="ru-RU"/>
              </w:rPr>
              <w:t>под контролем МНО (ц</w:t>
            </w:r>
            <w:r w:rsidRPr="00A4634E">
              <w:rPr>
                <w:rFonts w:eastAsia="Times New Roman" w:cs="Times New Roman"/>
                <w:bCs/>
                <w:color w:val="000000" w:themeColor="dark1" w:themeShade="BF"/>
                <w:kern w:val="2"/>
                <w:szCs w:val="24"/>
                <w:lang w:eastAsia="ru-RU"/>
              </w:rPr>
              <w:t>елевые значе</w:t>
            </w:r>
            <w:r>
              <w:rPr>
                <w:rFonts w:eastAsia="Times New Roman" w:cs="Times New Roman"/>
                <w:bCs/>
                <w:color w:val="000000" w:themeColor="dark1" w:themeShade="BF"/>
                <w:kern w:val="2"/>
                <w:szCs w:val="24"/>
                <w:lang w:eastAsia="ru-RU"/>
              </w:rPr>
              <w:t>ния МНО: 2.0-2.5)</w:t>
            </w:r>
            <w:r w:rsidRPr="00A4634E">
              <w:rPr>
                <w:rFonts w:eastAsia="Times New Roman" w:cs="Times New Roman"/>
                <w:bCs/>
                <w:color w:val="000000" w:themeColor="dark1" w:themeShade="BF"/>
                <w:kern w:val="2"/>
                <w:szCs w:val="24"/>
                <w:lang w:eastAsia="ru-RU"/>
              </w:rPr>
              <w:t xml:space="preserve">, </w:t>
            </w:r>
          </w:p>
          <w:p w14:paraId="0A29E44F" w14:textId="77777777" w:rsidR="00D71DD0" w:rsidRPr="00A4634E" w:rsidRDefault="00D71DD0" w:rsidP="00EC1C67">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D71DD0" w:rsidRPr="00B46409" w14:paraId="7EF3F801" w14:textId="77777777" w:rsidTr="00EC1C67">
        <w:trPr>
          <w:trHeight w:val="452"/>
        </w:trPr>
        <w:tc>
          <w:tcPr>
            <w:tcW w:w="3998" w:type="dxa"/>
            <w:shd w:val="clear" w:color="auto" w:fill="auto"/>
          </w:tcPr>
          <w:p w14:paraId="19C90C02" w14:textId="77777777" w:rsidR="00D71DD0" w:rsidRPr="00A4634E" w:rsidRDefault="00D71DD0" w:rsidP="00EC1C67">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Ривароксабан</w:t>
            </w:r>
          </w:p>
        </w:tc>
        <w:tc>
          <w:tcPr>
            <w:tcW w:w="4678" w:type="dxa"/>
            <w:shd w:val="clear" w:color="auto" w:fill="auto"/>
          </w:tcPr>
          <w:p w14:paraId="50DE65CB" w14:textId="77777777" w:rsidR="00D71DD0" w:rsidRPr="00A4634E" w:rsidRDefault="00D71DD0" w:rsidP="00EC1C67">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10-</w:t>
            </w:r>
            <w:r w:rsidRPr="00A4634E">
              <w:rPr>
                <w:rFonts w:eastAsia="Times New Roman" w:cs="Times New Roman"/>
                <w:bCs/>
                <w:color w:val="000000" w:themeColor="dark1" w:themeShade="BF"/>
                <w:kern w:val="2"/>
                <w:szCs w:val="24"/>
                <w:lang w:eastAsia="ru-RU"/>
              </w:rPr>
              <w:t>20 мг утром, перорально</w:t>
            </w:r>
          </w:p>
        </w:tc>
      </w:tr>
      <w:tr w:rsidR="00D71DD0" w:rsidRPr="00B46409" w14:paraId="6DE51053" w14:textId="77777777" w:rsidTr="00EC1C67">
        <w:trPr>
          <w:trHeight w:val="452"/>
        </w:trPr>
        <w:tc>
          <w:tcPr>
            <w:tcW w:w="3998" w:type="dxa"/>
            <w:shd w:val="clear" w:color="auto" w:fill="auto"/>
          </w:tcPr>
          <w:p w14:paraId="707E47B4" w14:textId="77777777" w:rsidR="00D71DD0" w:rsidRPr="00A4634E" w:rsidRDefault="00D71DD0" w:rsidP="00EC1C67">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4678" w:type="dxa"/>
            <w:shd w:val="clear" w:color="auto" w:fill="auto"/>
          </w:tcPr>
          <w:p w14:paraId="3791C2A5" w14:textId="77777777" w:rsidR="00D71DD0" w:rsidRPr="00A4634E" w:rsidRDefault="00D71DD0" w:rsidP="00EC1C67">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2,5</w:t>
            </w:r>
            <w:r w:rsidRPr="00A4634E">
              <w:rPr>
                <w:rFonts w:eastAsia="Times New Roman" w:cs="Times New Roman"/>
                <w:bCs/>
                <w:color w:val="000000" w:themeColor="dark1" w:themeShade="BF"/>
                <w:kern w:val="2"/>
                <w:szCs w:val="24"/>
                <w:lang w:eastAsia="ru-RU"/>
              </w:rPr>
              <w:t xml:space="preserve"> мг х 2 р/сутки, перорально</w:t>
            </w:r>
          </w:p>
        </w:tc>
      </w:tr>
      <w:tr w:rsidR="00D71DD0" w:rsidRPr="00B46409" w14:paraId="1A656767" w14:textId="77777777" w:rsidTr="00EC1C67">
        <w:trPr>
          <w:trHeight w:val="452"/>
        </w:trPr>
        <w:tc>
          <w:tcPr>
            <w:tcW w:w="3998" w:type="dxa"/>
            <w:shd w:val="clear" w:color="auto" w:fill="auto"/>
          </w:tcPr>
          <w:p w14:paraId="07B03EEF" w14:textId="77777777" w:rsidR="00D71DD0" w:rsidRPr="00A4634E" w:rsidRDefault="00D71DD0" w:rsidP="00EC1C67">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4678" w:type="dxa"/>
            <w:shd w:val="clear" w:color="auto" w:fill="auto"/>
          </w:tcPr>
          <w:p w14:paraId="0F6B1731" w14:textId="77777777" w:rsidR="00D71DD0" w:rsidRPr="00A4634E" w:rsidRDefault="00D71DD0" w:rsidP="00EC1C67">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110-</w:t>
            </w:r>
            <w:r w:rsidRPr="00A4634E">
              <w:rPr>
                <w:rFonts w:eastAsia="Times New Roman" w:cs="Times New Roman"/>
                <w:bCs/>
                <w:color w:val="000000" w:themeColor="dark1" w:themeShade="BF"/>
                <w:kern w:val="2"/>
                <w:szCs w:val="24"/>
                <w:lang w:eastAsia="ru-RU"/>
              </w:rPr>
              <w:t>150 мг х 2р/сутки, перорально</w:t>
            </w:r>
          </w:p>
        </w:tc>
      </w:tr>
    </w:tbl>
    <w:p w14:paraId="3F3CA186" w14:textId="77777777" w:rsidR="00D71DD0" w:rsidRDefault="00D71DD0" w:rsidP="00D71DD0">
      <w:pPr>
        <w:rPr>
          <w:b/>
          <w:bCs/>
          <w:szCs w:val="24"/>
        </w:rPr>
      </w:pPr>
    </w:p>
    <w:p w14:paraId="140D79FC" w14:textId="2356EF80" w:rsidR="00D71DD0" w:rsidRDefault="00D71DD0" w:rsidP="00D71DD0">
      <w:pPr>
        <w:rPr>
          <w:rFonts w:eastAsia="Times New Roman"/>
          <w:szCs w:val="24"/>
          <w:lang w:eastAsia="ru-RU"/>
        </w:rPr>
      </w:pPr>
      <w:r>
        <w:rPr>
          <w:rFonts w:eastAsia="Times New Roman"/>
          <w:szCs w:val="24"/>
          <w:lang w:eastAsia="ru-RU"/>
        </w:rPr>
        <w:t>Прямые оральные антикоагулянты (ПОАК)</w:t>
      </w:r>
      <w:r>
        <w:rPr>
          <w:rFonts w:eastAsia="Times New Roman"/>
          <w:szCs w:val="24"/>
          <w:lang w:val="en-US" w:eastAsia="ru-RU"/>
        </w:rPr>
        <w:t xml:space="preserve"> </w:t>
      </w:r>
      <w:r>
        <w:rPr>
          <w:szCs w:val="24"/>
        </w:rPr>
        <w:fldChar w:fldCharType="begin" w:fldLock="1"/>
      </w:r>
      <w:r w:rsidR="004D13EB">
        <w:rPr>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[62]","plainTextFormattedCitation":"[62]","previouslyFormattedCitation":"[62]"},"properties":{"noteIndex":0},"schema":"https://github.com/citation-style-language/schema/raw/master/csl-citation.json"}</w:instrText>
      </w:r>
      <w:r>
        <w:rPr>
          <w:szCs w:val="24"/>
        </w:rPr>
        <w:fldChar w:fldCharType="separate"/>
      </w:r>
      <w:r w:rsidR="00EF3174" w:rsidRPr="00EF3174">
        <w:rPr>
          <w:noProof/>
          <w:szCs w:val="24"/>
        </w:rPr>
        <w:t>[62]</w:t>
      </w:r>
      <w:r>
        <w:rPr>
          <w:szCs w:val="24"/>
        </w:rPr>
        <w:fldChar w:fldCharType="end"/>
      </w:r>
      <w:r>
        <w:rPr>
          <w:rFonts w:eastAsia="Times New Roman"/>
          <w:szCs w:val="24"/>
          <w:lang w:eastAsia="ru-RU"/>
        </w:rPr>
        <w:t xml:space="preserve">: </w:t>
      </w:r>
    </w:p>
    <w:p w14:paraId="640D6607" w14:textId="77777777" w:rsidR="00D71DD0" w:rsidRPr="00C83EC0" w:rsidRDefault="00D71DD0" w:rsidP="00A72B1B">
      <w:pPr>
        <w:pStyle w:val="afd"/>
        <w:numPr>
          <w:ilvl w:val="0"/>
          <w:numId w:val="29"/>
        </w:numPr>
        <w:ind w:left="1134"/>
        <w:contextualSpacing w:val="0"/>
        <w:rPr>
          <w:szCs w:val="24"/>
        </w:rPr>
      </w:pPr>
      <w:r w:rsidRPr="00C83EC0">
        <w:rPr>
          <w:szCs w:val="24"/>
        </w:rPr>
        <w:t>ривароксабан в дозе 15 мг 2 раза в сутки во время еды в первые 3 недели, затем в дозе 20 мг 1 раз в сутки во время еды. Доза ривароксабана должна быть скорректирована у пациентов с нарушенной выделительной функцией почек. Следует помнить, что протромбиновое время и АЧТВ не отражают истинной концентрации и эффект ПОАК;</w:t>
      </w:r>
    </w:p>
    <w:p w14:paraId="710FFE32" w14:textId="77777777" w:rsidR="00D71DD0" w:rsidRPr="00C83EC0" w:rsidRDefault="00D71DD0" w:rsidP="00A72B1B">
      <w:pPr>
        <w:pStyle w:val="afd"/>
        <w:numPr>
          <w:ilvl w:val="0"/>
          <w:numId w:val="29"/>
        </w:numPr>
        <w:ind w:left="1134"/>
        <w:contextualSpacing w:val="0"/>
        <w:rPr>
          <w:rFonts w:eastAsia="Times New Roman"/>
          <w:szCs w:val="24"/>
          <w:lang w:eastAsia="ru-RU"/>
        </w:rPr>
      </w:pPr>
      <w:r w:rsidRPr="00C83EC0">
        <w:rPr>
          <w:rFonts w:eastAsia="Times New Roman"/>
          <w:szCs w:val="24"/>
          <w:lang w:eastAsia="ru-RU"/>
        </w:rPr>
        <w:t>дабигатрана этексилат назначают в дозе 150 г 2 раза в сутки; исследование тромбинового времени помогает подбирать необходимую дозу дабигатрана этексилата. При его удлинении более 120</w:t>
      </w:r>
      <w:r w:rsidRPr="00C83EC0">
        <w:rPr>
          <w:i/>
          <w:szCs w:val="24"/>
        </w:rPr>
        <w:t>—</w:t>
      </w:r>
      <w:r w:rsidRPr="00C83EC0">
        <w:rPr>
          <w:rFonts w:eastAsia="Times New Roman"/>
          <w:szCs w:val="24"/>
          <w:lang w:eastAsia="ru-RU"/>
        </w:rPr>
        <w:t xml:space="preserve">150 сек дозу препарата уменьшают до 110 мг 2 раза в сутки. Больным старше 75 лет дабигатрана этексилата назначают в дозе 75 мг 2 раза в сутки; </w:t>
      </w:r>
    </w:p>
    <w:p w14:paraId="0D97B456" w14:textId="77777777" w:rsidR="00D71DD0" w:rsidRPr="00C83EC0" w:rsidRDefault="00D71DD0" w:rsidP="00A72B1B">
      <w:pPr>
        <w:pStyle w:val="afd"/>
        <w:numPr>
          <w:ilvl w:val="0"/>
          <w:numId w:val="29"/>
        </w:numPr>
        <w:ind w:left="1134"/>
        <w:contextualSpacing w:val="0"/>
        <w:rPr>
          <w:rFonts w:eastAsia="Times New Roman"/>
          <w:szCs w:val="24"/>
          <w:lang w:eastAsia="ru-RU"/>
        </w:rPr>
      </w:pPr>
      <w:r w:rsidRPr="00C83EC0">
        <w:rPr>
          <w:rFonts w:eastAsia="Times New Roman"/>
          <w:szCs w:val="24"/>
          <w:lang w:eastAsia="ru-RU"/>
        </w:rPr>
        <w:t>апиксабан применяют в дозе 5 мг 2 раза в сутки. Больным старше 75 лет апиксабан назначают в дозе 2,5 мг 2 раза в сутки. Лабораторный контроль не проводится;</w:t>
      </w:r>
    </w:p>
    <w:p w14:paraId="0FEDF793" w14:textId="77777777" w:rsidR="00D71DD0" w:rsidRPr="00C83EC0" w:rsidRDefault="00D71DD0" w:rsidP="00A72B1B">
      <w:pPr>
        <w:pStyle w:val="afd"/>
        <w:numPr>
          <w:ilvl w:val="0"/>
          <w:numId w:val="29"/>
        </w:numPr>
        <w:ind w:left="1134"/>
        <w:contextualSpacing w:val="0"/>
        <w:rPr>
          <w:rFonts w:eastAsia="Times New Roman"/>
          <w:szCs w:val="24"/>
          <w:lang w:eastAsia="ru-RU"/>
        </w:rPr>
      </w:pPr>
      <w:r w:rsidRPr="00C83EC0">
        <w:rPr>
          <w:rFonts w:eastAsia="Times New Roman"/>
          <w:szCs w:val="24"/>
          <w:lang w:eastAsia="ru-RU"/>
        </w:rPr>
        <w:t>сулодексид 250 ЛЕ х 2 раза в день.</w:t>
      </w:r>
    </w:p>
    <w:p w14:paraId="373F7BF3" w14:textId="1AD9A218" w:rsidR="00D71DD0" w:rsidRDefault="00D71DD0" w:rsidP="00D71DD0">
      <w:pPr>
        <w:rPr>
          <w:szCs w:val="24"/>
        </w:rPr>
      </w:pPr>
      <w:r>
        <w:rPr>
          <w:rFonts w:eastAsia="Times New Roman"/>
          <w:szCs w:val="24"/>
          <w:lang w:eastAsia="ru-RU"/>
        </w:rPr>
        <w:lastRenderedPageBreak/>
        <w:t xml:space="preserve">АВК – варфарин. </w:t>
      </w:r>
      <w:r>
        <w:rPr>
          <w:szCs w:val="24"/>
        </w:rPr>
        <w:t>Препарат следует принимать один раз в день в фиксированное время (предпочтительнее вечером) после еды. Доза варфарина корригируется по показателю МНО</w:t>
      </w:r>
      <w:r>
        <w:rPr>
          <w:rFonts w:eastAsia="Times New Roman"/>
          <w:szCs w:val="24"/>
          <w:lang w:eastAsia="ru-RU"/>
        </w:rPr>
        <w:t>. Целевые значения МНО при лечении варфарином составляют 2-2,5. У пациентов с искусственными клапанами сердца МНО на терапии варфарином должно составлять 3.0-4.0.</w:t>
      </w:r>
      <w:r>
        <w:rPr>
          <w:rFonts w:ascii="Arial" w:eastAsia="Times New Roman" w:hAnsi="Arial" w:cs="Arial"/>
          <w:color w:val="FF0000"/>
          <w:szCs w:val="24"/>
          <w:lang w:eastAsia="ru-RU"/>
        </w:rPr>
        <w:t xml:space="preserve"> </w:t>
      </w:r>
      <w:r>
        <w:rPr>
          <w:szCs w:val="24"/>
        </w:rPr>
        <w:t xml:space="preserve">Начальная доза препарата для пациентов, которые ранее не применяли варфарин, составляет 2,5-5,0 мг/сут. Для пациентов, которые ранее применяли варфарин, рекомендуемая стартовая доза составляет двойную дозу известной поддерживающей дозы препарата и назначается в течение первых 2-х дней. В случае необходимости перевода пациента с инъекций НМГ на длительный прием АВК, рекомендуется в течение первых 4-5 дней приема варфарина продолжать инъекции НМГ в профилактической дозе во избежание тромботических осложнений вследствие угнетения активности протеина С АВК. Первый контроль MHO следует проводить через 24-48 часов после начала приема варфарина. На протяжении первой недели определение MHO рекомендуется проводить ежедневно. </w:t>
      </w:r>
      <w:r>
        <w:rPr>
          <w:rFonts w:eastAsia="Times New Roman"/>
          <w:szCs w:val="24"/>
          <w:lang w:eastAsia="ru-RU"/>
        </w:rPr>
        <w:t xml:space="preserve">Через 3-4 дня одновременного применения варфарина и гепарина проводят исследование МНО. При достижении МНО 2,0 и более - гепарин отменяется. Если МНО меньше 2,0, то дозу варфарина увеличивают на 0,5 таблетки и продолжают одновременные применение варфарина и гепарина в течение 3 дней. Вновь проводят исследование МНО. Если МНО 2,0 и более, то гепарин отменяется. </w:t>
      </w:r>
      <w:r>
        <w:rPr>
          <w:szCs w:val="24"/>
        </w:rPr>
        <w:t>Схема подбора дозы варфарина представлена в таблице 7.</w:t>
      </w:r>
      <w:r w:rsidR="00EF3174">
        <w:rPr>
          <w:szCs w:val="24"/>
        </w:rPr>
        <w:t>5</w:t>
      </w:r>
      <w:r>
        <w:rPr>
          <w:szCs w:val="24"/>
        </w:rPr>
        <w:t>.3. В дальнейшем лабораторный контроль проводят регулярно каждые 4-8 недель.</w:t>
      </w:r>
    </w:p>
    <w:p w14:paraId="1982DFF0" w14:textId="77777777" w:rsidR="00D71DD0" w:rsidRDefault="00D71DD0" w:rsidP="00D71DD0">
      <w:pPr>
        <w:ind w:firstLine="708"/>
        <w:rPr>
          <w:szCs w:val="24"/>
        </w:rPr>
      </w:pPr>
    </w:p>
    <w:p w14:paraId="4CD5B8AD" w14:textId="7A38240A" w:rsidR="00D71DD0" w:rsidRPr="00B46409" w:rsidRDefault="00D71DD0" w:rsidP="00D71DD0">
      <w:pPr>
        <w:ind w:firstLine="0"/>
        <w:rPr>
          <w:szCs w:val="24"/>
        </w:rPr>
      </w:pPr>
      <w:r w:rsidRPr="00B46409">
        <w:rPr>
          <w:szCs w:val="24"/>
        </w:rPr>
        <w:t xml:space="preserve">Таблица </w:t>
      </w:r>
      <w:r>
        <w:rPr>
          <w:szCs w:val="24"/>
        </w:rPr>
        <w:t>7.</w:t>
      </w:r>
      <w:r w:rsidR="00EF3174">
        <w:rPr>
          <w:szCs w:val="24"/>
        </w:rPr>
        <w:t>5</w:t>
      </w:r>
      <w:r>
        <w:rPr>
          <w:szCs w:val="24"/>
        </w:rPr>
        <w:t>.3</w:t>
      </w:r>
      <w:r w:rsidRPr="00B46409">
        <w:rPr>
          <w:szCs w:val="24"/>
        </w:rPr>
        <w:t xml:space="preserve">. </w:t>
      </w:r>
      <w:r w:rsidRPr="00B46409">
        <w:rPr>
          <w:bCs/>
          <w:szCs w:val="24"/>
        </w:rPr>
        <w:t>Коррекция дозы варфарина в зависимости от МНО</w:t>
      </w:r>
    </w:p>
    <w:tbl>
      <w:tblPr>
        <w:tblStyle w:val="1f4"/>
        <w:tblW w:w="89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394"/>
        <w:gridCol w:w="4570"/>
      </w:tblGrid>
      <w:tr w:rsidR="00D71DD0" w14:paraId="45F67DBA" w14:textId="77777777" w:rsidTr="00EC1C67">
        <w:trPr>
          <w:trHeight w:val="374"/>
        </w:trPr>
        <w:tc>
          <w:tcPr>
            <w:tcW w:w="4394" w:type="dxa"/>
            <w:shd w:val="clear" w:color="auto" w:fill="auto"/>
          </w:tcPr>
          <w:p w14:paraId="3E1AB16B" w14:textId="77777777" w:rsidR="00D71DD0" w:rsidRPr="007C4816" w:rsidRDefault="00D71DD0" w:rsidP="00EC1C67">
            <w:pPr>
              <w:ind w:firstLine="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2-5</w:t>
            </w:r>
          </w:p>
        </w:tc>
        <w:tc>
          <w:tcPr>
            <w:tcW w:w="4570" w:type="dxa"/>
            <w:shd w:val="clear" w:color="auto" w:fill="auto"/>
          </w:tcPr>
          <w:p w14:paraId="21153748" w14:textId="77777777" w:rsidR="00D71DD0" w:rsidRPr="007C4816" w:rsidRDefault="00D71DD0" w:rsidP="00EC1C67">
            <w:pPr>
              <w:ind w:firstLine="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6 и далее</w:t>
            </w:r>
          </w:p>
        </w:tc>
      </w:tr>
      <w:tr w:rsidR="00D71DD0" w14:paraId="2807748E" w14:textId="77777777" w:rsidTr="00EC1C67">
        <w:trPr>
          <w:trHeight w:val="714"/>
        </w:trPr>
        <w:tc>
          <w:tcPr>
            <w:tcW w:w="4394" w:type="dxa"/>
            <w:shd w:val="clear" w:color="auto" w:fill="auto"/>
          </w:tcPr>
          <w:p w14:paraId="1C4227BB" w14:textId="77777777" w:rsidR="00D71DD0" w:rsidRPr="007C4816" w:rsidRDefault="00D71DD0" w:rsidP="00EC1C67">
            <w:pPr>
              <w:ind w:firstLine="0"/>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1.3 – повторить инициальную дозу</w:t>
            </w:r>
          </w:p>
        </w:tc>
        <w:tc>
          <w:tcPr>
            <w:tcW w:w="4570" w:type="dxa"/>
            <w:shd w:val="clear" w:color="auto" w:fill="auto"/>
          </w:tcPr>
          <w:p w14:paraId="30FAFEA3" w14:textId="77777777" w:rsidR="00D71DD0" w:rsidRPr="007C4816" w:rsidRDefault="00D71DD0" w:rsidP="00EC1C67">
            <w:pPr>
              <w:ind w:firstLine="0"/>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1.4 – увеличить дозу на 20%</w:t>
            </w:r>
          </w:p>
        </w:tc>
      </w:tr>
      <w:tr w:rsidR="00D71DD0" w14:paraId="38957A92" w14:textId="77777777" w:rsidTr="00EC1C67">
        <w:trPr>
          <w:trHeight w:val="515"/>
        </w:trPr>
        <w:tc>
          <w:tcPr>
            <w:tcW w:w="4394" w:type="dxa"/>
            <w:shd w:val="clear" w:color="auto" w:fill="auto"/>
          </w:tcPr>
          <w:p w14:paraId="410F2E0C" w14:textId="77777777" w:rsidR="00D71DD0" w:rsidRPr="007C4816" w:rsidRDefault="00D71DD0" w:rsidP="00EC1C67">
            <w:pPr>
              <w:ind w:firstLine="0"/>
              <w:rPr>
                <w:rFonts w:cs="Times New Roman"/>
                <w:szCs w:val="24"/>
              </w:rPr>
            </w:pPr>
            <w:r w:rsidRPr="007C4816">
              <w:rPr>
                <w:rFonts w:eastAsiaTheme="majorEastAsia" w:cs="Times New Roman"/>
                <w:bCs/>
                <w:szCs w:val="24"/>
              </w:rPr>
              <w:t>МНО 1.4–1.9 – 50% инициальной дозы</w:t>
            </w:r>
          </w:p>
        </w:tc>
        <w:tc>
          <w:tcPr>
            <w:tcW w:w="4570" w:type="dxa"/>
            <w:shd w:val="clear" w:color="auto" w:fill="auto"/>
          </w:tcPr>
          <w:p w14:paraId="7E66609E" w14:textId="77777777" w:rsidR="00D71DD0" w:rsidRPr="007C4816" w:rsidRDefault="00D71DD0" w:rsidP="00EC1C67">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1.5–</w:t>
            </w:r>
            <w:r w:rsidRPr="007C4816">
              <w:rPr>
                <w:rFonts w:eastAsiaTheme="majorEastAsia" w:cs="Times New Roman"/>
                <w:bCs/>
                <w:szCs w:val="24"/>
              </w:rPr>
              <w:t>1.9 – увеличить дозу на 10%</w:t>
            </w:r>
          </w:p>
        </w:tc>
      </w:tr>
      <w:tr w:rsidR="00D71DD0" w14:paraId="5E3625FF" w14:textId="77777777" w:rsidTr="00EC1C67">
        <w:trPr>
          <w:trHeight w:val="539"/>
        </w:trPr>
        <w:tc>
          <w:tcPr>
            <w:tcW w:w="4394" w:type="dxa"/>
            <w:shd w:val="clear" w:color="auto" w:fill="auto"/>
          </w:tcPr>
          <w:p w14:paraId="598BFF8A" w14:textId="77777777" w:rsidR="00D71DD0" w:rsidRPr="007C4816" w:rsidRDefault="00D71DD0" w:rsidP="00EC1C67">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50% инициальной дозы</w:t>
            </w:r>
          </w:p>
        </w:tc>
        <w:tc>
          <w:tcPr>
            <w:tcW w:w="4570" w:type="dxa"/>
            <w:shd w:val="clear" w:color="auto" w:fill="auto"/>
          </w:tcPr>
          <w:p w14:paraId="6AD73C6E" w14:textId="77777777" w:rsidR="00D71DD0" w:rsidRPr="007C4816" w:rsidRDefault="00D71DD0" w:rsidP="00EC1C67">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продолжать без изменений</w:t>
            </w:r>
          </w:p>
        </w:tc>
      </w:tr>
      <w:tr w:rsidR="00D71DD0" w14:paraId="169301DA" w14:textId="77777777" w:rsidTr="00EC1C67">
        <w:trPr>
          <w:trHeight w:val="437"/>
        </w:trPr>
        <w:tc>
          <w:tcPr>
            <w:tcW w:w="4394" w:type="dxa"/>
            <w:shd w:val="clear" w:color="auto" w:fill="auto"/>
          </w:tcPr>
          <w:p w14:paraId="5E5C7FFA" w14:textId="77777777" w:rsidR="00D71DD0" w:rsidRPr="007C4816" w:rsidRDefault="00D71DD0" w:rsidP="00EC1C67">
            <w:pPr>
              <w:ind w:firstLine="0"/>
              <w:rPr>
                <w:rFonts w:cs="Times New Roman"/>
                <w:szCs w:val="24"/>
              </w:rPr>
            </w:pPr>
            <w:r w:rsidRPr="007C4816">
              <w:rPr>
                <w:rFonts w:eastAsiaTheme="majorEastAsia" w:cs="Times New Roman"/>
                <w:bCs/>
                <w:szCs w:val="24"/>
              </w:rPr>
              <w:t>МНО 3.1–3.5 – 25% инициальной дозы</w:t>
            </w:r>
          </w:p>
        </w:tc>
        <w:tc>
          <w:tcPr>
            <w:tcW w:w="4570" w:type="dxa"/>
            <w:shd w:val="clear" w:color="auto" w:fill="auto"/>
          </w:tcPr>
          <w:p w14:paraId="1DA67995" w14:textId="77777777" w:rsidR="00D71DD0" w:rsidRPr="007C4816" w:rsidRDefault="00D71DD0" w:rsidP="00EC1C67">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3.1–</w:t>
            </w:r>
            <w:r w:rsidRPr="007C4816">
              <w:rPr>
                <w:rFonts w:eastAsiaTheme="majorEastAsia" w:cs="Times New Roman"/>
                <w:bCs/>
                <w:szCs w:val="24"/>
              </w:rPr>
              <w:t>3.5 – уменьшить дозу на 10%</w:t>
            </w:r>
          </w:p>
        </w:tc>
      </w:tr>
      <w:tr w:rsidR="00D71DD0" w14:paraId="6AD1CA11" w14:textId="77777777" w:rsidTr="00EC1C67">
        <w:trPr>
          <w:trHeight w:val="565"/>
        </w:trPr>
        <w:tc>
          <w:tcPr>
            <w:tcW w:w="4394" w:type="dxa"/>
            <w:vMerge w:val="restart"/>
            <w:shd w:val="clear" w:color="auto" w:fill="auto"/>
          </w:tcPr>
          <w:p w14:paraId="20BACEEE" w14:textId="77777777" w:rsidR="00D71DD0" w:rsidRPr="007C4816" w:rsidRDefault="00D71DD0" w:rsidP="00EC1C67">
            <w:pPr>
              <w:ind w:firstLine="0"/>
              <w:rPr>
                <w:rFonts w:cs="Times New Roman"/>
                <w:szCs w:val="24"/>
              </w:rPr>
            </w:pPr>
            <w:r w:rsidRPr="007C4816">
              <w:rPr>
                <w:rFonts w:eastAsiaTheme="majorEastAsia" w:cs="Times New Roman"/>
                <w:bCs/>
                <w:szCs w:val="24"/>
              </w:rPr>
              <w:t>МНО &gt;</w:t>
            </w:r>
            <w:r w:rsidRPr="007C4816">
              <w:rPr>
                <w:rFonts w:eastAsiaTheme="majorEastAsia" w:cs="Times New Roman"/>
                <w:bCs/>
                <w:szCs w:val="24"/>
                <w:lang w:val="pl-PL"/>
              </w:rPr>
              <w:t xml:space="preserve"> 3</w:t>
            </w:r>
            <w:r w:rsidRPr="007C4816">
              <w:rPr>
                <w:rFonts w:eastAsiaTheme="majorEastAsia" w:cs="Times New Roman"/>
                <w:bCs/>
                <w:szCs w:val="24"/>
              </w:rPr>
              <w:t xml:space="preserve">.5 – пауза до тех пор, пока МНО не станет &lt; 3.5, затем начать повторный прием </w:t>
            </w:r>
            <w:r>
              <w:rPr>
                <w:rFonts w:eastAsiaTheme="majorEastAsia" w:cs="Times New Roman"/>
                <w:bCs/>
                <w:szCs w:val="24"/>
              </w:rPr>
              <w:t>50% предшествующей дозы</w:t>
            </w:r>
          </w:p>
          <w:p w14:paraId="39A145EC" w14:textId="77777777" w:rsidR="00D71DD0" w:rsidRPr="007C4816" w:rsidRDefault="00D71DD0" w:rsidP="00EC1C67">
            <w:pPr>
              <w:ind w:firstLine="0"/>
              <w:jc w:val="center"/>
              <w:rPr>
                <w:rFonts w:cs="Times New Roman"/>
                <w:szCs w:val="24"/>
              </w:rPr>
            </w:pPr>
          </w:p>
        </w:tc>
        <w:tc>
          <w:tcPr>
            <w:tcW w:w="4570" w:type="dxa"/>
            <w:shd w:val="clear" w:color="auto" w:fill="auto"/>
          </w:tcPr>
          <w:p w14:paraId="7B0430D1" w14:textId="77777777" w:rsidR="00D71DD0" w:rsidRPr="007C4816" w:rsidRDefault="00D71DD0" w:rsidP="00EC1C67">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3.6</w:t>
            </w:r>
            <w:r w:rsidRPr="007C4816">
              <w:rPr>
                <w:rFonts w:eastAsiaTheme="majorEastAsia" w:cs="Times New Roman"/>
                <w:bCs/>
                <w:szCs w:val="24"/>
              </w:rPr>
              <w:t>–4.0 – однократно 50% дозы, затем в уменьшенной на 20%</w:t>
            </w:r>
            <w:r>
              <w:rPr>
                <w:rFonts w:eastAsiaTheme="majorEastAsia" w:cs="Times New Roman"/>
                <w:bCs/>
                <w:szCs w:val="24"/>
              </w:rPr>
              <w:t xml:space="preserve"> дозе</w:t>
            </w:r>
          </w:p>
        </w:tc>
      </w:tr>
      <w:tr w:rsidR="00D71DD0" w14:paraId="25054D80" w14:textId="77777777" w:rsidTr="00EC1C67">
        <w:trPr>
          <w:trHeight w:val="755"/>
        </w:trPr>
        <w:tc>
          <w:tcPr>
            <w:tcW w:w="4394" w:type="dxa"/>
            <w:vMerge/>
            <w:shd w:val="clear" w:color="auto" w:fill="auto"/>
          </w:tcPr>
          <w:p w14:paraId="0D41F008" w14:textId="77777777" w:rsidR="00D71DD0" w:rsidRPr="007C4816" w:rsidRDefault="00D71DD0" w:rsidP="00EC1C67">
            <w:pPr>
              <w:ind w:firstLine="0"/>
              <w:jc w:val="center"/>
              <w:rPr>
                <w:rFonts w:eastAsiaTheme="majorEastAsia" w:cs="Times New Roman"/>
                <w:bCs/>
                <w:szCs w:val="24"/>
              </w:rPr>
            </w:pPr>
          </w:p>
        </w:tc>
        <w:tc>
          <w:tcPr>
            <w:tcW w:w="4570" w:type="dxa"/>
            <w:shd w:val="clear" w:color="auto" w:fill="auto"/>
          </w:tcPr>
          <w:p w14:paraId="35A20E24" w14:textId="77777777" w:rsidR="00D71DD0" w:rsidRPr="007C4816" w:rsidRDefault="00D71DD0" w:rsidP="00EC1C67">
            <w:pPr>
              <w:ind w:firstLine="0"/>
              <w:rPr>
                <w:rFonts w:cs="Times New Roman"/>
                <w:szCs w:val="24"/>
              </w:rPr>
            </w:pPr>
            <w:r w:rsidRPr="007C4816">
              <w:rPr>
                <w:rFonts w:eastAsiaTheme="majorEastAsia" w:cs="Times New Roman"/>
                <w:bCs/>
                <w:szCs w:val="24"/>
              </w:rPr>
              <w:t>МНО &gt; 4.0 пауза до тех пор, пока МНО не станет &lt; 3.5, затем начать повторный прием (25% предшествующей дозы)</w:t>
            </w:r>
          </w:p>
        </w:tc>
      </w:tr>
    </w:tbl>
    <w:p w14:paraId="577AF9D8" w14:textId="77777777" w:rsidR="00D71DD0" w:rsidRDefault="00D71DD0" w:rsidP="00D71DD0">
      <w:pPr>
        <w:rPr>
          <w:strike/>
          <w:szCs w:val="24"/>
        </w:rPr>
      </w:pPr>
    </w:p>
    <w:p w14:paraId="23CFC536" w14:textId="77777777" w:rsidR="00D71DD0" w:rsidRDefault="00D71DD0" w:rsidP="00D71DD0">
      <w:pPr>
        <w:rPr>
          <w:rFonts w:eastAsia="Times New Roman"/>
          <w:szCs w:val="24"/>
          <w:lang w:eastAsia="ru-RU"/>
        </w:rPr>
      </w:pPr>
      <w:r>
        <w:rPr>
          <w:rFonts w:eastAsia="Times New Roman"/>
          <w:szCs w:val="24"/>
          <w:lang w:eastAsia="ru-RU"/>
        </w:rPr>
        <w:lastRenderedPageBreak/>
        <w:t xml:space="preserve">В случае если при лечении варфарином появляется патологическая кровоточивость, необходимо определить протромбин по Квику (МНО), отменить варфарин. В лечении тяжелых варфариновых кровотечений используются: концентраты протромбинового комплекса или свежезамороженная плазма (СЗП). </w:t>
      </w:r>
    </w:p>
    <w:p w14:paraId="74CD781D" w14:textId="77777777" w:rsidR="00D71DD0" w:rsidRDefault="00D71DD0" w:rsidP="00D71DD0">
      <w:pPr>
        <w:rPr>
          <w:rFonts w:eastAsia="Times New Roman"/>
          <w:szCs w:val="24"/>
          <w:lang w:eastAsia="ru-RU"/>
        </w:rPr>
      </w:pPr>
    </w:p>
    <w:p w14:paraId="0985E607" w14:textId="77777777" w:rsidR="00D71DD0" w:rsidRDefault="00D71DD0" w:rsidP="00D71DD0">
      <w:pPr>
        <w:rPr>
          <w:szCs w:val="24"/>
        </w:rPr>
      </w:pPr>
      <w:r>
        <w:rPr>
          <w:szCs w:val="24"/>
        </w:rPr>
        <w:t>Перевод пациентов с парентеральных препаратов на прямые пероральные антитромботические средства может производиться по следующему алгоритму:</w:t>
      </w:r>
    </w:p>
    <w:p w14:paraId="70D646D3" w14:textId="77777777" w:rsidR="00D71DD0" w:rsidRDefault="00D71DD0" w:rsidP="00A72B1B">
      <w:pPr>
        <w:pStyle w:val="afd"/>
        <w:numPr>
          <w:ilvl w:val="0"/>
          <w:numId w:val="25"/>
        </w:numPr>
        <w:ind w:left="1134"/>
        <w:rPr>
          <w:szCs w:val="24"/>
        </w:rPr>
      </w:pPr>
      <w:r>
        <w:rPr>
          <w:szCs w:val="24"/>
        </w:rPr>
        <w:t>лечение прямыми пероральными антикоагулянтами должно быть начато за 0-2 часа до следующего планового введения парентерального антикоагулянта;</w:t>
      </w:r>
    </w:p>
    <w:p w14:paraId="6767F3E7" w14:textId="77777777" w:rsidR="00D71DD0" w:rsidRDefault="00D71DD0" w:rsidP="00A72B1B">
      <w:pPr>
        <w:pStyle w:val="afd"/>
        <w:numPr>
          <w:ilvl w:val="0"/>
          <w:numId w:val="25"/>
        </w:numPr>
        <w:ind w:left="1134"/>
        <w:rPr>
          <w:szCs w:val="24"/>
        </w:rPr>
      </w:pPr>
      <w:r>
        <w:rPr>
          <w:szCs w:val="24"/>
        </w:rPr>
        <w:t>замена введения очередной дозы парентерального препарата приемом дозы перорального антикоагулянта для НМГ и фондапаринукса – через 24 часа, для НФГ – через 8 часов (для ривароксабана – прием пероральной формы сразу после отмены НФГ).</w:t>
      </w:r>
    </w:p>
    <w:p w14:paraId="1A04CA73" w14:textId="77777777" w:rsidR="00D71DD0" w:rsidRDefault="00D71DD0" w:rsidP="00D71DD0">
      <w:pPr>
        <w:rPr>
          <w:rFonts w:eastAsia="Times New Roman"/>
          <w:szCs w:val="24"/>
          <w:lang w:eastAsia="ru-RU"/>
        </w:rPr>
      </w:pPr>
      <w:r>
        <w:rPr>
          <w:rFonts w:eastAsia="Times New Roman"/>
          <w:szCs w:val="24"/>
          <w:lang w:eastAsia="ru-RU"/>
        </w:rPr>
        <w:t>Препараты АВК и ПОАК можно использовать в виде монотерапии для профилактики тромботических нарушений во время ХТ и других видов специфического лечения.</w:t>
      </w:r>
    </w:p>
    <w:p w14:paraId="44D755F9" w14:textId="77777777" w:rsidR="00D71DD0" w:rsidRDefault="00D71DD0" w:rsidP="00D71DD0">
      <w:pPr>
        <w:rPr>
          <w:szCs w:val="24"/>
        </w:rPr>
      </w:pPr>
      <w:r>
        <w:rPr>
          <w:szCs w:val="24"/>
        </w:rPr>
        <w:t>В настоящее время перевод пациентов с приема пероральных антикоагулянтов к парентеральному введению антикоагулянтов осуществляется по следующему алгоритму:</w:t>
      </w:r>
    </w:p>
    <w:p w14:paraId="140A1424" w14:textId="77777777" w:rsidR="00D71DD0" w:rsidRDefault="00D71DD0" w:rsidP="00A72B1B">
      <w:pPr>
        <w:pStyle w:val="afd"/>
        <w:numPr>
          <w:ilvl w:val="0"/>
          <w:numId w:val="26"/>
        </w:numPr>
        <w:ind w:left="1134"/>
        <w:rPr>
          <w:szCs w:val="24"/>
        </w:rPr>
      </w:pPr>
      <w:r>
        <w:rPr>
          <w:szCs w:val="24"/>
        </w:rPr>
        <w:t>для дабигатрана этексилата или ривароксабана необходим перерыв 24 часа с приема последней дозы, после чего нужно ввести парентеральный антикоагулянт;</w:t>
      </w:r>
    </w:p>
    <w:p w14:paraId="61B36505" w14:textId="77777777" w:rsidR="00D71DD0" w:rsidRDefault="00D71DD0" w:rsidP="00A72B1B">
      <w:pPr>
        <w:pStyle w:val="afd"/>
        <w:numPr>
          <w:ilvl w:val="0"/>
          <w:numId w:val="26"/>
        </w:numPr>
        <w:ind w:left="1134"/>
        <w:rPr>
          <w:szCs w:val="24"/>
        </w:rPr>
      </w:pPr>
      <w:r>
        <w:rPr>
          <w:szCs w:val="24"/>
        </w:rPr>
        <w:t>для апиксабана – выждать 12 часов с приема последней дозы и ввести парентеральный антикоагулянт.</w:t>
      </w:r>
    </w:p>
    <w:p w14:paraId="5BC800EB" w14:textId="77777777" w:rsidR="00EF3174" w:rsidRDefault="00EF3174" w:rsidP="00D71DD0">
      <w:pPr>
        <w:pStyle w:val="2"/>
        <w:spacing w:before="0"/>
      </w:pPr>
      <w:bookmarkStart w:id="91" w:name="_Toc101882883"/>
    </w:p>
    <w:p w14:paraId="3A3756A5" w14:textId="575DE7AD" w:rsidR="00D71DD0" w:rsidRDefault="00D71DD0" w:rsidP="00D71DD0">
      <w:pPr>
        <w:pStyle w:val="2"/>
        <w:spacing w:before="0"/>
      </w:pPr>
      <w:bookmarkStart w:id="92" w:name="_Toc103332112"/>
      <w:r>
        <w:t>7.</w:t>
      </w:r>
      <w:r w:rsidR="00EF3174">
        <w:t>6</w:t>
      </w:r>
      <w:r>
        <w:t xml:space="preserve">. </w:t>
      </w:r>
      <w:r w:rsidRPr="005E31D3">
        <w:rPr>
          <w:lang w:eastAsia="ru-RU"/>
        </w:rPr>
        <w:t>Профилактика и лечение тошноты и рвоты</w:t>
      </w:r>
      <w:bookmarkEnd w:id="91"/>
      <w:bookmarkEnd w:id="92"/>
      <w:r w:rsidRPr="009600FA">
        <w:rPr>
          <w:lang w:eastAsia="ru-RU"/>
        </w:rPr>
        <w:t xml:space="preserve"> </w:t>
      </w:r>
    </w:p>
    <w:p w14:paraId="7803CC02" w14:textId="795290D4" w:rsidR="00D71DD0" w:rsidRPr="001957E3" w:rsidRDefault="00D71DD0" w:rsidP="00D71DD0">
      <w:r w:rsidRPr="001957E3">
        <w:t xml:space="preserve">Одним из частых клинически значимых побочных эффектов </w:t>
      </w:r>
      <w:r>
        <w:t>П</w:t>
      </w:r>
      <w:r w:rsidRPr="001957E3">
        <w:t>ХТ является тошнота и рвота. Эти побочные явления приводят не только к ухудшению самочувствия пациента, снижению качества жизни, но и препятствуют применению лекарственных препаратов в пероральной форме, а также приему пищи. Появление новых комбинаций противоопухолевых средств приводит к улучшению результатов терапии онкогематологических больных, однако выраженная тошнота и рвота могут ограничивать применение химиопрепаратов в полных дозах, отрицательно влиять на приверженность больных лечению. В связи с этим контроль тошноты и рвоты играет жизненно важную роль в сопроводительной терапии больных гемобластозами</w:t>
      </w:r>
      <w:r>
        <w:t xml:space="preserve"> </w:t>
      </w:r>
      <w:r>
        <w:fldChar w:fldCharType="begin" w:fldLock="1"/>
      </w:r>
      <w:r w:rsidR="004D13EB">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[44,46,63–67]","plainTextFormattedCitation":"[44,46,63–67]","previouslyFormattedCitation":"[44,46,63–67]"},"properties":{"noteIndex":0},"schema":"https://github.com/citation-style-language/schema/raw/master/csl-citation.json"}</w:instrText>
      </w:r>
      <w:r>
        <w:fldChar w:fldCharType="separate"/>
      </w:r>
      <w:r w:rsidR="00EF3174" w:rsidRPr="00EF3174">
        <w:rPr>
          <w:noProof/>
        </w:rPr>
        <w:t>[44,46,63–67]</w:t>
      </w:r>
      <w:r>
        <w:fldChar w:fldCharType="end"/>
      </w:r>
      <w:r w:rsidRPr="001957E3">
        <w:t xml:space="preserve">. </w:t>
      </w:r>
    </w:p>
    <w:p w14:paraId="44B66149" w14:textId="77777777" w:rsidR="00D71DD0" w:rsidRPr="001957E3" w:rsidRDefault="00D71DD0" w:rsidP="00D71DD0">
      <w:r w:rsidRPr="001957E3">
        <w:lastRenderedPageBreak/>
        <w:t>Тошнота и рвота развиваются при возбуждении рвотного центра несколькими путями - при воздействии нейротрансмиттеров на его рецепторы, или при поступлении в него импульсов от хеморецепторов триггерной зоны. Химическими веществами, вызывающими активацию рвотного центра, являются дофамин, серотонин, гистамин, ацетилхолин и субстанция Р (нейрокинин-1 - NK-1). Противорвотные препараты избирательно блокируют какой-либо из перечисленных нейротрансмиттеров.</w:t>
      </w:r>
    </w:p>
    <w:p w14:paraId="23BF1167" w14:textId="77777777" w:rsidR="00D71DD0" w:rsidRDefault="00D71DD0" w:rsidP="00D71DD0">
      <w:pPr>
        <w:pStyle w:val="Normal11"/>
        <w:tabs>
          <w:tab w:val="left" w:pos="0"/>
        </w:tabs>
        <w:spacing w:before="0" w:line="360" w:lineRule="auto"/>
        <w:ind w:firstLine="699"/>
        <w:jc w:val="both"/>
        <w:rPr>
          <w:rFonts w:cs="Times New Roman"/>
          <w:bCs/>
          <w:i/>
          <w:iCs/>
          <w:u w:val="single"/>
          <w:shd w:val="clear" w:color="auto" w:fill="FFFFFF"/>
        </w:rPr>
      </w:pPr>
    </w:p>
    <w:p w14:paraId="740B54C3" w14:textId="77777777" w:rsidR="00D71DD0" w:rsidRPr="00733870"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733870">
        <w:rPr>
          <w:rFonts w:cs="Times New Roman"/>
          <w:bCs/>
          <w:i/>
          <w:iCs/>
          <w:u w:val="single"/>
          <w:shd w:val="clear" w:color="auto" w:fill="FFFFFF"/>
        </w:rPr>
        <w:t>Типы тошноты и рвоты</w:t>
      </w:r>
    </w:p>
    <w:p w14:paraId="71BFAD74" w14:textId="77777777" w:rsidR="00D71DD0" w:rsidRPr="001957E3" w:rsidRDefault="00D71DD0" w:rsidP="00A72B1B">
      <w:pPr>
        <w:pStyle w:val="afd"/>
        <w:numPr>
          <w:ilvl w:val="0"/>
          <w:numId w:val="34"/>
        </w:numPr>
        <w:contextualSpacing w:val="0"/>
      </w:pPr>
      <w:r w:rsidRPr="001957E3">
        <w:t xml:space="preserve">Острая рвота – развивается в первые 24 ч после </w:t>
      </w:r>
      <w:r>
        <w:t>П</w:t>
      </w:r>
      <w:r w:rsidRPr="001957E3">
        <w:t>ХТ; отличается высокой интенсивностью; редко сопровождается тошнотой.</w:t>
      </w:r>
    </w:p>
    <w:p w14:paraId="616E3BA4" w14:textId="77777777" w:rsidR="00D71DD0" w:rsidRPr="001957E3" w:rsidRDefault="00D71DD0" w:rsidP="00A72B1B">
      <w:pPr>
        <w:pStyle w:val="afd"/>
        <w:numPr>
          <w:ilvl w:val="0"/>
          <w:numId w:val="34"/>
        </w:numPr>
        <w:contextualSpacing w:val="0"/>
      </w:pPr>
      <w:r w:rsidRPr="001957E3">
        <w:t xml:space="preserve">Отсроченная рвота – развивается на 2-5 сутки после начала </w:t>
      </w:r>
      <w:r>
        <w:t>П</w:t>
      </w:r>
      <w:r w:rsidRPr="001957E3">
        <w:t>ХТ; менее интенсивна, чем острая; часто сопровождается постоянной тошнотой.</w:t>
      </w:r>
    </w:p>
    <w:p w14:paraId="5CF2F032" w14:textId="77777777" w:rsidR="00D71DD0" w:rsidRPr="001957E3" w:rsidRDefault="00D71DD0" w:rsidP="00A72B1B">
      <w:pPr>
        <w:pStyle w:val="afd"/>
        <w:numPr>
          <w:ilvl w:val="0"/>
          <w:numId w:val="34"/>
        </w:numPr>
        <w:contextualSpacing w:val="0"/>
      </w:pPr>
      <w:r w:rsidRPr="001957E3">
        <w:t xml:space="preserve">Условно-рефлекторная рвота – развивается как условный рефлекс на </w:t>
      </w:r>
      <w:r>
        <w:t>П</w:t>
      </w:r>
      <w:r w:rsidRPr="001957E3">
        <w:t xml:space="preserve">ХТ и/или сопутствующие ей манипуляции и окружающую обстановку; риск ее развития увеличивается с количеством курсов </w:t>
      </w:r>
      <w:r>
        <w:t>П</w:t>
      </w:r>
      <w:r w:rsidRPr="001957E3">
        <w:t xml:space="preserve">ХТ; может сохраняться в течение длительного времени после окончания </w:t>
      </w:r>
      <w:r>
        <w:t>П</w:t>
      </w:r>
      <w:r w:rsidRPr="001957E3">
        <w:t>ХТ.</w:t>
      </w:r>
    </w:p>
    <w:p w14:paraId="6EF5A466" w14:textId="77777777" w:rsidR="00D71DD0" w:rsidRPr="001957E3" w:rsidRDefault="00D71DD0" w:rsidP="00A72B1B">
      <w:pPr>
        <w:pStyle w:val="afd"/>
        <w:numPr>
          <w:ilvl w:val="0"/>
          <w:numId w:val="34"/>
        </w:numPr>
        <w:contextualSpacing w:val="0"/>
      </w:pPr>
      <w:r w:rsidRPr="001957E3">
        <w:t>Неконтролируемая тошнота и рвота – развивается на фоне адекватной антиэметической профилактики и требует дополнительной коррекции.</w:t>
      </w:r>
    </w:p>
    <w:p w14:paraId="60B0CF05" w14:textId="77777777" w:rsidR="00D71DD0" w:rsidRPr="001957E3" w:rsidRDefault="00D71DD0" w:rsidP="00A72B1B">
      <w:pPr>
        <w:pStyle w:val="afd"/>
        <w:numPr>
          <w:ilvl w:val="0"/>
          <w:numId w:val="34"/>
        </w:numPr>
        <w:contextualSpacing w:val="0"/>
      </w:pPr>
      <w:r w:rsidRPr="001957E3">
        <w:t xml:space="preserve">Рефрактерная рвота – возникает на последующих курсах </w:t>
      </w:r>
      <w:r>
        <w:t>П</w:t>
      </w:r>
      <w:r w:rsidRPr="001957E3">
        <w:t>ХТ при неэффективности противорвотной профилактики и / или препаратов резерва на предыдущих курсах лечения.</w:t>
      </w:r>
    </w:p>
    <w:p w14:paraId="7A02D74B" w14:textId="77777777" w:rsidR="00D71DD0" w:rsidRDefault="00D71DD0" w:rsidP="00D71DD0">
      <w:pPr>
        <w:pStyle w:val="Normal11"/>
        <w:tabs>
          <w:tab w:val="left" w:pos="0"/>
        </w:tabs>
        <w:spacing w:before="0" w:line="360" w:lineRule="auto"/>
        <w:ind w:left="0" w:firstLine="0"/>
        <w:jc w:val="both"/>
        <w:rPr>
          <w:rFonts w:cs="Times New Roman"/>
          <w:b/>
          <w:shd w:val="clear" w:color="auto" w:fill="FFFFFF"/>
        </w:rPr>
      </w:pPr>
    </w:p>
    <w:p w14:paraId="5A0A4856" w14:textId="77777777" w:rsidR="00D71DD0" w:rsidRPr="00733870" w:rsidRDefault="00D71DD0" w:rsidP="00D71DD0">
      <w:pPr>
        <w:pStyle w:val="Normal11"/>
        <w:tabs>
          <w:tab w:val="left" w:pos="426"/>
        </w:tabs>
        <w:spacing w:before="0" w:line="360" w:lineRule="auto"/>
        <w:ind w:left="0" w:firstLine="426"/>
        <w:jc w:val="both"/>
        <w:rPr>
          <w:rFonts w:cs="Times New Roman"/>
          <w:bCs/>
          <w:i/>
          <w:iCs/>
          <w:u w:val="single"/>
          <w:shd w:val="clear" w:color="auto" w:fill="FFFFFF"/>
        </w:rPr>
      </w:pPr>
      <w:r w:rsidRPr="00733870">
        <w:rPr>
          <w:rFonts w:cs="Times New Roman"/>
          <w:bCs/>
          <w:i/>
          <w:iCs/>
          <w:u w:val="single"/>
          <w:shd w:val="clear" w:color="auto" w:fill="FFFFFF"/>
        </w:rPr>
        <w:t>Эметогенный потенциал противоопухолевых препаратов</w:t>
      </w:r>
    </w:p>
    <w:p w14:paraId="57860141" w14:textId="16980713" w:rsidR="00D71DD0" w:rsidRPr="001957E3" w:rsidRDefault="00D71DD0" w:rsidP="00D71DD0">
      <w:r w:rsidRPr="001957E3">
        <w:t>Эметогенность – это риск развития рвоты у больных, получающих противоопухолевый препарат (в монорежиме, без противорвотной терапии). Выделено 4 градации эметогенного потенциала</w:t>
      </w:r>
      <w:r>
        <w:t xml:space="preserve"> (см. таблицу 7.</w:t>
      </w:r>
      <w:r w:rsidR="00EF3174">
        <w:t>6</w:t>
      </w:r>
      <w:r>
        <w:t xml:space="preserve">.1) </w:t>
      </w:r>
      <w:r>
        <w:fldChar w:fldCharType="begin" w:fldLock="1"/>
      </w:r>
      <w:r w:rsidR="004D13EB">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[44,46,63–67]","plainTextFormattedCitation":"[44,46,63–67]","previouslyFormattedCitation":"[44,46,63–67]"},"properties":{"noteIndex":0},"schema":"https://github.com/citation-style-language/schema/raw/master/csl-citation.json"}</w:instrText>
      </w:r>
      <w:r>
        <w:fldChar w:fldCharType="separate"/>
      </w:r>
      <w:r w:rsidR="00EF3174" w:rsidRPr="00EF3174">
        <w:rPr>
          <w:noProof/>
        </w:rPr>
        <w:t>[44,46,63–67]</w:t>
      </w:r>
      <w:r>
        <w:fldChar w:fldCharType="end"/>
      </w:r>
      <w:r w:rsidRPr="001957E3">
        <w:t>:</w:t>
      </w:r>
    </w:p>
    <w:p w14:paraId="4AEAF7AD" w14:textId="77777777" w:rsidR="00D71DD0" w:rsidRPr="001957E3" w:rsidRDefault="00D71DD0" w:rsidP="00A72B1B">
      <w:pPr>
        <w:pStyle w:val="afd"/>
        <w:numPr>
          <w:ilvl w:val="0"/>
          <w:numId w:val="35"/>
        </w:numPr>
        <w:contextualSpacing w:val="0"/>
      </w:pPr>
      <w:r w:rsidRPr="001957E3">
        <w:t xml:space="preserve">минимальный </w:t>
      </w:r>
      <w:r>
        <w:t>–</w:t>
      </w:r>
      <w:r w:rsidRPr="001957E3">
        <w:t xml:space="preserve"> развитие рвоты менее чем у 10% </w:t>
      </w:r>
      <w:r>
        <w:t>пациентов</w:t>
      </w:r>
      <w:r w:rsidRPr="001957E3">
        <w:t>;</w:t>
      </w:r>
    </w:p>
    <w:p w14:paraId="332C7241" w14:textId="77777777" w:rsidR="00D71DD0" w:rsidRPr="001957E3" w:rsidRDefault="00D71DD0" w:rsidP="00A72B1B">
      <w:pPr>
        <w:pStyle w:val="afd"/>
        <w:numPr>
          <w:ilvl w:val="0"/>
          <w:numId w:val="35"/>
        </w:numPr>
        <w:contextualSpacing w:val="0"/>
      </w:pPr>
      <w:r w:rsidRPr="001957E3">
        <w:t xml:space="preserve">низкий </w:t>
      </w:r>
      <w:r>
        <w:t>–</w:t>
      </w:r>
      <w:r w:rsidRPr="001957E3">
        <w:t xml:space="preserve"> развитие рвоты у 10 - 30% </w:t>
      </w:r>
      <w:r>
        <w:t>пациентов</w:t>
      </w:r>
      <w:r w:rsidRPr="001957E3">
        <w:t>;</w:t>
      </w:r>
    </w:p>
    <w:p w14:paraId="4B27E940" w14:textId="77777777" w:rsidR="00D71DD0" w:rsidRPr="001957E3" w:rsidRDefault="00D71DD0" w:rsidP="00A72B1B">
      <w:pPr>
        <w:pStyle w:val="afd"/>
        <w:numPr>
          <w:ilvl w:val="0"/>
          <w:numId w:val="35"/>
        </w:numPr>
        <w:contextualSpacing w:val="0"/>
      </w:pPr>
      <w:r w:rsidRPr="001957E3">
        <w:t xml:space="preserve">средний </w:t>
      </w:r>
      <w:r>
        <w:t>–</w:t>
      </w:r>
      <w:r w:rsidRPr="001957E3">
        <w:t xml:space="preserve"> развитие рвоты у 30 - 90% </w:t>
      </w:r>
      <w:r>
        <w:t>пациентов</w:t>
      </w:r>
      <w:r w:rsidRPr="001957E3">
        <w:t>;</w:t>
      </w:r>
    </w:p>
    <w:p w14:paraId="552C1A95" w14:textId="77777777" w:rsidR="00D71DD0" w:rsidRDefault="00D71DD0" w:rsidP="00A72B1B">
      <w:pPr>
        <w:pStyle w:val="afd"/>
        <w:numPr>
          <w:ilvl w:val="0"/>
          <w:numId w:val="35"/>
        </w:numPr>
        <w:contextualSpacing w:val="0"/>
      </w:pPr>
      <w:r w:rsidRPr="001957E3">
        <w:t xml:space="preserve">высокий </w:t>
      </w:r>
      <w:r>
        <w:t>–</w:t>
      </w:r>
      <w:r w:rsidRPr="001957E3">
        <w:t xml:space="preserve"> развитие рвоты более чем у 90% </w:t>
      </w:r>
      <w:r>
        <w:t>пациентов</w:t>
      </w:r>
      <w:r w:rsidRPr="001957E3">
        <w:t>.</w:t>
      </w:r>
    </w:p>
    <w:p w14:paraId="1804BA45" w14:textId="77777777" w:rsidR="00D71DD0" w:rsidRDefault="00D71DD0" w:rsidP="00D71DD0">
      <w:pPr>
        <w:ind w:firstLine="0"/>
      </w:pPr>
    </w:p>
    <w:p w14:paraId="086AB160" w14:textId="29DF146D" w:rsidR="00D71DD0" w:rsidRPr="001957E3" w:rsidRDefault="00D71DD0" w:rsidP="00D71DD0">
      <w:pPr>
        <w:ind w:firstLine="0"/>
      </w:pPr>
      <w:r>
        <w:t>Таблица 7.</w:t>
      </w:r>
      <w:r w:rsidR="00EF3174">
        <w:t>6</w:t>
      </w:r>
      <w:r>
        <w:t>.1. Уровень эметогенности основных противоопухолевых препаратов</w:t>
      </w:r>
    </w:p>
    <w:tbl>
      <w:tblPr>
        <w:tblStyle w:val="aff8"/>
        <w:tblW w:w="0" w:type="auto"/>
        <w:tblInd w:w="10" w:type="dxa"/>
        <w:tblLook w:val="04A0" w:firstRow="1" w:lastRow="0" w:firstColumn="1" w:lastColumn="0" w:noHBand="0" w:noVBand="1"/>
      </w:tblPr>
      <w:tblGrid>
        <w:gridCol w:w="1837"/>
        <w:gridCol w:w="3746"/>
        <w:gridCol w:w="3746"/>
      </w:tblGrid>
      <w:tr w:rsidR="00D71DD0" w14:paraId="75E3F824" w14:textId="77777777" w:rsidTr="00EC1C67">
        <w:trPr>
          <w:trHeight w:val="692"/>
        </w:trPr>
        <w:tc>
          <w:tcPr>
            <w:tcW w:w="1837" w:type="dxa"/>
          </w:tcPr>
          <w:p w14:paraId="00236E38" w14:textId="77777777" w:rsidR="00D71DD0" w:rsidRPr="00DE20E4" w:rsidRDefault="00D71DD0" w:rsidP="00EC1C67">
            <w:pPr>
              <w:pStyle w:val="Normal11"/>
              <w:shd w:val="clear" w:color="auto" w:fill="auto"/>
              <w:tabs>
                <w:tab w:val="left" w:pos="0"/>
              </w:tabs>
              <w:spacing w:before="0" w:line="360" w:lineRule="auto"/>
              <w:ind w:left="57" w:right="57" w:firstLine="0"/>
              <w:jc w:val="both"/>
              <w:rPr>
                <w:rFonts w:cs="Times New Roman"/>
                <w:b/>
                <w:sz w:val="22"/>
                <w:szCs w:val="22"/>
                <w:shd w:val="clear" w:color="auto" w:fill="FFFFFF"/>
              </w:rPr>
            </w:pPr>
            <w:r w:rsidRPr="00DE20E4">
              <w:rPr>
                <w:rFonts w:cs="Times New Roman"/>
                <w:b/>
                <w:sz w:val="22"/>
                <w:szCs w:val="22"/>
                <w:shd w:val="clear" w:color="auto" w:fill="FFFFFF"/>
              </w:rPr>
              <w:t>Уровень эметогенности</w:t>
            </w:r>
          </w:p>
        </w:tc>
        <w:tc>
          <w:tcPr>
            <w:tcW w:w="3746" w:type="dxa"/>
          </w:tcPr>
          <w:p w14:paraId="6A48129D" w14:textId="77777777" w:rsidR="00D71DD0" w:rsidRPr="00DE20E4" w:rsidRDefault="00D71DD0" w:rsidP="00EC1C67">
            <w:pPr>
              <w:pStyle w:val="Normal11"/>
              <w:shd w:val="clear" w:color="auto" w:fill="auto"/>
              <w:tabs>
                <w:tab w:val="left" w:pos="0"/>
              </w:tabs>
              <w:spacing w:before="0" w:line="360" w:lineRule="auto"/>
              <w:ind w:left="57" w:right="57" w:firstLine="0"/>
              <w:rPr>
                <w:rFonts w:cs="Times New Roman"/>
                <w:b/>
                <w:sz w:val="22"/>
                <w:szCs w:val="22"/>
                <w:shd w:val="clear" w:color="auto" w:fill="FFFFFF"/>
              </w:rPr>
            </w:pPr>
            <w:r w:rsidRPr="00DE20E4">
              <w:rPr>
                <w:rFonts w:cs="Times New Roman"/>
                <w:b/>
                <w:sz w:val="22"/>
                <w:szCs w:val="22"/>
                <w:shd w:val="clear" w:color="auto" w:fill="FFFFFF"/>
              </w:rPr>
              <w:t>Противоопухолевые препараты для внутривенного введения</w:t>
            </w:r>
          </w:p>
        </w:tc>
        <w:tc>
          <w:tcPr>
            <w:tcW w:w="3746" w:type="dxa"/>
          </w:tcPr>
          <w:p w14:paraId="69FEFAAF" w14:textId="77777777" w:rsidR="00D71DD0" w:rsidRPr="00DE20E4" w:rsidRDefault="00D71DD0" w:rsidP="00EC1C67">
            <w:pPr>
              <w:pStyle w:val="Normal11"/>
              <w:shd w:val="clear" w:color="auto" w:fill="auto"/>
              <w:tabs>
                <w:tab w:val="left" w:pos="0"/>
              </w:tabs>
              <w:spacing w:before="0" w:line="360" w:lineRule="auto"/>
              <w:ind w:left="57" w:right="57" w:firstLine="0"/>
              <w:rPr>
                <w:rFonts w:cs="Times New Roman"/>
                <w:b/>
                <w:sz w:val="22"/>
                <w:szCs w:val="22"/>
                <w:shd w:val="clear" w:color="auto" w:fill="FFFFFF"/>
              </w:rPr>
            </w:pPr>
            <w:r w:rsidRPr="00DE20E4">
              <w:rPr>
                <w:rFonts w:cs="Times New Roman"/>
                <w:b/>
                <w:sz w:val="22"/>
                <w:szCs w:val="22"/>
                <w:shd w:val="clear" w:color="auto" w:fill="FFFFFF"/>
              </w:rPr>
              <w:t xml:space="preserve">Противоопухолевые препараты для перорального приема </w:t>
            </w:r>
          </w:p>
        </w:tc>
      </w:tr>
      <w:tr w:rsidR="00D71DD0" w14:paraId="676DC8B9" w14:textId="77777777" w:rsidTr="00EC1C67">
        <w:trPr>
          <w:trHeight w:val="692"/>
        </w:trPr>
        <w:tc>
          <w:tcPr>
            <w:tcW w:w="1837" w:type="dxa"/>
          </w:tcPr>
          <w:p w14:paraId="45B384D9" w14:textId="77777777" w:rsidR="00D71DD0" w:rsidRDefault="00D71DD0" w:rsidP="00EC1C67">
            <w:pPr>
              <w:pStyle w:val="Normal11"/>
              <w:shd w:val="clear" w:color="auto" w:fill="auto"/>
              <w:tabs>
                <w:tab w:val="left" w:pos="0"/>
              </w:tabs>
              <w:spacing w:before="0" w:line="360" w:lineRule="auto"/>
              <w:ind w:left="57" w:right="57" w:firstLine="0"/>
              <w:jc w:val="both"/>
              <w:rPr>
                <w:sz w:val="22"/>
                <w:szCs w:val="22"/>
              </w:rPr>
            </w:pPr>
            <w:r w:rsidRPr="00DE20E4">
              <w:rPr>
                <w:sz w:val="22"/>
                <w:szCs w:val="22"/>
              </w:rPr>
              <w:lastRenderedPageBreak/>
              <w:t xml:space="preserve">Высокий </w:t>
            </w:r>
          </w:p>
          <w:p w14:paraId="12FC57C5" w14:textId="77777777" w:rsidR="00D71DD0" w:rsidRPr="00DE20E4" w:rsidRDefault="00D71DD0" w:rsidP="00EC1C67">
            <w:pPr>
              <w:pStyle w:val="Normal11"/>
              <w:shd w:val="clear" w:color="auto" w:fill="auto"/>
              <w:tabs>
                <w:tab w:val="left" w:pos="0"/>
              </w:tabs>
              <w:spacing w:before="0" w:line="360" w:lineRule="auto"/>
              <w:ind w:left="57" w:right="57" w:firstLine="0"/>
              <w:jc w:val="both"/>
              <w:rPr>
                <w:rFonts w:cs="Times New Roman"/>
                <w:sz w:val="22"/>
                <w:szCs w:val="22"/>
                <w:shd w:val="clear" w:color="auto" w:fill="FFFFFF"/>
              </w:rPr>
            </w:pPr>
            <w:r w:rsidRPr="00DE20E4">
              <w:rPr>
                <w:sz w:val="22"/>
                <w:szCs w:val="22"/>
              </w:rPr>
              <w:t>(</w:t>
            </w:r>
            <w:r w:rsidRPr="00DE20E4">
              <w:rPr>
                <w:rFonts w:cs="Times New Roman"/>
                <w:sz w:val="22"/>
                <w:szCs w:val="22"/>
                <w:shd w:val="clear" w:color="auto" w:fill="FFFFFF"/>
              </w:rPr>
              <w:t>&gt;</w:t>
            </w:r>
            <w:r>
              <w:rPr>
                <w:sz w:val="22"/>
                <w:szCs w:val="22"/>
              </w:rPr>
              <w:t>90 %</w:t>
            </w:r>
            <w:r w:rsidRPr="00DE20E4">
              <w:rPr>
                <w:sz w:val="22"/>
                <w:szCs w:val="22"/>
              </w:rPr>
              <w:t>)</w:t>
            </w:r>
          </w:p>
        </w:tc>
        <w:tc>
          <w:tcPr>
            <w:tcW w:w="3746" w:type="dxa"/>
          </w:tcPr>
          <w:p w14:paraId="75BFD95C" w14:textId="77777777" w:rsidR="00D71DD0" w:rsidRPr="00DE20E4" w:rsidRDefault="00D71DD0" w:rsidP="00A72B1B">
            <w:pPr>
              <w:pStyle w:val="Normal11"/>
              <w:numPr>
                <w:ilvl w:val="0"/>
                <w:numId w:val="30"/>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 xml:space="preserve">комбинация антрациклин / циклофосфамид </w:t>
            </w:r>
          </w:p>
          <w:p w14:paraId="5C02927C" w14:textId="77777777" w:rsidR="00D71DD0" w:rsidRPr="00DE20E4" w:rsidRDefault="00D71DD0" w:rsidP="00A72B1B">
            <w:pPr>
              <w:pStyle w:val="Normal11"/>
              <w:numPr>
                <w:ilvl w:val="0"/>
                <w:numId w:val="30"/>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дакарбазин</w:t>
            </w:r>
          </w:p>
          <w:p w14:paraId="69BA86D2" w14:textId="77777777" w:rsidR="00D71DD0" w:rsidRPr="00DE20E4" w:rsidRDefault="00D71DD0" w:rsidP="00A72B1B">
            <w:pPr>
              <w:pStyle w:val="Normal11"/>
              <w:numPr>
                <w:ilvl w:val="0"/>
                <w:numId w:val="30"/>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кармустин</w:t>
            </w:r>
          </w:p>
          <w:p w14:paraId="33D31615" w14:textId="77777777" w:rsidR="00D71DD0" w:rsidRPr="00DE20E4" w:rsidRDefault="00D71DD0" w:rsidP="00A72B1B">
            <w:pPr>
              <w:pStyle w:val="Normal11"/>
              <w:numPr>
                <w:ilvl w:val="0"/>
                <w:numId w:val="30"/>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мехлорэтамин</w:t>
            </w:r>
          </w:p>
          <w:p w14:paraId="4402FDC5" w14:textId="77777777" w:rsidR="00D71DD0" w:rsidRPr="00DE20E4" w:rsidRDefault="00D71DD0" w:rsidP="00A72B1B">
            <w:pPr>
              <w:pStyle w:val="Normal11"/>
              <w:numPr>
                <w:ilvl w:val="0"/>
                <w:numId w:val="30"/>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стрептозоцин</w:t>
            </w:r>
          </w:p>
          <w:p w14:paraId="41CE35C0" w14:textId="77777777" w:rsidR="00D71DD0" w:rsidRPr="00DE20E4" w:rsidRDefault="00D71DD0" w:rsidP="00A72B1B">
            <w:pPr>
              <w:pStyle w:val="Normal11"/>
              <w:numPr>
                <w:ilvl w:val="0"/>
                <w:numId w:val="30"/>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циклофосфамид ≥ 1500 мг / м</w:t>
            </w:r>
            <w:r w:rsidRPr="00046796">
              <w:rPr>
                <w:rFonts w:cs="Times New Roman"/>
                <w:sz w:val="22"/>
                <w:szCs w:val="22"/>
                <w:shd w:val="clear" w:color="auto" w:fill="FFFFFF"/>
                <w:vertAlign w:val="superscript"/>
              </w:rPr>
              <w:t>2</w:t>
            </w:r>
          </w:p>
          <w:p w14:paraId="1EF0CFA8" w14:textId="77777777" w:rsidR="00D71DD0" w:rsidRPr="00DE20E4" w:rsidRDefault="00D71DD0" w:rsidP="00A72B1B">
            <w:pPr>
              <w:pStyle w:val="Normal11"/>
              <w:numPr>
                <w:ilvl w:val="0"/>
                <w:numId w:val="30"/>
              </w:numPr>
              <w:shd w:val="clear" w:color="auto" w:fill="auto"/>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цисплатин</w:t>
            </w:r>
          </w:p>
        </w:tc>
        <w:tc>
          <w:tcPr>
            <w:tcW w:w="3746" w:type="dxa"/>
          </w:tcPr>
          <w:p w14:paraId="175B2FC2" w14:textId="77777777" w:rsidR="00D71DD0" w:rsidRPr="00DE20E4" w:rsidRDefault="00D71DD0" w:rsidP="00A72B1B">
            <w:pPr>
              <w:pStyle w:val="Normal11"/>
              <w:numPr>
                <w:ilvl w:val="0"/>
                <w:numId w:val="30"/>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гексаметилмеламин</w:t>
            </w:r>
          </w:p>
          <w:p w14:paraId="2043E325" w14:textId="77777777" w:rsidR="00D71DD0" w:rsidRPr="00DE20E4" w:rsidRDefault="00D71DD0" w:rsidP="00A72B1B">
            <w:pPr>
              <w:pStyle w:val="Normal11"/>
              <w:numPr>
                <w:ilvl w:val="0"/>
                <w:numId w:val="30"/>
              </w:numPr>
              <w:shd w:val="clear" w:color="auto" w:fill="auto"/>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прокарбазин</w:t>
            </w:r>
          </w:p>
        </w:tc>
      </w:tr>
      <w:tr w:rsidR="00D71DD0" w14:paraId="111E2514" w14:textId="77777777" w:rsidTr="00EC1C67">
        <w:trPr>
          <w:trHeight w:val="692"/>
        </w:trPr>
        <w:tc>
          <w:tcPr>
            <w:tcW w:w="1837" w:type="dxa"/>
          </w:tcPr>
          <w:p w14:paraId="79BA4994" w14:textId="77777777" w:rsidR="00D71DD0" w:rsidRPr="00DE20E4" w:rsidRDefault="00D71DD0" w:rsidP="00EC1C67">
            <w:pPr>
              <w:pStyle w:val="Normal11"/>
              <w:shd w:val="clear" w:color="auto" w:fill="auto"/>
              <w:tabs>
                <w:tab w:val="left" w:pos="0"/>
              </w:tabs>
              <w:spacing w:before="0" w:line="360" w:lineRule="auto"/>
              <w:ind w:left="57" w:right="57" w:firstLine="0"/>
              <w:jc w:val="both"/>
              <w:rPr>
                <w:rFonts w:cs="Times New Roman"/>
                <w:sz w:val="22"/>
                <w:szCs w:val="22"/>
                <w:shd w:val="clear" w:color="auto" w:fill="FFFFFF"/>
              </w:rPr>
            </w:pPr>
            <w:r w:rsidRPr="00DE20E4">
              <w:rPr>
                <w:sz w:val="22"/>
                <w:szCs w:val="22"/>
              </w:rPr>
              <w:t>Умеренный (30–90 %)</w:t>
            </w:r>
          </w:p>
        </w:tc>
        <w:tc>
          <w:tcPr>
            <w:tcW w:w="3746" w:type="dxa"/>
          </w:tcPr>
          <w:p w14:paraId="7AA5B3F0"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азацитидин</w:t>
            </w:r>
          </w:p>
          <w:p w14:paraId="41F50416"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алемтузумаб</w:t>
            </w:r>
          </w:p>
          <w:p w14:paraId="6FAA8A3E"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бендамустин</w:t>
            </w:r>
          </w:p>
          <w:p w14:paraId="7C866CF2"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бусульфан</w:t>
            </w:r>
          </w:p>
          <w:p w14:paraId="4C0E8D01"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даунорубицин</w:t>
            </w:r>
          </w:p>
          <w:p w14:paraId="65443A66"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доксорубицин</w:t>
            </w:r>
          </w:p>
          <w:p w14:paraId="05814F7F"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идарубицин</w:t>
            </w:r>
          </w:p>
          <w:p w14:paraId="4CD378F4"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иринотекан</w:t>
            </w:r>
          </w:p>
          <w:p w14:paraId="67D3FCDC" w14:textId="77777777" w:rsidR="00D71DD0" w:rsidRPr="002C441B"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 xml:space="preserve">иринотекан </w:t>
            </w:r>
            <w:r w:rsidRPr="002C441B">
              <w:rPr>
                <w:rFonts w:cs="Times New Roman"/>
                <w:sz w:val="22"/>
                <w:szCs w:val="22"/>
                <w:shd w:val="clear" w:color="auto" w:fill="FFFFFF"/>
              </w:rPr>
              <w:t>[</w:t>
            </w:r>
            <w:r w:rsidRPr="00DE20E4">
              <w:rPr>
                <w:rFonts w:cs="Times New Roman"/>
                <w:sz w:val="22"/>
                <w:szCs w:val="22"/>
                <w:shd w:val="clear" w:color="auto" w:fill="FFFFFF"/>
              </w:rPr>
              <w:t>липосомальная форма</w:t>
            </w:r>
            <w:r w:rsidRPr="002C441B">
              <w:rPr>
                <w:rFonts w:cs="Times New Roman"/>
                <w:sz w:val="22"/>
                <w:szCs w:val="22"/>
                <w:shd w:val="clear" w:color="auto" w:fill="FFFFFF"/>
              </w:rPr>
              <w:t>]</w:t>
            </w:r>
          </w:p>
          <w:p w14:paraId="4A98640E"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ифосфамид</w:t>
            </w:r>
          </w:p>
          <w:p w14:paraId="534348A6"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карбоплатин</w:t>
            </w:r>
          </w:p>
          <w:p w14:paraId="5746E0CB"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клофарабин</w:t>
            </w:r>
          </w:p>
          <w:p w14:paraId="552AB971"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оксалиплатин</w:t>
            </w:r>
          </w:p>
          <w:p w14:paraId="6318FAE4"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 xml:space="preserve">ромидепсин </w:t>
            </w:r>
          </w:p>
          <w:p w14:paraId="505DEAAC"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темозоломид</w:t>
            </w:r>
          </w:p>
          <w:p w14:paraId="3E00AD43"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тиотепа</w:t>
            </w:r>
          </w:p>
          <w:p w14:paraId="3B03C8F1"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трабектедин</w:t>
            </w:r>
          </w:p>
          <w:p w14:paraId="1B40AB15"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циклофосфамид &lt;1500 мг / м</w:t>
            </w:r>
            <w:r w:rsidRPr="00046796">
              <w:rPr>
                <w:rFonts w:cs="Times New Roman"/>
                <w:sz w:val="22"/>
                <w:szCs w:val="22"/>
                <w:shd w:val="clear" w:color="auto" w:fill="FFFFFF"/>
                <w:vertAlign w:val="superscript"/>
              </w:rPr>
              <w:t>2</w:t>
            </w:r>
          </w:p>
          <w:p w14:paraId="1AEFFCD4"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цитарабин</w:t>
            </w:r>
            <w:r>
              <w:rPr>
                <w:rFonts w:cs="Times New Roman"/>
                <w:sz w:val="22"/>
                <w:szCs w:val="22"/>
                <w:shd w:val="clear" w:color="auto" w:fill="FFFFFF"/>
              </w:rPr>
              <w:t xml:space="preserve"> </w:t>
            </w:r>
            <w:r w:rsidRPr="00DE20E4">
              <w:rPr>
                <w:rFonts w:cs="Times New Roman"/>
                <w:sz w:val="22"/>
                <w:szCs w:val="22"/>
                <w:shd w:val="clear" w:color="auto" w:fill="FFFFFF"/>
              </w:rPr>
              <w:t>&gt;1000 мг / м</w:t>
            </w:r>
            <w:r w:rsidRPr="00046796">
              <w:rPr>
                <w:rFonts w:cs="Times New Roman"/>
                <w:sz w:val="22"/>
                <w:szCs w:val="22"/>
                <w:shd w:val="clear" w:color="auto" w:fill="FFFFFF"/>
                <w:vertAlign w:val="superscript"/>
              </w:rPr>
              <w:t>2</w:t>
            </w:r>
          </w:p>
          <w:p w14:paraId="03C30D56" w14:textId="77777777" w:rsidR="00D71DD0" w:rsidRPr="00DE20E4" w:rsidRDefault="00D71DD0" w:rsidP="00A72B1B">
            <w:pPr>
              <w:pStyle w:val="Normal11"/>
              <w:numPr>
                <w:ilvl w:val="0"/>
                <w:numId w:val="31"/>
              </w:numPr>
              <w:shd w:val="clear" w:color="auto" w:fill="auto"/>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эпирубицин</w:t>
            </w:r>
          </w:p>
        </w:tc>
        <w:tc>
          <w:tcPr>
            <w:tcW w:w="3746" w:type="dxa"/>
          </w:tcPr>
          <w:p w14:paraId="6CE3582F"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Pr>
                <w:rFonts w:cs="Times New Roman"/>
                <w:sz w:val="22"/>
                <w:szCs w:val="22"/>
                <w:shd w:val="clear" w:color="auto" w:fill="FFFFFF"/>
              </w:rPr>
              <w:t>б</w:t>
            </w:r>
            <w:r w:rsidRPr="00DE20E4">
              <w:rPr>
                <w:rFonts w:cs="Times New Roman"/>
                <w:sz w:val="22"/>
                <w:szCs w:val="22"/>
                <w:shd w:val="clear" w:color="auto" w:fill="FFFFFF"/>
              </w:rPr>
              <w:t>осутиниб</w:t>
            </w:r>
          </w:p>
          <w:p w14:paraId="68BAE8E6"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винорельбин</w:t>
            </w:r>
          </w:p>
          <w:p w14:paraId="6585BA0F" w14:textId="77777777" w:rsidR="00D71DD0" w:rsidRDefault="00D71DD0" w:rsidP="00A72B1B">
            <w:pPr>
              <w:pStyle w:val="Normal11"/>
              <w:numPr>
                <w:ilvl w:val="0"/>
                <w:numId w:val="31"/>
              </w:numPr>
              <w:shd w:val="clear" w:color="auto" w:fill="auto"/>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иматиниб</w:t>
            </w:r>
          </w:p>
          <w:p w14:paraId="563FD0FA" w14:textId="77777777" w:rsidR="00D71DD0" w:rsidRPr="00DE20E4" w:rsidRDefault="00D71DD0" w:rsidP="00A72B1B">
            <w:pPr>
              <w:pStyle w:val="Normal11"/>
              <w:numPr>
                <w:ilvl w:val="0"/>
                <w:numId w:val="31"/>
              </w:numPr>
              <w:shd w:val="clear" w:color="auto" w:fill="auto"/>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кабозантиниб</w:t>
            </w:r>
          </w:p>
          <w:p w14:paraId="6940E680"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кризотиниб</w:t>
            </w:r>
          </w:p>
          <w:p w14:paraId="79D7BAFA"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ленватиниб</w:t>
            </w:r>
          </w:p>
          <w:p w14:paraId="642CFA09" w14:textId="77777777" w:rsidR="00D71DD0"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темозоломид</w:t>
            </w:r>
          </w:p>
          <w:p w14:paraId="2C8116CB"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Pr>
                <w:rFonts w:cs="Times New Roman"/>
                <w:sz w:val="22"/>
                <w:szCs w:val="22"/>
                <w:shd w:val="clear" w:color="auto" w:fill="FFFFFF"/>
              </w:rPr>
              <w:t>трифлуридин-типирацил</w:t>
            </w:r>
          </w:p>
          <w:p w14:paraId="6F543652" w14:textId="77777777" w:rsidR="00D71DD0" w:rsidRPr="00DE20E4" w:rsidRDefault="00D71DD0" w:rsidP="00A72B1B">
            <w:pPr>
              <w:pStyle w:val="Normal11"/>
              <w:numPr>
                <w:ilvl w:val="0"/>
                <w:numId w:val="31"/>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церитиниб</w:t>
            </w:r>
          </w:p>
          <w:p w14:paraId="0CB4DA0F" w14:textId="77777777" w:rsidR="00D71DD0" w:rsidRPr="00DE20E4" w:rsidRDefault="00D71DD0" w:rsidP="00A72B1B">
            <w:pPr>
              <w:pStyle w:val="Normal11"/>
              <w:numPr>
                <w:ilvl w:val="0"/>
                <w:numId w:val="31"/>
              </w:numPr>
              <w:shd w:val="clear" w:color="auto" w:fill="auto"/>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циклофосфамид</w:t>
            </w:r>
          </w:p>
        </w:tc>
      </w:tr>
      <w:tr w:rsidR="00D71DD0" w14:paraId="5A990EA0" w14:textId="77777777" w:rsidTr="00EC1C67">
        <w:trPr>
          <w:trHeight w:val="692"/>
        </w:trPr>
        <w:tc>
          <w:tcPr>
            <w:tcW w:w="1837" w:type="dxa"/>
          </w:tcPr>
          <w:p w14:paraId="4C812983" w14:textId="77777777" w:rsidR="00D71DD0" w:rsidRDefault="00D71DD0" w:rsidP="00EC1C67">
            <w:pPr>
              <w:pStyle w:val="Normal11"/>
              <w:shd w:val="clear" w:color="auto" w:fill="auto"/>
              <w:tabs>
                <w:tab w:val="left" w:pos="0"/>
              </w:tabs>
              <w:spacing w:before="0" w:line="360" w:lineRule="auto"/>
              <w:ind w:left="57" w:right="57" w:firstLine="0"/>
              <w:jc w:val="both"/>
              <w:rPr>
                <w:sz w:val="22"/>
                <w:szCs w:val="22"/>
              </w:rPr>
            </w:pPr>
            <w:r w:rsidRPr="00DE20E4">
              <w:rPr>
                <w:sz w:val="22"/>
                <w:szCs w:val="22"/>
              </w:rPr>
              <w:t xml:space="preserve">Низкий </w:t>
            </w:r>
          </w:p>
          <w:p w14:paraId="122257BE" w14:textId="77777777" w:rsidR="00D71DD0" w:rsidRPr="00DE20E4" w:rsidRDefault="00D71DD0" w:rsidP="00EC1C67">
            <w:pPr>
              <w:pStyle w:val="Normal11"/>
              <w:shd w:val="clear" w:color="auto" w:fill="auto"/>
              <w:tabs>
                <w:tab w:val="left" w:pos="0"/>
              </w:tabs>
              <w:spacing w:before="0" w:line="360" w:lineRule="auto"/>
              <w:ind w:left="57" w:right="57" w:firstLine="0"/>
              <w:jc w:val="both"/>
              <w:rPr>
                <w:rFonts w:cs="Times New Roman"/>
                <w:sz w:val="22"/>
                <w:szCs w:val="22"/>
                <w:shd w:val="clear" w:color="auto" w:fill="FFFFFF"/>
              </w:rPr>
            </w:pPr>
            <w:r w:rsidRPr="00DE20E4">
              <w:rPr>
                <w:sz w:val="22"/>
                <w:szCs w:val="22"/>
              </w:rPr>
              <w:t>(10–30 %)</w:t>
            </w:r>
          </w:p>
        </w:tc>
        <w:tc>
          <w:tcPr>
            <w:tcW w:w="3746" w:type="dxa"/>
          </w:tcPr>
          <w:p w14:paraId="4A8CBCA2"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Pr>
                <w:rFonts w:cs="Times New Roman"/>
                <w:sz w:val="22"/>
                <w:szCs w:val="22"/>
                <w:shd w:val="clear" w:color="auto" w:fill="FFFFFF"/>
              </w:rPr>
              <w:t>а</w:t>
            </w:r>
            <w:r w:rsidRPr="00DE20E4">
              <w:rPr>
                <w:rFonts w:cs="Times New Roman"/>
                <w:sz w:val="22"/>
                <w:szCs w:val="22"/>
                <w:shd w:val="clear" w:color="auto" w:fill="FFFFFF"/>
              </w:rPr>
              <w:t>тезолизумаб</w:t>
            </w:r>
          </w:p>
          <w:p w14:paraId="142D7DED"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Pr>
                <w:rFonts w:cs="Times New Roman"/>
                <w:sz w:val="22"/>
                <w:szCs w:val="22"/>
                <w:shd w:val="clear" w:color="auto" w:fill="FFFFFF"/>
              </w:rPr>
              <w:t>а</w:t>
            </w:r>
            <w:r w:rsidRPr="00DE20E4">
              <w:rPr>
                <w:rFonts w:cs="Times New Roman"/>
                <w:sz w:val="22"/>
                <w:szCs w:val="22"/>
                <w:shd w:val="clear" w:color="auto" w:fill="FFFFFF"/>
              </w:rPr>
              <w:t>флиберцепт</w:t>
            </w:r>
          </w:p>
          <w:p w14:paraId="3044B63B"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Pr>
                <w:rFonts w:cs="Times New Roman"/>
                <w:sz w:val="22"/>
                <w:szCs w:val="22"/>
                <w:shd w:val="clear" w:color="auto" w:fill="FFFFFF"/>
              </w:rPr>
              <w:t>б</w:t>
            </w:r>
            <w:r w:rsidRPr="00DE20E4">
              <w:rPr>
                <w:rFonts w:cs="Times New Roman"/>
                <w:sz w:val="22"/>
                <w:szCs w:val="22"/>
                <w:shd w:val="clear" w:color="auto" w:fill="FFFFFF"/>
              </w:rPr>
              <w:t>елиностат</w:t>
            </w:r>
          </w:p>
          <w:p w14:paraId="570FB3B3"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блинатумомаб</w:t>
            </w:r>
          </w:p>
          <w:p w14:paraId="106DB1B2"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бортезомиб</w:t>
            </w:r>
          </w:p>
          <w:p w14:paraId="5B46C112"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брентуксимаб</w:t>
            </w:r>
          </w:p>
          <w:p w14:paraId="4469AD59"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винфлунин</w:t>
            </w:r>
          </w:p>
          <w:p w14:paraId="252C190F"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lastRenderedPageBreak/>
              <w:t>гемцитабин</w:t>
            </w:r>
          </w:p>
          <w:p w14:paraId="27CA133E"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доксорубици</w:t>
            </w:r>
            <w:r>
              <w:rPr>
                <w:rFonts w:cs="Times New Roman"/>
                <w:sz w:val="22"/>
                <w:szCs w:val="22"/>
                <w:shd w:val="clear" w:color="auto" w:fill="FFFFFF"/>
              </w:rPr>
              <w:t xml:space="preserve">н </w:t>
            </w:r>
            <w:r w:rsidRPr="00DE20E4">
              <w:rPr>
                <w:rFonts w:cs="Times New Roman"/>
                <w:sz w:val="22"/>
                <w:szCs w:val="22"/>
                <w:shd w:val="clear" w:color="auto" w:fill="FFFFFF"/>
              </w:rPr>
              <w:t>пегилированный</w:t>
            </w:r>
            <w:r>
              <w:rPr>
                <w:rFonts w:cs="Times New Roman"/>
                <w:sz w:val="22"/>
                <w:szCs w:val="22"/>
                <w:shd w:val="clear" w:color="auto" w:fill="FFFFFF"/>
              </w:rPr>
              <w:t xml:space="preserve"> </w:t>
            </w:r>
            <w:r w:rsidRPr="00DE20E4">
              <w:rPr>
                <w:rFonts w:cs="Times New Roman"/>
                <w:sz w:val="22"/>
                <w:szCs w:val="22"/>
                <w:shd w:val="clear" w:color="auto" w:fill="FFFFFF"/>
              </w:rPr>
              <w:t>липосомальный</w:t>
            </w:r>
          </w:p>
          <w:p w14:paraId="0E50ED3F"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доцетаксел</w:t>
            </w:r>
          </w:p>
          <w:p w14:paraId="51AA3472"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иксабепилон</w:t>
            </w:r>
          </w:p>
          <w:p w14:paraId="09AAD9DA"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ипилимумаб</w:t>
            </w:r>
          </w:p>
          <w:p w14:paraId="7A742AE7"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кабазитаксел</w:t>
            </w:r>
          </w:p>
          <w:p w14:paraId="559ECE49"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карфилзомиб</w:t>
            </w:r>
          </w:p>
          <w:p w14:paraId="485CB5CA"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катумаксумаб</w:t>
            </w:r>
          </w:p>
          <w:p w14:paraId="27B6D61C"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метотрексат</w:t>
            </w:r>
          </w:p>
          <w:p w14:paraId="2C40ADD7"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митоксантрон</w:t>
            </w:r>
          </w:p>
          <w:p w14:paraId="4859D763"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митомицин</w:t>
            </w:r>
          </w:p>
          <w:p w14:paraId="39A8D957"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наб-паклитаксел</w:t>
            </w:r>
          </w:p>
          <w:p w14:paraId="1DA6B96C"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нецитумумаб</w:t>
            </w:r>
          </w:p>
          <w:p w14:paraId="20241D68"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паклитаксел</w:t>
            </w:r>
          </w:p>
          <w:p w14:paraId="2488E8F6"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панитумумаб</w:t>
            </w:r>
          </w:p>
          <w:p w14:paraId="335DF877"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пеметрексед</w:t>
            </w:r>
          </w:p>
          <w:p w14:paraId="3711B191"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пертузумаб</w:t>
            </w:r>
          </w:p>
          <w:p w14:paraId="3CD5D454"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темсиролимус</w:t>
            </w:r>
          </w:p>
          <w:p w14:paraId="723F6D62"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топотекан</w:t>
            </w:r>
          </w:p>
          <w:p w14:paraId="065444C3"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трастузумаб-эмтанзин</w:t>
            </w:r>
          </w:p>
          <w:p w14:paraId="69DE9F90"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цетуксимаб</w:t>
            </w:r>
          </w:p>
          <w:p w14:paraId="1C9C5665"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цитарабин ≤ 1000 мг / м</w:t>
            </w:r>
            <w:r w:rsidRPr="00046796">
              <w:rPr>
                <w:rFonts w:cs="Times New Roman"/>
                <w:sz w:val="22"/>
                <w:szCs w:val="22"/>
                <w:shd w:val="clear" w:color="auto" w:fill="FFFFFF"/>
                <w:vertAlign w:val="superscript"/>
              </w:rPr>
              <w:t>2</w:t>
            </w:r>
          </w:p>
          <w:p w14:paraId="34AB1691"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элотузумаб</w:t>
            </w:r>
          </w:p>
          <w:p w14:paraId="228D8328" w14:textId="77777777" w:rsidR="00D71DD0" w:rsidRPr="00DE20E4" w:rsidRDefault="00D71DD0" w:rsidP="00A72B1B">
            <w:pPr>
              <w:pStyle w:val="Normal11"/>
              <w:numPr>
                <w:ilvl w:val="0"/>
                <w:numId w:val="32"/>
              </w:numPr>
              <w:tabs>
                <w:tab w:val="left" w:pos="0"/>
                <w:tab w:val="left" w:pos="1515"/>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эрибулин</w:t>
            </w:r>
            <w:r w:rsidRPr="00DE20E4">
              <w:rPr>
                <w:rFonts w:cs="Times New Roman"/>
                <w:sz w:val="22"/>
                <w:szCs w:val="22"/>
                <w:shd w:val="clear" w:color="auto" w:fill="FFFFFF"/>
              </w:rPr>
              <w:tab/>
            </w:r>
          </w:p>
          <w:p w14:paraId="29ED5E23"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этопозид</w:t>
            </w:r>
          </w:p>
          <w:p w14:paraId="12413EEE" w14:textId="77777777" w:rsidR="00D71DD0" w:rsidRPr="00DE20E4" w:rsidRDefault="00D71DD0" w:rsidP="00A72B1B">
            <w:pPr>
              <w:pStyle w:val="Normal11"/>
              <w:numPr>
                <w:ilvl w:val="0"/>
                <w:numId w:val="32"/>
              </w:numPr>
              <w:shd w:val="clear" w:color="auto" w:fill="auto"/>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5</w:t>
            </w:r>
            <w:r w:rsidRPr="00DE20E4">
              <w:rPr>
                <w:rFonts w:ascii="MS Mincho" w:eastAsia="MS Mincho" w:hAnsi="MS Mincho" w:cs="MS Mincho" w:hint="eastAsia"/>
                <w:sz w:val="22"/>
                <w:szCs w:val="22"/>
                <w:shd w:val="clear" w:color="auto" w:fill="FFFFFF"/>
              </w:rPr>
              <w:t>‑</w:t>
            </w:r>
            <w:r w:rsidRPr="00DE20E4">
              <w:rPr>
                <w:rFonts w:cs="Times New Roman"/>
                <w:sz w:val="22"/>
                <w:szCs w:val="22"/>
                <w:shd w:val="clear" w:color="auto" w:fill="FFFFFF"/>
              </w:rPr>
              <w:t>фторурацил</w:t>
            </w:r>
          </w:p>
        </w:tc>
        <w:tc>
          <w:tcPr>
            <w:tcW w:w="3746" w:type="dxa"/>
          </w:tcPr>
          <w:p w14:paraId="6C17FE9C"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Pr>
                <w:rFonts w:cs="Times New Roman"/>
                <w:sz w:val="22"/>
                <w:szCs w:val="22"/>
                <w:shd w:val="clear" w:color="auto" w:fill="FFFFFF"/>
              </w:rPr>
              <w:lastRenderedPageBreak/>
              <w:t>а</w:t>
            </w:r>
            <w:r w:rsidRPr="00DE20E4">
              <w:rPr>
                <w:rFonts w:cs="Times New Roman"/>
                <w:sz w:val="22"/>
                <w:szCs w:val="22"/>
                <w:shd w:val="clear" w:color="auto" w:fill="FFFFFF"/>
              </w:rPr>
              <w:t>ксатиниб</w:t>
            </w:r>
          </w:p>
          <w:p w14:paraId="6F8F91D1"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Pr>
                <w:rFonts w:cs="Times New Roman"/>
                <w:sz w:val="22"/>
                <w:szCs w:val="22"/>
                <w:shd w:val="clear" w:color="auto" w:fill="FFFFFF"/>
              </w:rPr>
              <w:t>а</w:t>
            </w:r>
            <w:r w:rsidRPr="00015EAB">
              <w:rPr>
                <w:rFonts w:cs="Times New Roman"/>
                <w:sz w:val="22"/>
                <w:szCs w:val="22"/>
                <w:shd w:val="clear" w:color="auto" w:fill="FFFFFF"/>
              </w:rPr>
              <w:t xml:space="preserve">лектиниб </w:t>
            </w:r>
          </w:p>
          <w:p w14:paraId="71D9F589"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афатиниб</w:t>
            </w:r>
          </w:p>
          <w:p w14:paraId="51AD774A"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вандетаниб</w:t>
            </w:r>
          </w:p>
          <w:p w14:paraId="06C628BB"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венетоклакс</w:t>
            </w:r>
          </w:p>
          <w:p w14:paraId="7B152F0C"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вориностат</w:t>
            </w:r>
          </w:p>
          <w:p w14:paraId="76BAEA80"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дабрафениб</w:t>
            </w:r>
          </w:p>
          <w:p w14:paraId="7BC3162D"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lastRenderedPageBreak/>
              <w:t>дазатиниб</w:t>
            </w:r>
          </w:p>
          <w:p w14:paraId="0636A8EC"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ибрутиниб</w:t>
            </w:r>
          </w:p>
          <w:p w14:paraId="79FB20D9"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 xml:space="preserve">иделалисиб </w:t>
            </w:r>
          </w:p>
          <w:p w14:paraId="32283119"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иксазомиб</w:t>
            </w:r>
          </w:p>
          <w:p w14:paraId="4AF0671F"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капецитабин</w:t>
            </w:r>
          </w:p>
          <w:p w14:paraId="03B0DE57"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кобиметиниб</w:t>
            </w:r>
          </w:p>
          <w:p w14:paraId="334E6D6C"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лапатиниб</w:t>
            </w:r>
          </w:p>
          <w:p w14:paraId="62C89C74"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леналидомид</w:t>
            </w:r>
          </w:p>
          <w:p w14:paraId="4526EE46"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нилотиниб</w:t>
            </w:r>
          </w:p>
          <w:p w14:paraId="018FCEFF"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олапариб</w:t>
            </w:r>
          </w:p>
          <w:p w14:paraId="0504BEC5"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осимертиниб</w:t>
            </w:r>
          </w:p>
          <w:p w14:paraId="22172C8A"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пазопаниб</w:t>
            </w:r>
          </w:p>
          <w:p w14:paraId="6E14661B"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палбоциклиб</w:t>
            </w:r>
          </w:p>
          <w:p w14:paraId="1F9E0EA9"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панобиностат</w:t>
            </w:r>
          </w:p>
          <w:p w14:paraId="0DA53A65"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понатиниб</w:t>
            </w:r>
          </w:p>
          <w:p w14:paraId="16BDF5BB"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регорафениб</w:t>
            </w:r>
          </w:p>
          <w:p w14:paraId="1088D3E3" w14:textId="77777777" w:rsidR="00D71DD0" w:rsidRPr="00015EAB"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015EAB">
              <w:rPr>
                <w:rFonts w:cs="Times New Roman"/>
                <w:sz w:val="22"/>
                <w:szCs w:val="22"/>
                <w:shd w:val="clear" w:color="auto" w:fill="FFFFFF"/>
              </w:rPr>
              <w:t>сонидегиб</w:t>
            </w:r>
          </w:p>
          <w:p w14:paraId="6C3573D8"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сунитиниб</w:t>
            </w:r>
          </w:p>
          <w:p w14:paraId="59AA1124"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талидомид</w:t>
            </w:r>
          </w:p>
          <w:p w14:paraId="6C606CAA"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тегафур-урацил</w:t>
            </w:r>
          </w:p>
          <w:p w14:paraId="4A35A6C0"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траметиниб</w:t>
            </w:r>
          </w:p>
          <w:p w14:paraId="074AEA4C" w14:textId="77777777" w:rsidR="00D71DD0" w:rsidRPr="00DE20E4" w:rsidRDefault="00D71DD0" w:rsidP="00A72B1B">
            <w:pPr>
              <w:pStyle w:val="Normal11"/>
              <w:numPr>
                <w:ilvl w:val="0"/>
                <w:numId w:val="32"/>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флударабин</w:t>
            </w:r>
          </w:p>
          <w:p w14:paraId="600B1137" w14:textId="77777777" w:rsidR="00D71DD0" w:rsidRPr="00DE20E4" w:rsidRDefault="00D71DD0" w:rsidP="00A72B1B">
            <w:pPr>
              <w:pStyle w:val="Normal11"/>
              <w:numPr>
                <w:ilvl w:val="0"/>
                <w:numId w:val="32"/>
              </w:numPr>
              <w:shd w:val="clear" w:color="auto" w:fill="auto"/>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эверолимус</w:t>
            </w:r>
          </w:p>
          <w:p w14:paraId="23A0603F" w14:textId="77777777" w:rsidR="00D71DD0" w:rsidRPr="00DE20E4" w:rsidRDefault="00D71DD0" w:rsidP="00A72B1B">
            <w:pPr>
              <w:pStyle w:val="Normal11"/>
              <w:numPr>
                <w:ilvl w:val="0"/>
                <w:numId w:val="32"/>
              </w:numPr>
              <w:shd w:val="clear" w:color="auto" w:fill="auto"/>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 xml:space="preserve">этопозид </w:t>
            </w:r>
          </w:p>
        </w:tc>
      </w:tr>
      <w:tr w:rsidR="00D71DD0" w14:paraId="3777417E" w14:textId="77777777" w:rsidTr="00EC1C67">
        <w:trPr>
          <w:trHeight w:val="692"/>
        </w:trPr>
        <w:tc>
          <w:tcPr>
            <w:tcW w:w="1837" w:type="dxa"/>
          </w:tcPr>
          <w:p w14:paraId="3CD303BD" w14:textId="77777777" w:rsidR="00D71DD0" w:rsidRPr="00DE20E4" w:rsidRDefault="00D71DD0" w:rsidP="00EC1C67">
            <w:pPr>
              <w:pStyle w:val="Normal11"/>
              <w:shd w:val="clear" w:color="auto" w:fill="auto"/>
              <w:tabs>
                <w:tab w:val="left" w:pos="0"/>
              </w:tabs>
              <w:spacing w:before="0" w:line="360" w:lineRule="auto"/>
              <w:ind w:left="57" w:right="57" w:firstLine="0"/>
              <w:jc w:val="both"/>
              <w:rPr>
                <w:rFonts w:cs="Times New Roman"/>
                <w:sz w:val="22"/>
                <w:szCs w:val="22"/>
                <w:shd w:val="clear" w:color="auto" w:fill="FFFFFF"/>
              </w:rPr>
            </w:pPr>
            <w:r w:rsidRPr="00DE20E4">
              <w:rPr>
                <w:sz w:val="22"/>
                <w:szCs w:val="22"/>
              </w:rPr>
              <w:lastRenderedPageBreak/>
              <w:t>Минимальный (&lt;10 %)</w:t>
            </w:r>
          </w:p>
        </w:tc>
        <w:tc>
          <w:tcPr>
            <w:tcW w:w="3746" w:type="dxa"/>
          </w:tcPr>
          <w:p w14:paraId="06434DEB"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Pr>
                <w:rFonts w:cs="Times New Roman"/>
                <w:sz w:val="22"/>
                <w:szCs w:val="22"/>
                <w:shd w:val="clear" w:color="auto" w:fill="FFFFFF"/>
              </w:rPr>
              <w:t>б</w:t>
            </w:r>
            <w:r w:rsidRPr="00DE20E4">
              <w:rPr>
                <w:rFonts w:cs="Times New Roman"/>
                <w:sz w:val="22"/>
                <w:szCs w:val="22"/>
                <w:shd w:val="clear" w:color="auto" w:fill="FFFFFF"/>
              </w:rPr>
              <w:t>евацизумаб</w:t>
            </w:r>
          </w:p>
          <w:p w14:paraId="5F10E532"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блеомицин</w:t>
            </w:r>
          </w:p>
          <w:p w14:paraId="26358B2E"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винбластин</w:t>
            </w:r>
          </w:p>
          <w:p w14:paraId="6F291948"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винкристин</w:t>
            </w:r>
          </w:p>
          <w:p w14:paraId="16BBDA7E"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винорельбин</w:t>
            </w:r>
          </w:p>
          <w:p w14:paraId="3FB9C6A6"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даратумумаб</w:t>
            </w:r>
          </w:p>
          <w:p w14:paraId="5506B4F5"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кладрибин</w:t>
            </w:r>
          </w:p>
          <w:p w14:paraId="7D58EEFF"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ниволумаб</w:t>
            </w:r>
          </w:p>
          <w:p w14:paraId="57D59E3A"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обинутузумаб</w:t>
            </w:r>
          </w:p>
          <w:p w14:paraId="3923FEFF"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lastRenderedPageBreak/>
              <w:t>офатумумаб</w:t>
            </w:r>
          </w:p>
          <w:p w14:paraId="34FA5401"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пембролизумаб</w:t>
            </w:r>
          </w:p>
          <w:p w14:paraId="02757C44"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пиксантрон</w:t>
            </w:r>
          </w:p>
          <w:p w14:paraId="702CDE45"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пралатрексат</w:t>
            </w:r>
          </w:p>
          <w:p w14:paraId="0457E54C"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рамуцирумаб</w:t>
            </w:r>
          </w:p>
          <w:p w14:paraId="3B045220" w14:textId="77777777" w:rsidR="00D71DD0" w:rsidRPr="00FA793D"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FA793D">
              <w:rPr>
                <w:rFonts w:cs="Times New Roman"/>
                <w:sz w:val="22"/>
                <w:szCs w:val="22"/>
                <w:shd w:val="clear" w:color="auto" w:fill="FFFFFF"/>
              </w:rPr>
              <w:t>ритуксимаб</w:t>
            </w:r>
          </w:p>
          <w:p w14:paraId="2FCF7456" w14:textId="77777777" w:rsidR="00D71DD0" w:rsidRPr="00FA793D"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FA793D">
              <w:rPr>
                <w:rFonts w:cs="Times New Roman"/>
                <w:sz w:val="22"/>
                <w:szCs w:val="22"/>
                <w:shd w:val="clear" w:color="auto" w:fill="FFFFFF"/>
              </w:rPr>
              <w:t>трастузумаб</w:t>
            </w:r>
          </w:p>
          <w:p w14:paraId="44AED17F" w14:textId="77777777" w:rsidR="00D71DD0" w:rsidRPr="00FA793D" w:rsidRDefault="00D71DD0" w:rsidP="00A72B1B">
            <w:pPr>
              <w:pStyle w:val="Normal11"/>
              <w:numPr>
                <w:ilvl w:val="0"/>
                <w:numId w:val="33"/>
              </w:numPr>
              <w:shd w:val="clear" w:color="auto" w:fill="auto"/>
              <w:tabs>
                <w:tab w:val="left" w:pos="0"/>
              </w:tabs>
              <w:spacing w:before="0" w:line="360" w:lineRule="auto"/>
              <w:ind w:left="57" w:right="57"/>
              <w:rPr>
                <w:rFonts w:cs="Times New Roman"/>
                <w:sz w:val="22"/>
                <w:szCs w:val="22"/>
                <w:shd w:val="clear" w:color="auto" w:fill="FFFFFF"/>
              </w:rPr>
            </w:pPr>
            <w:r w:rsidRPr="00FA793D">
              <w:rPr>
                <w:rFonts w:cs="Times New Roman"/>
                <w:sz w:val="22"/>
                <w:szCs w:val="22"/>
                <w:shd w:val="clear" w:color="auto" w:fill="FFFFFF"/>
              </w:rPr>
              <w:t>флударабин</w:t>
            </w:r>
          </w:p>
          <w:p w14:paraId="01A7CF34" w14:textId="77777777" w:rsidR="00D71DD0" w:rsidRPr="00DE20E4" w:rsidRDefault="00D71DD0" w:rsidP="00A72B1B">
            <w:pPr>
              <w:pStyle w:val="Normal11"/>
              <w:numPr>
                <w:ilvl w:val="0"/>
                <w:numId w:val="33"/>
              </w:numPr>
              <w:shd w:val="clear" w:color="auto" w:fill="auto"/>
              <w:tabs>
                <w:tab w:val="left" w:pos="0"/>
              </w:tabs>
              <w:spacing w:before="0" w:line="360" w:lineRule="auto"/>
              <w:ind w:left="57" w:right="57"/>
              <w:rPr>
                <w:rFonts w:cs="Times New Roman"/>
                <w:sz w:val="22"/>
                <w:szCs w:val="22"/>
                <w:shd w:val="clear" w:color="auto" w:fill="FFFFFF"/>
              </w:rPr>
            </w:pPr>
            <w:r w:rsidRPr="00FA793D">
              <w:rPr>
                <w:rFonts w:cs="Times New Roman"/>
                <w:sz w:val="22"/>
                <w:szCs w:val="22"/>
                <w:shd w:val="clear" w:color="auto" w:fill="FFFFFF"/>
              </w:rPr>
              <w:t>2-хлордеоксиаденозин</w:t>
            </w:r>
          </w:p>
        </w:tc>
        <w:tc>
          <w:tcPr>
            <w:tcW w:w="3746" w:type="dxa"/>
          </w:tcPr>
          <w:p w14:paraId="1DC4BE1B"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Pr>
                <w:rFonts w:cs="Times New Roman"/>
                <w:sz w:val="22"/>
                <w:szCs w:val="22"/>
                <w:shd w:val="clear" w:color="auto" w:fill="FFFFFF"/>
              </w:rPr>
              <w:lastRenderedPageBreak/>
              <w:t>б</w:t>
            </w:r>
            <w:r w:rsidRPr="00DE20E4">
              <w:rPr>
                <w:rFonts w:cs="Times New Roman"/>
                <w:sz w:val="22"/>
                <w:szCs w:val="22"/>
                <w:shd w:val="clear" w:color="auto" w:fill="FFFFFF"/>
              </w:rPr>
              <w:t>усульфан</w:t>
            </w:r>
          </w:p>
          <w:p w14:paraId="1FBDDED7"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Pr>
                <w:rFonts w:cs="Times New Roman"/>
                <w:sz w:val="22"/>
                <w:szCs w:val="22"/>
                <w:shd w:val="clear" w:color="auto" w:fill="FFFFFF"/>
              </w:rPr>
              <w:t>в</w:t>
            </w:r>
            <w:r w:rsidRPr="00DE20E4">
              <w:rPr>
                <w:rFonts w:cs="Times New Roman"/>
                <w:sz w:val="22"/>
                <w:szCs w:val="22"/>
                <w:shd w:val="clear" w:color="auto" w:fill="FFFFFF"/>
              </w:rPr>
              <w:t>емурафениб</w:t>
            </w:r>
          </w:p>
          <w:p w14:paraId="521A9298"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висмодегиб</w:t>
            </w:r>
          </w:p>
          <w:p w14:paraId="6076A10E"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гефитиниб</w:t>
            </w:r>
          </w:p>
          <w:p w14:paraId="420D7159"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гидроксиуреа</w:t>
            </w:r>
          </w:p>
          <w:p w14:paraId="18C24651"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мелфалан</w:t>
            </w:r>
          </w:p>
          <w:p w14:paraId="701042E0"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метотрексат</w:t>
            </w:r>
          </w:p>
          <w:p w14:paraId="3AE28715"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помалидомид</w:t>
            </w:r>
          </w:p>
          <w:p w14:paraId="1F650646"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руксолитиниб</w:t>
            </w:r>
          </w:p>
          <w:p w14:paraId="01AE7683"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lastRenderedPageBreak/>
              <w:t>сорафениб</w:t>
            </w:r>
          </w:p>
          <w:p w14:paraId="1D053338"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хлорамбуцил</w:t>
            </w:r>
          </w:p>
          <w:p w14:paraId="6B8AA497"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эрлотиниб</w:t>
            </w:r>
          </w:p>
          <w:p w14:paraId="40D91D02" w14:textId="77777777" w:rsidR="00D71DD0" w:rsidRPr="00DE20E4" w:rsidRDefault="00D71DD0" w:rsidP="00A72B1B">
            <w:pPr>
              <w:pStyle w:val="Normal11"/>
              <w:numPr>
                <w:ilvl w:val="0"/>
                <w:numId w:val="33"/>
              </w:numPr>
              <w:tabs>
                <w:tab w:val="left" w:pos="0"/>
              </w:tabs>
              <w:spacing w:before="0" w:line="360" w:lineRule="auto"/>
              <w:ind w:left="57" w:right="57"/>
              <w:rPr>
                <w:rFonts w:cs="Times New Roman"/>
                <w:sz w:val="22"/>
                <w:szCs w:val="22"/>
                <w:shd w:val="clear" w:color="auto" w:fill="FFFFFF"/>
              </w:rPr>
            </w:pPr>
            <w:r w:rsidRPr="00DE20E4">
              <w:rPr>
                <w:rFonts w:cs="Times New Roman"/>
                <w:sz w:val="22"/>
                <w:szCs w:val="22"/>
                <w:shd w:val="clear" w:color="auto" w:fill="FFFFFF"/>
              </w:rPr>
              <w:t>6</w:t>
            </w:r>
            <w:r w:rsidRPr="00DE20E4">
              <w:rPr>
                <w:rFonts w:ascii="MS Mincho" w:eastAsia="MS Mincho" w:hAnsi="MS Mincho" w:cs="MS Mincho" w:hint="eastAsia"/>
                <w:sz w:val="22"/>
                <w:szCs w:val="22"/>
                <w:shd w:val="clear" w:color="auto" w:fill="FFFFFF"/>
              </w:rPr>
              <w:t>‑</w:t>
            </w:r>
            <w:r w:rsidRPr="00DE20E4">
              <w:rPr>
                <w:rFonts w:cs="Times New Roman"/>
                <w:sz w:val="22"/>
                <w:szCs w:val="22"/>
                <w:shd w:val="clear" w:color="auto" w:fill="FFFFFF"/>
              </w:rPr>
              <w:t>тиогуанин</w:t>
            </w:r>
          </w:p>
          <w:p w14:paraId="643A9BC8" w14:textId="77777777" w:rsidR="00D71DD0" w:rsidRPr="00DE20E4" w:rsidRDefault="00D71DD0" w:rsidP="00EC1C67">
            <w:pPr>
              <w:pStyle w:val="Normal11"/>
              <w:shd w:val="clear" w:color="auto" w:fill="auto"/>
              <w:tabs>
                <w:tab w:val="left" w:pos="0"/>
              </w:tabs>
              <w:spacing w:before="0" w:line="360" w:lineRule="auto"/>
              <w:ind w:left="57" w:right="57" w:firstLine="0"/>
              <w:rPr>
                <w:rFonts w:cs="Times New Roman"/>
                <w:sz w:val="22"/>
                <w:szCs w:val="22"/>
                <w:shd w:val="clear" w:color="auto" w:fill="FFFFFF"/>
              </w:rPr>
            </w:pPr>
          </w:p>
        </w:tc>
      </w:tr>
    </w:tbl>
    <w:p w14:paraId="75183F95" w14:textId="77777777" w:rsidR="00D71DD0" w:rsidRDefault="00D71DD0" w:rsidP="00D71DD0"/>
    <w:p w14:paraId="3E4C3BE7" w14:textId="78F7532B" w:rsidR="00D71DD0" w:rsidRDefault="00D71DD0" w:rsidP="00D71DD0">
      <w:r w:rsidRPr="001957E3">
        <w:t>Рекомендации экспертов по принципам противорвотного (антиэметогенного) лечения основываются на том, в какую категорию эметогенного потенциала входит цитостатик</w:t>
      </w:r>
      <w:r>
        <w:t xml:space="preserve"> </w:t>
      </w:r>
      <w:r>
        <w:fldChar w:fldCharType="begin" w:fldLock="1"/>
      </w:r>
      <w:r w:rsidR="004D13EB">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[44,46,63–67]","plainTextFormattedCitation":"[44,46,63–67]","previouslyFormattedCitation":"[44,46,63–67]"},"properties":{"noteIndex":0},"schema":"https://github.com/citation-style-language/schema/raw/master/csl-citation.json"}</w:instrText>
      </w:r>
      <w:r>
        <w:fldChar w:fldCharType="separate"/>
      </w:r>
      <w:r w:rsidR="00EF3174" w:rsidRPr="00EF3174">
        <w:rPr>
          <w:noProof/>
        </w:rPr>
        <w:t>[44,46,63–67]</w:t>
      </w:r>
      <w:r>
        <w:fldChar w:fldCharType="end"/>
      </w:r>
      <w:r w:rsidRPr="001957E3">
        <w:t xml:space="preserve">. Эметогенный потенциал препаратов для внутривенного введения определяется, как правило, для режима однодневного введения, то есть определяется эметогенность разовой дозы. В основу эметогенной классификации таблетированных препаратов положен учет эметогенности полного курса лечения. Эметогенность комбинированного режима </w:t>
      </w:r>
      <w:r>
        <w:t>П</w:t>
      </w:r>
      <w:r w:rsidRPr="001957E3">
        <w:t>ХТ определяется, как правило, препаратом, обладающим наибольшим эметогенным потенциалом. Это положение является абсолютно верным для режимов, включающих высокоэметогенные цитостатики. Комбинация средне-эметогенных цитостатиков может повышать эметогенность режима в целом.</w:t>
      </w:r>
    </w:p>
    <w:p w14:paraId="0DA2E1AA" w14:textId="77777777" w:rsidR="00D71DD0" w:rsidRPr="001957E3" w:rsidRDefault="00D71DD0" w:rsidP="00D71DD0"/>
    <w:p w14:paraId="3CB7FAF1" w14:textId="77777777" w:rsidR="00D71DD0" w:rsidRPr="00376A77"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376A77">
        <w:rPr>
          <w:rFonts w:cs="Times New Roman"/>
          <w:bCs/>
          <w:i/>
          <w:iCs/>
          <w:u w:val="single"/>
          <w:shd w:val="clear" w:color="auto" w:fill="FFFFFF"/>
        </w:rPr>
        <w:t>Противорвотные препараты</w:t>
      </w:r>
    </w:p>
    <w:p w14:paraId="7922D4A0" w14:textId="6E3EE695" w:rsidR="00D71DD0" w:rsidRPr="0030741F" w:rsidRDefault="00D71DD0" w:rsidP="00D71DD0">
      <w:r w:rsidRPr="0030741F">
        <w:t>Для клинического применения используется 5 групп препаратов, обладающих противорвотным действием</w:t>
      </w:r>
      <w:r>
        <w:t xml:space="preserve"> </w:t>
      </w:r>
      <w:r>
        <w:fldChar w:fldCharType="begin" w:fldLock="1"/>
      </w:r>
      <w:r w:rsidR="004D13EB">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[44,46,63–67]","plainTextFormattedCitation":"[44,46,63–67]","previouslyFormattedCitation":"[44,46,63–67]"},"properties":{"noteIndex":0},"schema":"https://github.com/citation-style-language/schema/raw/master/csl-citation.json"}</w:instrText>
      </w:r>
      <w:r>
        <w:fldChar w:fldCharType="separate"/>
      </w:r>
      <w:r w:rsidR="00EF3174" w:rsidRPr="00EF3174">
        <w:rPr>
          <w:noProof/>
        </w:rPr>
        <w:t>[44,46,63–67]</w:t>
      </w:r>
      <w:r>
        <w:fldChar w:fldCharType="end"/>
      </w:r>
      <w:r w:rsidRPr="0030741F">
        <w:t>:</w:t>
      </w:r>
    </w:p>
    <w:p w14:paraId="4843FF9A" w14:textId="45E49525" w:rsidR="00D71DD0" w:rsidRDefault="00D71DD0" w:rsidP="00A72B1B">
      <w:pPr>
        <w:pStyle w:val="afd"/>
        <w:numPr>
          <w:ilvl w:val="0"/>
          <w:numId w:val="36"/>
        </w:numPr>
        <w:contextualSpacing w:val="0"/>
      </w:pPr>
      <w:r w:rsidRPr="00340360">
        <w:rPr>
          <w:i/>
          <w:iCs/>
        </w:rPr>
        <w:t>Антагонисты 5-HT3-рецепторов (HT - гидрокситриптамин)</w:t>
      </w:r>
      <w:r>
        <w:t xml:space="preserve">. </w:t>
      </w:r>
      <w:r w:rsidRPr="00376A77">
        <w:t xml:space="preserve">Эта группа препаратов включает ондансетрон, гранисетрон, трописетрон, палоносетрон. Механизм действия препаратов обусловлен способностью селективно блокировать серотониновые 5-HT3-рецепторы, предупреждая возникновение рвотного рефлекса вследствие стимуляции афферентных волокон блуждающего нерва серотонином, выделяющимся из энтерохромаффинных клеток слизистой оболочки ЖКТ. Антагонисты 5-HT3-рецепторов также угнетают центральные звенья рвотного рефлекса, блокируя 5-HT3-рецепторы дна IV желудочка головного мозга. Препараты назначаются за 30-60 минут до ХТ. В таблице </w:t>
      </w:r>
      <w:r>
        <w:t>7.</w:t>
      </w:r>
      <w:r w:rsidR="00EF3174">
        <w:t>6</w:t>
      </w:r>
      <w:r>
        <w:t>.2</w:t>
      </w:r>
      <w:r w:rsidRPr="00376A77">
        <w:t xml:space="preserve"> указан режим дозирования антагонистов 5-HT3-рецепторов.</w:t>
      </w:r>
      <w:r>
        <w:t xml:space="preserve"> Необходим</w:t>
      </w:r>
      <w:r w:rsidRPr="00F4328A">
        <w:t xml:space="preserve"> мониторинг ЭКГ, электролитов у больных с признаками кардиальных нарушений. </w:t>
      </w:r>
      <w:r w:rsidRPr="00F4328A">
        <w:lastRenderedPageBreak/>
        <w:t xml:space="preserve">Антагонисты 5-HT3-рецепторов могут удлинять интервал QT, в связи с чем у пациентов с синдромом удлинения QT следует избегать применения 5-HT3-антагонистов, за исключением палоносетрона, который не оказывает влияния на интервал QT. Палоносетрон – высокоселективный антагонист серотониновых рецепторов, имеющий самый длительный период полувыведения (до 40 часов). Применяется однократно с 1-го дня 1-го цикла при однодневном курсе </w:t>
      </w:r>
      <w:r>
        <w:t>П</w:t>
      </w:r>
      <w:r w:rsidRPr="00F4328A">
        <w:t xml:space="preserve">ХТ и через день - при многодневном курсе </w:t>
      </w:r>
      <w:r>
        <w:t>П</w:t>
      </w:r>
      <w:r w:rsidRPr="00F4328A">
        <w:t>ХТ.</w:t>
      </w:r>
    </w:p>
    <w:p w14:paraId="73B18BFC" w14:textId="77777777" w:rsidR="00D71DD0" w:rsidRDefault="00D71DD0" w:rsidP="00D71DD0">
      <w:pPr>
        <w:pStyle w:val="Normal11"/>
        <w:tabs>
          <w:tab w:val="left" w:pos="0"/>
        </w:tabs>
        <w:spacing w:before="0" w:line="360" w:lineRule="auto"/>
        <w:jc w:val="both"/>
        <w:rPr>
          <w:rFonts w:cs="Times New Roman"/>
          <w:bCs/>
        </w:rPr>
      </w:pPr>
    </w:p>
    <w:p w14:paraId="7D5448F7" w14:textId="7BB0EDA2" w:rsidR="00D71DD0" w:rsidRPr="0070602A" w:rsidRDefault="00D71DD0" w:rsidP="00D71DD0">
      <w:pPr>
        <w:pStyle w:val="Normal11"/>
        <w:tabs>
          <w:tab w:val="left" w:pos="0"/>
        </w:tabs>
        <w:spacing w:before="0" w:line="360" w:lineRule="auto"/>
        <w:jc w:val="both"/>
        <w:rPr>
          <w:rFonts w:cs="Times New Roman"/>
          <w:bCs/>
        </w:rPr>
      </w:pPr>
      <w:r w:rsidRPr="0070602A">
        <w:rPr>
          <w:rFonts w:cs="Times New Roman"/>
          <w:bCs/>
        </w:rPr>
        <w:t xml:space="preserve">Таблица </w:t>
      </w:r>
      <w:r>
        <w:rPr>
          <w:rFonts w:cs="Times New Roman"/>
          <w:bCs/>
        </w:rPr>
        <w:t>7.</w:t>
      </w:r>
      <w:r w:rsidR="00EF3174">
        <w:rPr>
          <w:rFonts w:cs="Times New Roman"/>
          <w:bCs/>
        </w:rPr>
        <w:t>6</w:t>
      </w:r>
      <w:r>
        <w:rPr>
          <w:rFonts w:cs="Times New Roman"/>
          <w:bCs/>
        </w:rPr>
        <w:t>.</w:t>
      </w:r>
      <w:r w:rsidRPr="0070602A">
        <w:rPr>
          <w:rFonts w:cs="Times New Roman"/>
          <w:bCs/>
        </w:rPr>
        <w:t xml:space="preserve">2. Режим дозирования антагонистов 5-HT3-рецепторов </w:t>
      </w:r>
    </w:p>
    <w:tbl>
      <w:tblPr>
        <w:tblStyle w:val="aff8"/>
        <w:tblW w:w="0" w:type="auto"/>
        <w:jc w:val="center"/>
        <w:tblLook w:val="04A0" w:firstRow="1" w:lastRow="0" w:firstColumn="1" w:lastColumn="0" w:noHBand="0" w:noVBand="1"/>
      </w:tblPr>
      <w:tblGrid>
        <w:gridCol w:w="2220"/>
        <w:gridCol w:w="2756"/>
        <w:gridCol w:w="3557"/>
      </w:tblGrid>
      <w:tr w:rsidR="00D71DD0" w:rsidRPr="0079248E" w14:paraId="2BFEEB5F" w14:textId="77777777" w:rsidTr="00EC1C67">
        <w:trPr>
          <w:jc w:val="center"/>
        </w:trPr>
        <w:tc>
          <w:tcPr>
            <w:tcW w:w="2220" w:type="dxa"/>
          </w:tcPr>
          <w:p w14:paraId="258026D7" w14:textId="77777777" w:rsidR="00D71DD0" w:rsidRPr="0079248E" w:rsidRDefault="00D71DD0" w:rsidP="00EC1C67">
            <w:pPr>
              <w:tabs>
                <w:tab w:val="left" w:pos="0"/>
              </w:tabs>
              <w:ind w:left="57" w:right="57" w:firstLine="0"/>
              <w:jc w:val="center"/>
              <w:rPr>
                <w:szCs w:val="24"/>
                <w:lang w:eastAsia="ru-RU"/>
              </w:rPr>
            </w:pPr>
            <w:r w:rsidRPr="0079248E">
              <w:rPr>
                <w:szCs w:val="24"/>
                <w:lang w:eastAsia="ru-RU"/>
              </w:rPr>
              <w:t>Препарат</w:t>
            </w:r>
          </w:p>
        </w:tc>
        <w:tc>
          <w:tcPr>
            <w:tcW w:w="2756" w:type="dxa"/>
          </w:tcPr>
          <w:p w14:paraId="405ECA5E" w14:textId="77777777" w:rsidR="00D71DD0" w:rsidRPr="0079248E" w:rsidRDefault="00D71DD0" w:rsidP="00EC1C67">
            <w:pPr>
              <w:tabs>
                <w:tab w:val="left" w:pos="0"/>
              </w:tabs>
              <w:ind w:left="57" w:right="57" w:firstLine="0"/>
              <w:jc w:val="center"/>
              <w:rPr>
                <w:szCs w:val="24"/>
                <w:lang w:eastAsia="ru-RU"/>
              </w:rPr>
            </w:pPr>
            <w:r w:rsidRPr="0079248E">
              <w:rPr>
                <w:szCs w:val="24"/>
                <w:lang w:eastAsia="ru-RU"/>
              </w:rPr>
              <w:t>Разовая доза, мг</w:t>
            </w:r>
          </w:p>
        </w:tc>
        <w:tc>
          <w:tcPr>
            <w:tcW w:w="3557" w:type="dxa"/>
          </w:tcPr>
          <w:p w14:paraId="0F863DD6" w14:textId="77777777" w:rsidR="00D71DD0" w:rsidRPr="0079248E" w:rsidRDefault="00D71DD0" w:rsidP="00EC1C67">
            <w:pPr>
              <w:tabs>
                <w:tab w:val="left" w:pos="0"/>
              </w:tabs>
              <w:ind w:left="57" w:right="57" w:firstLine="0"/>
              <w:jc w:val="center"/>
              <w:rPr>
                <w:szCs w:val="24"/>
                <w:lang w:eastAsia="ru-RU"/>
              </w:rPr>
            </w:pPr>
            <w:r w:rsidRPr="00835D9B">
              <w:rPr>
                <w:szCs w:val="24"/>
                <w:lang w:eastAsia="ru-RU"/>
              </w:rPr>
              <w:t>Способ применения</w:t>
            </w:r>
            <w:r>
              <w:rPr>
                <w:szCs w:val="24"/>
                <w:lang w:eastAsia="ru-RU"/>
              </w:rPr>
              <w:t xml:space="preserve"> </w:t>
            </w:r>
          </w:p>
        </w:tc>
      </w:tr>
      <w:tr w:rsidR="00D71DD0" w:rsidRPr="0030741F" w14:paraId="7671FC3B" w14:textId="77777777" w:rsidTr="00EC1C67">
        <w:trPr>
          <w:jc w:val="center"/>
        </w:trPr>
        <w:tc>
          <w:tcPr>
            <w:tcW w:w="2220" w:type="dxa"/>
          </w:tcPr>
          <w:p w14:paraId="6D9870ED" w14:textId="77777777" w:rsidR="00D71DD0" w:rsidRPr="0030741F" w:rsidRDefault="00D71DD0" w:rsidP="00EC1C67">
            <w:pPr>
              <w:tabs>
                <w:tab w:val="left" w:pos="0"/>
              </w:tabs>
              <w:ind w:left="57" w:right="57" w:firstLine="0"/>
              <w:rPr>
                <w:szCs w:val="24"/>
                <w:lang w:eastAsia="ru-RU"/>
              </w:rPr>
            </w:pPr>
            <w:r w:rsidRPr="0030741F">
              <w:rPr>
                <w:szCs w:val="24"/>
                <w:lang w:eastAsia="ru-RU"/>
              </w:rPr>
              <w:t>Ондансетрон</w:t>
            </w:r>
          </w:p>
        </w:tc>
        <w:tc>
          <w:tcPr>
            <w:tcW w:w="2756" w:type="dxa"/>
          </w:tcPr>
          <w:p w14:paraId="0C313700" w14:textId="77777777" w:rsidR="00D71DD0" w:rsidRPr="0030741F" w:rsidRDefault="00D71DD0" w:rsidP="00EC1C67">
            <w:pPr>
              <w:tabs>
                <w:tab w:val="left" w:pos="0"/>
              </w:tabs>
              <w:ind w:left="57" w:right="57" w:firstLine="0"/>
              <w:rPr>
                <w:szCs w:val="24"/>
                <w:lang w:eastAsia="ru-RU"/>
              </w:rPr>
            </w:pPr>
            <w:r w:rsidRPr="0030741F">
              <w:rPr>
                <w:szCs w:val="24"/>
                <w:lang w:eastAsia="ru-RU"/>
              </w:rPr>
              <w:t>8</w:t>
            </w:r>
          </w:p>
          <w:p w14:paraId="5717BB10" w14:textId="77777777" w:rsidR="00D71DD0" w:rsidRDefault="00D71DD0" w:rsidP="00EC1C67">
            <w:pPr>
              <w:tabs>
                <w:tab w:val="left" w:pos="0"/>
              </w:tabs>
              <w:ind w:left="57" w:right="57" w:firstLine="0"/>
              <w:rPr>
                <w:szCs w:val="24"/>
                <w:lang w:eastAsia="ru-RU"/>
              </w:rPr>
            </w:pPr>
            <w:r w:rsidRPr="0030741F">
              <w:rPr>
                <w:szCs w:val="24"/>
                <w:lang w:eastAsia="ru-RU"/>
              </w:rPr>
              <w:t xml:space="preserve">16 </w:t>
            </w:r>
          </w:p>
          <w:p w14:paraId="44703A44" w14:textId="77777777" w:rsidR="00D71DD0" w:rsidRPr="0030741F" w:rsidRDefault="00D71DD0" w:rsidP="00EC1C67">
            <w:pPr>
              <w:tabs>
                <w:tab w:val="left" w:pos="0"/>
              </w:tabs>
              <w:ind w:left="57" w:right="57" w:firstLine="0"/>
              <w:rPr>
                <w:szCs w:val="24"/>
                <w:lang w:eastAsia="ru-RU"/>
              </w:rPr>
            </w:pPr>
            <w:r>
              <w:rPr>
                <w:szCs w:val="24"/>
                <w:lang w:eastAsia="ru-RU"/>
              </w:rPr>
              <w:t>8</w:t>
            </w:r>
          </w:p>
        </w:tc>
        <w:tc>
          <w:tcPr>
            <w:tcW w:w="3557" w:type="dxa"/>
          </w:tcPr>
          <w:p w14:paraId="20781A4C" w14:textId="77777777" w:rsidR="00D71DD0" w:rsidRPr="00C36F88" w:rsidRDefault="00D71DD0" w:rsidP="00EC1C67">
            <w:pPr>
              <w:tabs>
                <w:tab w:val="left" w:pos="0"/>
              </w:tabs>
              <w:ind w:left="57" w:right="57" w:firstLine="0"/>
              <w:rPr>
                <w:szCs w:val="24"/>
                <w:lang w:eastAsia="ru-RU"/>
              </w:rPr>
            </w:pPr>
            <w:r w:rsidRPr="00C36F88">
              <w:rPr>
                <w:szCs w:val="24"/>
                <w:lang w:eastAsia="ru-RU"/>
              </w:rPr>
              <w:t xml:space="preserve">в/в </w:t>
            </w:r>
          </w:p>
          <w:p w14:paraId="3A95960C" w14:textId="77777777" w:rsidR="00D71DD0" w:rsidRPr="00C36F88" w:rsidRDefault="00D71DD0" w:rsidP="00EC1C67">
            <w:pPr>
              <w:tabs>
                <w:tab w:val="left" w:pos="0"/>
              </w:tabs>
              <w:ind w:left="57" w:right="57" w:firstLine="0"/>
              <w:rPr>
                <w:szCs w:val="24"/>
                <w:lang w:eastAsia="ru-RU"/>
              </w:rPr>
            </w:pPr>
            <w:r w:rsidRPr="00C36F88">
              <w:rPr>
                <w:szCs w:val="24"/>
                <w:lang w:eastAsia="ru-RU"/>
              </w:rPr>
              <w:t>внутрь</w:t>
            </w:r>
          </w:p>
          <w:p w14:paraId="17AA2C4B" w14:textId="77777777" w:rsidR="00D71DD0" w:rsidRPr="00C36F88" w:rsidRDefault="00D71DD0" w:rsidP="00EC1C67">
            <w:pPr>
              <w:tabs>
                <w:tab w:val="left" w:pos="0"/>
              </w:tabs>
              <w:ind w:left="57" w:right="57" w:firstLine="0"/>
              <w:rPr>
                <w:szCs w:val="24"/>
                <w:lang w:eastAsia="ru-RU"/>
              </w:rPr>
            </w:pPr>
            <w:r w:rsidRPr="00C36F88">
              <w:rPr>
                <w:szCs w:val="24"/>
                <w:lang w:eastAsia="ru-RU"/>
              </w:rPr>
              <w:t>суппозитории ректальные</w:t>
            </w:r>
          </w:p>
        </w:tc>
      </w:tr>
      <w:tr w:rsidR="00D71DD0" w:rsidRPr="0030741F" w14:paraId="41CEADA7" w14:textId="77777777" w:rsidTr="00EC1C67">
        <w:trPr>
          <w:jc w:val="center"/>
        </w:trPr>
        <w:tc>
          <w:tcPr>
            <w:tcW w:w="2220" w:type="dxa"/>
          </w:tcPr>
          <w:p w14:paraId="0DE64C1D" w14:textId="77777777" w:rsidR="00D71DD0" w:rsidRPr="0030741F" w:rsidRDefault="00D71DD0" w:rsidP="00EC1C67">
            <w:pPr>
              <w:tabs>
                <w:tab w:val="left" w:pos="0"/>
              </w:tabs>
              <w:ind w:left="57" w:right="57" w:firstLine="0"/>
              <w:rPr>
                <w:szCs w:val="24"/>
                <w:lang w:eastAsia="ru-RU"/>
              </w:rPr>
            </w:pPr>
            <w:r w:rsidRPr="0030741F">
              <w:rPr>
                <w:szCs w:val="24"/>
                <w:lang w:eastAsia="ru-RU"/>
              </w:rPr>
              <w:t>Гранисетрон</w:t>
            </w:r>
          </w:p>
        </w:tc>
        <w:tc>
          <w:tcPr>
            <w:tcW w:w="2756" w:type="dxa"/>
          </w:tcPr>
          <w:p w14:paraId="57029E92" w14:textId="77777777" w:rsidR="00D71DD0" w:rsidRPr="0030741F" w:rsidRDefault="00D71DD0" w:rsidP="00EC1C67">
            <w:pPr>
              <w:tabs>
                <w:tab w:val="left" w:pos="0"/>
              </w:tabs>
              <w:ind w:left="57" w:right="57" w:firstLine="0"/>
              <w:rPr>
                <w:szCs w:val="24"/>
                <w:lang w:eastAsia="ru-RU"/>
              </w:rPr>
            </w:pPr>
            <w:r w:rsidRPr="0030741F">
              <w:rPr>
                <w:szCs w:val="24"/>
                <w:lang w:eastAsia="ru-RU"/>
              </w:rPr>
              <w:t>1-3</w:t>
            </w:r>
          </w:p>
          <w:p w14:paraId="1A8A1D0F" w14:textId="77777777" w:rsidR="00D71DD0" w:rsidRPr="0030741F" w:rsidRDefault="00D71DD0" w:rsidP="00EC1C67">
            <w:pPr>
              <w:tabs>
                <w:tab w:val="left" w:pos="0"/>
              </w:tabs>
              <w:ind w:left="57" w:right="57" w:firstLine="0"/>
              <w:rPr>
                <w:szCs w:val="24"/>
                <w:lang w:eastAsia="ru-RU"/>
              </w:rPr>
            </w:pPr>
            <w:r w:rsidRPr="0030741F">
              <w:rPr>
                <w:szCs w:val="24"/>
                <w:lang w:eastAsia="ru-RU"/>
              </w:rPr>
              <w:t>2</w:t>
            </w:r>
          </w:p>
        </w:tc>
        <w:tc>
          <w:tcPr>
            <w:tcW w:w="3557" w:type="dxa"/>
          </w:tcPr>
          <w:p w14:paraId="3F899002" w14:textId="77777777" w:rsidR="00D71DD0" w:rsidRPr="0030741F" w:rsidRDefault="00D71DD0" w:rsidP="00EC1C67">
            <w:pPr>
              <w:tabs>
                <w:tab w:val="left" w:pos="0"/>
              </w:tabs>
              <w:ind w:left="57" w:right="57" w:firstLine="0"/>
              <w:rPr>
                <w:szCs w:val="24"/>
                <w:lang w:eastAsia="ru-RU"/>
              </w:rPr>
            </w:pPr>
            <w:r w:rsidRPr="0030741F">
              <w:rPr>
                <w:szCs w:val="24"/>
                <w:lang w:eastAsia="ru-RU"/>
              </w:rPr>
              <w:t xml:space="preserve">в/в  </w:t>
            </w:r>
          </w:p>
          <w:p w14:paraId="1B66621D" w14:textId="77777777" w:rsidR="00D71DD0" w:rsidRPr="0030741F" w:rsidRDefault="00D71DD0" w:rsidP="00EC1C67">
            <w:pPr>
              <w:ind w:left="57" w:right="57" w:firstLine="0"/>
              <w:rPr>
                <w:szCs w:val="24"/>
              </w:rPr>
            </w:pPr>
            <w:r w:rsidRPr="0030741F">
              <w:rPr>
                <w:szCs w:val="24"/>
                <w:lang w:eastAsia="ru-RU"/>
              </w:rPr>
              <w:t>внутрь</w:t>
            </w:r>
          </w:p>
        </w:tc>
      </w:tr>
      <w:tr w:rsidR="00D71DD0" w:rsidRPr="0030741F" w14:paraId="2CCADBF0" w14:textId="77777777" w:rsidTr="00EC1C67">
        <w:trPr>
          <w:jc w:val="center"/>
        </w:trPr>
        <w:tc>
          <w:tcPr>
            <w:tcW w:w="2220" w:type="dxa"/>
          </w:tcPr>
          <w:p w14:paraId="30E8C592" w14:textId="77777777" w:rsidR="00D71DD0" w:rsidRPr="0030741F" w:rsidRDefault="00D71DD0" w:rsidP="00EC1C67">
            <w:pPr>
              <w:tabs>
                <w:tab w:val="left" w:pos="0"/>
              </w:tabs>
              <w:ind w:left="57" w:right="57" w:firstLine="0"/>
              <w:rPr>
                <w:szCs w:val="24"/>
                <w:lang w:eastAsia="ru-RU"/>
              </w:rPr>
            </w:pPr>
            <w:r w:rsidRPr="0030741F">
              <w:rPr>
                <w:szCs w:val="24"/>
                <w:lang w:eastAsia="ru-RU"/>
              </w:rPr>
              <w:t>Трописетрон</w:t>
            </w:r>
          </w:p>
        </w:tc>
        <w:tc>
          <w:tcPr>
            <w:tcW w:w="2756" w:type="dxa"/>
          </w:tcPr>
          <w:p w14:paraId="6CF04D13" w14:textId="77777777" w:rsidR="00D71DD0" w:rsidRPr="0030741F" w:rsidRDefault="00D71DD0" w:rsidP="00EC1C67">
            <w:pPr>
              <w:tabs>
                <w:tab w:val="left" w:pos="0"/>
              </w:tabs>
              <w:ind w:left="57" w:right="57" w:firstLine="0"/>
              <w:rPr>
                <w:szCs w:val="24"/>
                <w:lang w:eastAsia="ru-RU"/>
              </w:rPr>
            </w:pPr>
            <w:r w:rsidRPr="0030741F">
              <w:rPr>
                <w:szCs w:val="24"/>
                <w:lang w:eastAsia="ru-RU"/>
              </w:rPr>
              <w:t xml:space="preserve">5 </w:t>
            </w:r>
          </w:p>
        </w:tc>
        <w:tc>
          <w:tcPr>
            <w:tcW w:w="3557" w:type="dxa"/>
          </w:tcPr>
          <w:p w14:paraId="59C9C657" w14:textId="77777777" w:rsidR="00D71DD0" w:rsidRPr="0030741F" w:rsidRDefault="00D71DD0" w:rsidP="00EC1C67">
            <w:pPr>
              <w:ind w:left="57" w:right="57" w:firstLine="0"/>
              <w:rPr>
                <w:szCs w:val="24"/>
              </w:rPr>
            </w:pPr>
            <w:r w:rsidRPr="0030741F">
              <w:rPr>
                <w:szCs w:val="24"/>
                <w:lang w:eastAsia="ru-RU"/>
              </w:rPr>
              <w:t>в/в или внутрь</w:t>
            </w:r>
          </w:p>
        </w:tc>
      </w:tr>
      <w:tr w:rsidR="00D71DD0" w:rsidRPr="0030741F" w14:paraId="0366D24D" w14:textId="77777777" w:rsidTr="00EC1C67">
        <w:trPr>
          <w:jc w:val="center"/>
        </w:trPr>
        <w:tc>
          <w:tcPr>
            <w:tcW w:w="2220" w:type="dxa"/>
          </w:tcPr>
          <w:p w14:paraId="7D6441FA" w14:textId="77777777" w:rsidR="00D71DD0" w:rsidRPr="0030741F" w:rsidRDefault="00D71DD0" w:rsidP="00EC1C67">
            <w:pPr>
              <w:tabs>
                <w:tab w:val="left" w:pos="0"/>
              </w:tabs>
              <w:ind w:left="57" w:right="57" w:firstLine="0"/>
              <w:rPr>
                <w:szCs w:val="24"/>
                <w:lang w:eastAsia="ru-RU"/>
              </w:rPr>
            </w:pPr>
            <w:r w:rsidRPr="0030741F">
              <w:rPr>
                <w:szCs w:val="24"/>
              </w:rPr>
              <w:t>Палоносетрон</w:t>
            </w:r>
          </w:p>
        </w:tc>
        <w:tc>
          <w:tcPr>
            <w:tcW w:w="2756" w:type="dxa"/>
          </w:tcPr>
          <w:p w14:paraId="0A441214" w14:textId="77777777" w:rsidR="00D71DD0" w:rsidRPr="0030741F" w:rsidRDefault="00D71DD0" w:rsidP="00EC1C67">
            <w:pPr>
              <w:tabs>
                <w:tab w:val="left" w:pos="0"/>
              </w:tabs>
              <w:ind w:left="57" w:right="57" w:firstLine="0"/>
              <w:rPr>
                <w:szCs w:val="24"/>
                <w:lang w:eastAsia="ru-RU"/>
              </w:rPr>
            </w:pPr>
            <w:r w:rsidRPr="0030741F">
              <w:rPr>
                <w:szCs w:val="24"/>
                <w:lang w:eastAsia="ru-RU"/>
              </w:rPr>
              <w:t>0,25</w:t>
            </w:r>
          </w:p>
        </w:tc>
        <w:tc>
          <w:tcPr>
            <w:tcW w:w="3557" w:type="dxa"/>
          </w:tcPr>
          <w:p w14:paraId="70763F49" w14:textId="77777777" w:rsidR="00D71DD0" w:rsidRPr="0030741F" w:rsidRDefault="00D71DD0" w:rsidP="00EC1C67">
            <w:pPr>
              <w:ind w:left="57" w:right="57" w:firstLine="0"/>
              <w:rPr>
                <w:szCs w:val="24"/>
              </w:rPr>
            </w:pPr>
            <w:r w:rsidRPr="0030741F">
              <w:rPr>
                <w:szCs w:val="24"/>
                <w:lang w:eastAsia="ru-RU"/>
              </w:rPr>
              <w:t>в/в</w:t>
            </w:r>
          </w:p>
        </w:tc>
      </w:tr>
    </w:tbl>
    <w:p w14:paraId="1A9E9457" w14:textId="77777777" w:rsidR="00D71DD0" w:rsidRPr="0030741F" w:rsidRDefault="00D71DD0" w:rsidP="00D71DD0"/>
    <w:p w14:paraId="50AD8234" w14:textId="77777777" w:rsidR="00D71DD0" w:rsidRPr="0030741F" w:rsidRDefault="00D71DD0" w:rsidP="00A72B1B">
      <w:pPr>
        <w:pStyle w:val="afd"/>
        <w:numPr>
          <w:ilvl w:val="0"/>
          <w:numId w:val="36"/>
        </w:numPr>
        <w:contextualSpacing w:val="0"/>
      </w:pPr>
      <w:r w:rsidRPr="00E04057">
        <w:rPr>
          <w:i/>
          <w:iCs/>
        </w:rPr>
        <w:t>Кортикостероиды</w:t>
      </w:r>
      <w:r>
        <w:t>.</w:t>
      </w:r>
      <w:r w:rsidRPr="00E04057">
        <w:t xml:space="preserve"> </w:t>
      </w:r>
      <w:r>
        <w:t>Если схема ХТ содержит кортикостероиды, дополнительного назначения дексаметазона с противорвотной целью не требуется. Добавление дексаметазона к антагонистам серотониновых рецепторов позволяет уменьшить риск появления острой тошноты и рвоты и предотвращает развитие отсроченной тошноты и рвоты. Кроме того, он обладает самостоятельной противорвотной активностью и может использоваться в монотерапии для профилактики острой рвоты после введения низкоэметогенных цитостатиков. Препарат назначается в дозе 12 мг внутривенно однократно за 30–60 минут до ХТ. В случае высокоэметогенной терапии в последующие дни назначается внутрь в дозе 8 мг два раза в сутки, продолжительностью до 5 дней.</w:t>
      </w:r>
    </w:p>
    <w:p w14:paraId="2B68F25D" w14:textId="0D8E674A" w:rsidR="00D71DD0" w:rsidRDefault="00D71DD0" w:rsidP="00A72B1B">
      <w:pPr>
        <w:pStyle w:val="afd"/>
        <w:numPr>
          <w:ilvl w:val="0"/>
          <w:numId w:val="36"/>
        </w:numPr>
        <w:contextualSpacing w:val="0"/>
      </w:pPr>
      <w:r w:rsidRPr="00E04057">
        <w:rPr>
          <w:i/>
          <w:iCs/>
        </w:rPr>
        <w:t>Антагонисты рецепторов нейрокинина-1 (NK-1)</w:t>
      </w:r>
      <w:r>
        <w:t xml:space="preserve">. В эту группу препаратов входят апрепитант и фосапрепитант. Апрепитант – селективный высокоаффинный антагонист рецепторов NK-1 центрального механизма действия (за счет связывания с NK1-рецепторами головного мозга). Центральное действие апрепитанта обладает большой продолжительностью, причем он ингибирует как острую, так и отсроченную фазы рвоты, а также повышает противорвотную </w:t>
      </w:r>
      <w:r>
        <w:lastRenderedPageBreak/>
        <w:t>активность антагонистов 5-НТ3-рецепторов (например, ондансетрона) и глюкокортикостероидов (дексаметазона).  Антагонисты NK1-рецепторов являются умеренными ингибиторами CYP3A4, что необходимо учитывать при одновременном использовании препаратов, метаболизируемых этой же системой (так, апрепитант снижает эффективность гормональных контрацептивов, в связи с чем, необходимо использовать альтернативные методы контрацепции; апрепитант повышает концентрацию кортикостероидов, в связи с чем в комбинации с апрепитантом доза дексаметазона должна быть снижена приблизительно на 50%; у пациентов, поручающих варфарин, необходимо дополнительно контролировать уровень международного нормализованного отношения). Антагонисты NK1-рецепторов применяют в комбинации с кортикостероидами и антагонистами серотониновых 5-НТ3-рецепторов. Апрепитант принимается за час до ХТ, фосапрепитант вводится за 30 минут до ХТ в дозах, представленных в таблице 7.</w:t>
      </w:r>
      <w:r w:rsidR="00EF3174">
        <w:t>6</w:t>
      </w:r>
      <w:r>
        <w:t>.3.</w:t>
      </w:r>
    </w:p>
    <w:p w14:paraId="74269BB8" w14:textId="77777777" w:rsidR="00D71DD0" w:rsidRDefault="00D71DD0" w:rsidP="00D71DD0">
      <w:pPr>
        <w:ind w:firstLine="0"/>
        <w:rPr>
          <w:bCs/>
          <w:szCs w:val="24"/>
        </w:rPr>
      </w:pPr>
    </w:p>
    <w:p w14:paraId="0830DC0E" w14:textId="19728929" w:rsidR="00D71DD0" w:rsidRPr="008578C0" w:rsidRDefault="00D71DD0" w:rsidP="00D71DD0">
      <w:pPr>
        <w:ind w:firstLine="0"/>
        <w:rPr>
          <w:bCs/>
          <w:szCs w:val="24"/>
          <w:lang w:eastAsia="ru-RU"/>
        </w:rPr>
      </w:pPr>
      <w:r w:rsidRPr="008578C0">
        <w:rPr>
          <w:bCs/>
          <w:szCs w:val="24"/>
        </w:rPr>
        <w:t xml:space="preserve">Таблица </w:t>
      </w:r>
      <w:r>
        <w:rPr>
          <w:bCs/>
          <w:szCs w:val="24"/>
        </w:rPr>
        <w:t>7.</w:t>
      </w:r>
      <w:r w:rsidR="00EF3174">
        <w:rPr>
          <w:bCs/>
          <w:szCs w:val="24"/>
        </w:rPr>
        <w:t>6</w:t>
      </w:r>
      <w:r>
        <w:rPr>
          <w:bCs/>
          <w:szCs w:val="24"/>
        </w:rPr>
        <w:t>.3</w:t>
      </w:r>
      <w:r w:rsidRPr="008578C0">
        <w:rPr>
          <w:bCs/>
          <w:szCs w:val="24"/>
        </w:rPr>
        <w:t xml:space="preserve">. Режим дозирования антагонистов </w:t>
      </w:r>
      <w:r w:rsidRPr="008578C0">
        <w:rPr>
          <w:bCs/>
          <w:szCs w:val="24"/>
          <w:lang w:eastAsia="ru-RU"/>
        </w:rPr>
        <w:t>NK1-рецепторов</w:t>
      </w:r>
    </w:p>
    <w:tbl>
      <w:tblPr>
        <w:tblStyle w:val="aff8"/>
        <w:tblW w:w="0" w:type="auto"/>
        <w:jc w:val="center"/>
        <w:tblLook w:val="04A0" w:firstRow="1" w:lastRow="0" w:firstColumn="1" w:lastColumn="0" w:noHBand="0" w:noVBand="1"/>
      </w:tblPr>
      <w:tblGrid>
        <w:gridCol w:w="2263"/>
        <w:gridCol w:w="2103"/>
        <w:gridCol w:w="4701"/>
      </w:tblGrid>
      <w:tr w:rsidR="00D71DD0" w:rsidRPr="003F4776" w14:paraId="6F71F8F7" w14:textId="77777777" w:rsidTr="00EC1C67">
        <w:trPr>
          <w:jc w:val="center"/>
        </w:trPr>
        <w:tc>
          <w:tcPr>
            <w:tcW w:w="2263" w:type="dxa"/>
          </w:tcPr>
          <w:p w14:paraId="5576C274" w14:textId="77777777" w:rsidR="00D71DD0" w:rsidRPr="003F4776" w:rsidRDefault="00D71DD0" w:rsidP="00EC1C67">
            <w:pPr>
              <w:tabs>
                <w:tab w:val="left" w:pos="0"/>
              </w:tabs>
              <w:ind w:left="57" w:right="57" w:firstLine="0"/>
              <w:rPr>
                <w:bCs/>
                <w:szCs w:val="24"/>
                <w:lang w:eastAsia="ru-RU"/>
              </w:rPr>
            </w:pPr>
            <w:r w:rsidRPr="003F4776">
              <w:rPr>
                <w:bCs/>
                <w:szCs w:val="24"/>
                <w:lang w:eastAsia="ru-RU"/>
              </w:rPr>
              <w:t>Препарат</w:t>
            </w:r>
          </w:p>
        </w:tc>
        <w:tc>
          <w:tcPr>
            <w:tcW w:w="2103" w:type="dxa"/>
          </w:tcPr>
          <w:p w14:paraId="480EACEA" w14:textId="77777777" w:rsidR="00D71DD0" w:rsidRPr="003F4776" w:rsidRDefault="00D71DD0" w:rsidP="00EC1C67">
            <w:pPr>
              <w:tabs>
                <w:tab w:val="left" w:pos="0"/>
              </w:tabs>
              <w:ind w:left="57" w:right="57" w:firstLine="0"/>
              <w:rPr>
                <w:bCs/>
                <w:szCs w:val="24"/>
                <w:lang w:eastAsia="ru-RU"/>
              </w:rPr>
            </w:pPr>
            <w:r w:rsidRPr="003F4776">
              <w:rPr>
                <w:bCs/>
                <w:szCs w:val="24"/>
                <w:lang w:eastAsia="ru-RU"/>
              </w:rPr>
              <w:t>Разовая доза, мг</w:t>
            </w:r>
          </w:p>
        </w:tc>
        <w:tc>
          <w:tcPr>
            <w:tcW w:w="4701" w:type="dxa"/>
          </w:tcPr>
          <w:p w14:paraId="760C5F80" w14:textId="77777777" w:rsidR="00D71DD0" w:rsidRPr="003F4776" w:rsidRDefault="00D71DD0" w:rsidP="00EC1C67">
            <w:pPr>
              <w:tabs>
                <w:tab w:val="left" w:pos="0"/>
              </w:tabs>
              <w:ind w:left="57" w:right="57" w:firstLine="0"/>
              <w:rPr>
                <w:bCs/>
                <w:szCs w:val="24"/>
                <w:lang w:eastAsia="ru-RU"/>
              </w:rPr>
            </w:pPr>
            <w:r w:rsidRPr="003F4776">
              <w:rPr>
                <w:bCs/>
                <w:szCs w:val="24"/>
                <w:lang w:eastAsia="ru-RU"/>
              </w:rPr>
              <w:t xml:space="preserve">Способ применения  / </w:t>
            </w:r>
          </w:p>
          <w:p w14:paraId="53B8B12D" w14:textId="77777777" w:rsidR="00D71DD0" w:rsidRPr="003F4776" w:rsidRDefault="00D71DD0" w:rsidP="00EC1C67">
            <w:pPr>
              <w:tabs>
                <w:tab w:val="left" w:pos="0"/>
              </w:tabs>
              <w:ind w:left="57" w:right="57" w:firstLine="0"/>
              <w:rPr>
                <w:bCs/>
                <w:szCs w:val="24"/>
                <w:lang w:eastAsia="ru-RU"/>
              </w:rPr>
            </w:pPr>
            <w:r w:rsidRPr="003F4776">
              <w:rPr>
                <w:bCs/>
                <w:szCs w:val="24"/>
                <w:lang w:eastAsia="ru-RU"/>
              </w:rPr>
              <w:t>Режим дозирования</w:t>
            </w:r>
          </w:p>
        </w:tc>
      </w:tr>
      <w:tr w:rsidR="00D71DD0" w:rsidRPr="0030741F" w14:paraId="23323DE2" w14:textId="77777777" w:rsidTr="00EC1C67">
        <w:trPr>
          <w:jc w:val="center"/>
        </w:trPr>
        <w:tc>
          <w:tcPr>
            <w:tcW w:w="2263" w:type="dxa"/>
          </w:tcPr>
          <w:p w14:paraId="026911F9" w14:textId="77777777" w:rsidR="00D71DD0" w:rsidRPr="0030741F" w:rsidRDefault="00D71DD0" w:rsidP="00EC1C67">
            <w:pPr>
              <w:tabs>
                <w:tab w:val="left" w:pos="0"/>
              </w:tabs>
              <w:ind w:left="57" w:right="57" w:firstLine="0"/>
              <w:rPr>
                <w:szCs w:val="24"/>
                <w:lang w:eastAsia="ru-RU"/>
              </w:rPr>
            </w:pPr>
            <w:r w:rsidRPr="0030741F">
              <w:rPr>
                <w:szCs w:val="24"/>
                <w:lang w:eastAsia="ru-RU"/>
              </w:rPr>
              <w:t>Апрепитант</w:t>
            </w:r>
          </w:p>
        </w:tc>
        <w:tc>
          <w:tcPr>
            <w:tcW w:w="2103" w:type="dxa"/>
          </w:tcPr>
          <w:p w14:paraId="13E322D9" w14:textId="77777777" w:rsidR="00D71DD0" w:rsidRPr="0030741F" w:rsidRDefault="00D71DD0" w:rsidP="00EC1C67">
            <w:pPr>
              <w:tabs>
                <w:tab w:val="left" w:pos="0"/>
              </w:tabs>
              <w:ind w:left="57" w:right="57" w:firstLine="0"/>
              <w:rPr>
                <w:szCs w:val="24"/>
                <w:lang w:eastAsia="ru-RU"/>
              </w:rPr>
            </w:pPr>
            <w:r w:rsidRPr="0030741F">
              <w:rPr>
                <w:szCs w:val="24"/>
                <w:lang w:eastAsia="ru-RU"/>
              </w:rPr>
              <w:t xml:space="preserve">125  </w:t>
            </w:r>
          </w:p>
          <w:p w14:paraId="0BBCAAD1" w14:textId="77777777" w:rsidR="00D71DD0" w:rsidRPr="0030741F" w:rsidRDefault="00D71DD0" w:rsidP="00EC1C67">
            <w:pPr>
              <w:tabs>
                <w:tab w:val="left" w:pos="0"/>
              </w:tabs>
              <w:ind w:left="57" w:right="57" w:firstLine="0"/>
              <w:rPr>
                <w:szCs w:val="24"/>
                <w:lang w:eastAsia="ru-RU"/>
              </w:rPr>
            </w:pPr>
            <w:r w:rsidRPr="0030741F">
              <w:rPr>
                <w:szCs w:val="24"/>
                <w:lang w:eastAsia="ru-RU"/>
              </w:rPr>
              <w:t xml:space="preserve">80 </w:t>
            </w:r>
          </w:p>
        </w:tc>
        <w:tc>
          <w:tcPr>
            <w:tcW w:w="4701" w:type="dxa"/>
          </w:tcPr>
          <w:p w14:paraId="5FF1BF15" w14:textId="77777777" w:rsidR="00D71DD0" w:rsidRPr="0030741F" w:rsidRDefault="00D71DD0" w:rsidP="00EC1C67">
            <w:pPr>
              <w:tabs>
                <w:tab w:val="left" w:pos="0"/>
              </w:tabs>
              <w:ind w:left="57" w:right="57" w:firstLine="0"/>
              <w:rPr>
                <w:szCs w:val="24"/>
                <w:lang w:eastAsia="ru-RU"/>
              </w:rPr>
            </w:pPr>
            <w:r w:rsidRPr="0030741F">
              <w:rPr>
                <w:szCs w:val="24"/>
                <w:lang w:eastAsia="ru-RU"/>
              </w:rPr>
              <w:t>Внутрь в 1 день</w:t>
            </w:r>
          </w:p>
          <w:p w14:paraId="583C7A72" w14:textId="77777777" w:rsidR="00D71DD0" w:rsidRPr="0030741F" w:rsidRDefault="00D71DD0" w:rsidP="00EC1C67">
            <w:pPr>
              <w:tabs>
                <w:tab w:val="left" w:pos="0"/>
              </w:tabs>
              <w:ind w:left="57" w:right="57" w:firstLine="0"/>
              <w:rPr>
                <w:szCs w:val="24"/>
                <w:lang w:eastAsia="ru-RU"/>
              </w:rPr>
            </w:pPr>
            <w:r w:rsidRPr="0030741F">
              <w:rPr>
                <w:szCs w:val="24"/>
                <w:lang w:eastAsia="ru-RU"/>
              </w:rPr>
              <w:t xml:space="preserve">Внутрь во 2 и </w:t>
            </w:r>
            <w:r>
              <w:rPr>
                <w:szCs w:val="24"/>
                <w:lang w:eastAsia="ru-RU"/>
              </w:rPr>
              <w:t>3</w:t>
            </w:r>
            <w:r w:rsidRPr="0030741F">
              <w:rPr>
                <w:szCs w:val="24"/>
                <w:lang w:eastAsia="ru-RU"/>
              </w:rPr>
              <w:t xml:space="preserve"> дни </w:t>
            </w:r>
            <w:r>
              <w:rPr>
                <w:szCs w:val="24"/>
                <w:lang w:eastAsia="ru-RU"/>
              </w:rPr>
              <w:t>П</w:t>
            </w:r>
            <w:r w:rsidRPr="0030741F">
              <w:rPr>
                <w:szCs w:val="24"/>
                <w:lang w:eastAsia="ru-RU"/>
              </w:rPr>
              <w:t>ХТ</w:t>
            </w:r>
          </w:p>
        </w:tc>
      </w:tr>
      <w:tr w:rsidR="00D71DD0" w:rsidRPr="0030741F" w14:paraId="4AF6E029" w14:textId="77777777" w:rsidTr="00EC1C67">
        <w:trPr>
          <w:jc w:val="center"/>
        </w:trPr>
        <w:tc>
          <w:tcPr>
            <w:tcW w:w="2263" w:type="dxa"/>
          </w:tcPr>
          <w:p w14:paraId="597CD21B" w14:textId="77777777" w:rsidR="00D71DD0" w:rsidRPr="0030741F" w:rsidRDefault="00D71DD0" w:rsidP="00EC1C67">
            <w:pPr>
              <w:tabs>
                <w:tab w:val="left" w:pos="0"/>
              </w:tabs>
              <w:ind w:left="57" w:right="57" w:firstLine="0"/>
              <w:rPr>
                <w:szCs w:val="24"/>
                <w:lang w:eastAsia="ru-RU"/>
              </w:rPr>
            </w:pPr>
            <w:r w:rsidRPr="0030741F">
              <w:rPr>
                <w:bCs/>
                <w:szCs w:val="24"/>
              </w:rPr>
              <w:t>Фосапрепитант</w:t>
            </w:r>
          </w:p>
        </w:tc>
        <w:tc>
          <w:tcPr>
            <w:tcW w:w="2103" w:type="dxa"/>
          </w:tcPr>
          <w:p w14:paraId="249528D5" w14:textId="77777777" w:rsidR="00D71DD0" w:rsidRPr="0030741F" w:rsidRDefault="00D71DD0" w:rsidP="00EC1C67">
            <w:pPr>
              <w:tabs>
                <w:tab w:val="left" w:pos="0"/>
              </w:tabs>
              <w:ind w:left="57" w:right="57" w:firstLine="0"/>
              <w:rPr>
                <w:szCs w:val="24"/>
                <w:lang w:eastAsia="ru-RU"/>
              </w:rPr>
            </w:pPr>
            <w:r w:rsidRPr="0030741F">
              <w:rPr>
                <w:szCs w:val="24"/>
                <w:lang w:eastAsia="ru-RU"/>
              </w:rPr>
              <w:t>150</w:t>
            </w:r>
          </w:p>
        </w:tc>
        <w:tc>
          <w:tcPr>
            <w:tcW w:w="4701" w:type="dxa"/>
          </w:tcPr>
          <w:p w14:paraId="094C30C0" w14:textId="77777777" w:rsidR="00D71DD0" w:rsidRPr="0030741F" w:rsidRDefault="00D71DD0" w:rsidP="00EC1C67">
            <w:pPr>
              <w:tabs>
                <w:tab w:val="left" w:pos="0"/>
              </w:tabs>
              <w:ind w:left="57" w:right="57" w:firstLine="0"/>
              <w:rPr>
                <w:szCs w:val="24"/>
              </w:rPr>
            </w:pPr>
            <w:r w:rsidRPr="0030741F">
              <w:rPr>
                <w:szCs w:val="24"/>
                <w:lang w:eastAsia="ru-RU"/>
              </w:rPr>
              <w:t>В/в однократно</w:t>
            </w:r>
          </w:p>
        </w:tc>
      </w:tr>
    </w:tbl>
    <w:p w14:paraId="7C025763" w14:textId="77777777" w:rsidR="00D71DD0" w:rsidRPr="0030741F" w:rsidRDefault="00D71DD0" w:rsidP="00D71DD0">
      <w:pPr>
        <w:pStyle w:val="afd"/>
        <w:ind w:left="1069" w:firstLine="0"/>
      </w:pPr>
    </w:p>
    <w:p w14:paraId="00DF70A6" w14:textId="77777777" w:rsidR="00D71DD0" w:rsidRPr="0030741F" w:rsidRDefault="00D71DD0" w:rsidP="00A72B1B">
      <w:pPr>
        <w:pStyle w:val="afd"/>
        <w:numPr>
          <w:ilvl w:val="0"/>
          <w:numId w:val="36"/>
        </w:numPr>
        <w:contextualSpacing w:val="0"/>
      </w:pPr>
      <w:r w:rsidRPr="003F4776">
        <w:rPr>
          <w:i/>
          <w:iCs/>
        </w:rPr>
        <w:t>Блокаторы рецепторов допамина</w:t>
      </w:r>
      <w:r>
        <w:t xml:space="preserve">. В эту группу входят бензамиды (метоклопрамид, итоприд), фенотиазины (хлорпромазин или аминазин, прометазин, метопемазин), бутирофеноны (дроперидол, галоперидол), бензодиазепины (диазепам, лоразепам, альпрозолам). Препараты обладают седативными и анксиолитическими свойствами. Метоклопрамид, широко использовавшийся ранее в высоких дозах для профилактики острой тошноты и рвоты после высоко- и среднеэметогенной ПХТ, в настоящее время применяется реже, так как при сопоставимой эффективности с антагонистами серотониновых рецепторов имеет значительное количество выраженных побочных эффектов. Согласно международным рекомендациям, использование метоклопрамида допустимо в стандартных дозах для профилактики острой тошноты и рвоты после низкоэметогенной химиотерапии, для профилактики отсроченной рвоты в </w:t>
      </w:r>
      <w:r>
        <w:lastRenderedPageBreak/>
        <w:t>комбинации с дексаметазоном. Режим дозирования – 10 мг 1-4 раза в сутки внутривенно или внутрь. Добавление блокаторов рецепторов допамина к схеме противорвотной терапии проводится по показаниям на усмотрение лечащего врача.</w:t>
      </w:r>
    </w:p>
    <w:p w14:paraId="16F13133" w14:textId="77777777" w:rsidR="00D71DD0" w:rsidRDefault="00D71DD0" w:rsidP="00A72B1B">
      <w:pPr>
        <w:pStyle w:val="afd"/>
        <w:numPr>
          <w:ilvl w:val="0"/>
          <w:numId w:val="36"/>
        </w:numPr>
        <w:contextualSpacing w:val="0"/>
      </w:pPr>
      <w:r w:rsidRPr="000F06CA">
        <w:rPr>
          <w:i/>
          <w:iCs/>
        </w:rPr>
        <w:t>Нейролептики</w:t>
      </w:r>
      <w:r>
        <w:t xml:space="preserve">. </w:t>
      </w:r>
      <w:r w:rsidRPr="00B328AA">
        <w:t xml:space="preserve">Добавление нейролептиков к схеме противорвотной терапии проводится по показаниям на усмотрение лечащего врача (например, при возникновении неконтролируемой тошноты и рвоты – оланзапин 5–10 мг в сутки внутрь). </w:t>
      </w:r>
    </w:p>
    <w:p w14:paraId="3DF94167" w14:textId="77777777" w:rsidR="00D71DD0" w:rsidRPr="00B328AA" w:rsidRDefault="00D71DD0" w:rsidP="00D71DD0"/>
    <w:p w14:paraId="1E4EE386" w14:textId="77777777" w:rsidR="00D71DD0" w:rsidRPr="00F10383"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F10383">
        <w:rPr>
          <w:rFonts w:cs="Times New Roman"/>
          <w:bCs/>
          <w:i/>
          <w:iCs/>
          <w:u w:val="single"/>
          <w:shd w:val="clear" w:color="auto" w:fill="FFFFFF"/>
        </w:rPr>
        <w:t xml:space="preserve">Принципы профилактики и терапии тошноты и рвоты. </w:t>
      </w:r>
    </w:p>
    <w:p w14:paraId="537B5868" w14:textId="45D6A4AB" w:rsidR="00D71DD0" w:rsidRPr="00B328AA" w:rsidRDefault="00D71DD0" w:rsidP="00D71DD0">
      <w:r w:rsidRPr="00B328AA">
        <w:t>Эксперты Международной ассоциации по поддерживающему лечению в онкологии (MASCC) разработали принципы антиэметической терапии, согласно которым используются следующие алогритм и методы профилактики тошноты и рвоты</w:t>
      </w:r>
      <w:r>
        <w:t xml:space="preserve"> </w:t>
      </w:r>
      <w:r>
        <w:fldChar w:fldCharType="begin" w:fldLock="1"/>
      </w:r>
      <w:r w:rsidR="004D13EB">
        <w:instrText>ADDIN CSL_CITATION {"citationItems":[{"id":"ITEM-1","itemData":{"DOI":"10.1007/s00520-018-4464-y","ISSN":"14337339","PMID":"30284039","abstract":"Chemotherapy-induced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Cancer","id":"ITEM-1","issue":"1","issued":{"date-parts":[["2019","1","1"]]},"page":"87-95","publisher":"Springer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-2","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онкологии.","id":"ITEM-2","issued":{"date-parts":[["2018"]]},"page":"502-511","title":"Практические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[44,67]","plainTextFormattedCitation":"[44,67]","previouslyFormattedCitation":"[44,67]"},"properties":{"noteIndex":0},"schema":"https://github.com/citation-style-language/schema/raw/master/csl-citation.json"}</w:instrText>
      </w:r>
      <w:r>
        <w:fldChar w:fldCharType="separate"/>
      </w:r>
      <w:r w:rsidR="00EF3174" w:rsidRPr="00EF3174">
        <w:rPr>
          <w:noProof/>
        </w:rPr>
        <w:t>[44,67]</w:t>
      </w:r>
      <w:r>
        <w:fldChar w:fldCharType="end"/>
      </w:r>
      <w:r w:rsidRPr="00B328AA">
        <w:t xml:space="preserve">. </w:t>
      </w:r>
    </w:p>
    <w:p w14:paraId="3DFB679F" w14:textId="77777777" w:rsidR="00D71DD0" w:rsidRPr="00FB3FAC" w:rsidRDefault="00D71DD0" w:rsidP="00D71DD0">
      <w:pPr>
        <w:tabs>
          <w:tab w:val="left" w:pos="0"/>
        </w:tabs>
        <w:rPr>
          <w:bCs/>
          <w:szCs w:val="24"/>
        </w:rPr>
      </w:pPr>
      <w:r w:rsidRPr="00FB3FAC">
        <w:rPr>
          <w:bCs/>
          <w:szCs w:val="24"/>
        </w:rPr>
        <w:t>Алгоритм профилактики и терапии тошноты и рвоты:</w:t>
      </w:r>
    </w:p>
    <w:p w14:paraId="70C3106E" w14:textId="77777777" w:rsidR="00D71DD0" w:rsidRPr="00B328AA" w:rsidRDefault="00D71DD0" w:rsidP="00A72B1B">
      <w:pPr>
        <w:pStyle w:val="afd"/>
        <w:numPr>
          <w:ilvl w:val="0"/>
          <w:numId w:val="36"/>
        </w:numPr>
        <w:contextualSpacing w:val="0"/>
      </w:pPr>
      <w:r w:rsidRPr="00B328AA">
        <w:t xml:space="preserve">Определить эметогенный потенциал назначенного режима ХТ </w:t>
      </w:r>
    </w:p>
    <w:p w14:paraId="065A4BB8" w14:textId="77777777" w:rsidR="00D71DD0" w:rsidRPr="00B328AA" w:rsidRDefault="00D71DD0" w:rsidP="00A72B1B">
      <w:pPr>
        <w:pStyle w:val="afd"/>
        <w:numPr>
          <w:ilvl w:val="0"/>
          <w:numId w:val="36"/>
        </w:numPr>
        <w:contextualSpacing w:val="0"/>
      </w:pPr>
      <w:r w:rsidRPr="00B328AA">
        <w:t>Назначить профилактическую терапию, исходя из эметогенности режима ХТ, начиная с первого курса</w:t>
      </w:r>
    </w:p>
    <w:p w14:paraId="511779C8" w14:textId="77777777" w:rsidR="00D71DD0" w:rsidRPr="00B328AA" w:rsidRDefault="00D71DD0" w:rsidP="00A72B1B">
      <w:pPr>
        <w:pStyle w:val="afd"/>
        <w:numPr>
          <w:ilvl w:val="0"/>
          <w:numId w:val="36"/>
        </w:numPr>
        <w:contextualSpacing w:val="0"/>
      </w:pPr>
      <w:r w:rsidRPr="00B328AA">
        <w:t>Назначить лечение в случае развития тошноты и рвоты на фоне профилактической терапии</w:t>
      </w:r>
    </w:p>
    <w:p w14:paraId="0CA7C061" w14:textId="77777777" w:rsidR="00D71DD0" w:rsidRPr="00B328AA" w:rsidRDefault="00D71DD0" w:rsidP="00A72B1B">
      <w:pPr>
        <w:pStyle w:val="afd"/>
        <w:numPr>
          <w:ilvl w:val="0"/>
          <w:numId w:val="36"/>
        </w:numPr>
        <w:contextualSpacing w:val="0"/>
      </w:pPr>
      <w:r w:rsidRPr="00B328AA">
        <w:t>В случае развития тошноты и рвоты внести изменения в профилактическую терапию на последующих циклах ХТ</w:t>
      </w:r>
    </w:p>
    <w:p w14:paraId="1A8C1119" w14:textId="77777777" w:rsidR="00D71DD0" w:rsidRPr="00B328AA" w:rsidRDefault="00D71DD0" w:rsidP="00A72B1B">
      <w:pPr>
        <w:pStyle w:val="afd"/>
        <w:numPr>
          <w:ilvl w:val="0"/>
          <w:numId w:val="36"/>
        </w:numPr>
        <w:contextualSpacing w:val="0"/>
      </w:pPr>
      <w:r w:rsidRPr="00B328AA">
        <w:t>Критерием эффективности противорвотной терапии является полное отсутствие (полный контроль) рвоты и тошноты в течение 24 часов (период развития острой рвоты) с момента введения противоопухолевых препаратов.</w:t>
      </w:r>
    </w:p>
    <w:p w14:paraId="0A78A6FB" w14:textId="77777777" w:rsidR="00D71DD0" w:rsidRDefault="00D71DD0" w:rsidP="00D71DD0">
      <w:pPr>
        <w:tabs>
          <w:tab w:val="left" w:pos="0"/>
        </w:tabs>
        <w:rPr>
          <w:b/>
          <w:szCs w:val="24"/>
        </w:rPr>
      </w:pPr>
    </w:p>
    <w:p w14:paraId="51AA95D1" w14:textId="77777777" w:rsidR="00D71DD0" w:rsidRPr="00FB3FAC"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Профилактика острой и отсроченной тошноты и рвоты при высоко-эметогенной ХТ</w:t>
      </w:r>
    </w:p>
    <w:p w14:paraId="18425A54" w14:textId="421D9B95" w:rsidR="00D71DD0" w:rsidRPr="00B328AA" w:rsidRDefault="00D71DD0" w:rsidP="00D71DD0">
      <w:r w:rsidRPr="00B328AA">
        <w:t xml:space="preserve">Профилактика тошноты и рвоты должна начинаться до начала ХТ и проводиться не менее 2-3 дней после ее окончания. Антиэметики назначают во все дни ХТ ежедневно (исключение: палоносетрон – через день) на основе эметогенного потенциала цитостатиков, вводимых в тот или иной день. Выбор противорвотной комбинации осуществляется на основе компонента ХТ, обладающего наибольшей эметогенностью. В настоящее время наиболее эффективной антиэметической комбинацией является комбинация противорвотных препаратов, включающая антагонист NK1-рецепторов + антагонист </w:t>
      </w:r>
      <w:r w:rsidRPr="00B328AA">
        <w:lastRenderedPageBreak/>
        <w:t>рецепторов серотонина (5-HT3) + дексаметазон (не добавляют при наличии дексаметазона в схеме ХТ). Дополнительно по показаниям на усмотрение лечащего врача могут применяться бензодиазепины, блокаторы H2-рецепторов гистамина, ингибиторы протонной помпы. Может быть назначен апрепитант в дозе 125 мг в 1 день и 80 мг в последующие дни</w:t>
      </w:r>
      <w:r>
        <w:t xml:space="preserve"> </w:t>
      </w:r>
      <w:r>
        <w:fldChar w:fldCharType="begin" w:fldLock="1"/>
      </w:r>
      <w:r w:rsidR="004D13EB">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[44,46,63–67]","plainTextFormattedCitation":"[44,46,63–67]","previouslyFormattedCitation":"[44,46,63–67]"},"properties":{"noteIndex":0},"schema":"https://github.com/citation-style-language/schema/raw/master/csl-citation.json"}</w:instrText>
      </w:r>
      <w:r>
        <w:fldChar w:fldCharType="separate"/>
      </w:r>
      <w:r w:rsidR="00EF3174" w:rsidRPr="00EF3174">
        <w:rPr>
          <w:noProof/>
        </w:rPr>
        <w:t>[44,46,63–67]</w:t>
      </w:r>
      <w:r>
        <w:fldChar w:fldCharType="end"/>
      </w:r>
      <w:r w:rsidRPr="00B328AA">
        <w:t>.</w:t>
      </w:r>
    </w:p>
    <w:p w14:paraId="44901578" w14:textId="77777777" w:rsidR="00D71DD0" w:rsidRPr="0030741F" w:rsidRDefault="00D71DD0" w:rsidP="00D71DD0">
      <w:pPr>
        <w:tabs>
          <w:tab w:val="left" w:pos="0"/>
        </w:tabs>
        <w:rPr>
          <w:szCs w:val="24"/>
        </w:rPr>
      </w:pPr>
    </w:p>
    <w:p w14:paraId="669464F9" w14:textId="77777777" w:rsidR="00D71DD0" w:rsidRPr="00FB3FAC"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Профилактика острой и отсроченной тошноты и рвоты при умеренно-эметогенной ХТ</w:t>
      </w:r>
    </w:p>
    <w:p w14:paraId="65F29021" w14:textId="217D413E" w:rsidR="00D71DD0" w:rsidRPr="00B328AA" w:rsidRDefault="00D71DD0" w:rsidP="00D71DD0">
      <w:r w:rsidRPr="00B328AA">
        <w:t>Профилактика тошноты и рвоты должна начинаться до начала ХТ и проводиться при необходимости еще 2-3 дня после ее окончания. В настоящее время наиболее эффективной антиэметической комбинацией является комбинация противорвотных препаратов, включающая антагонист рецепторов серотонина (5-HT3) + дексаметазон. При некоторых умеренно-эметогенных режимах, включающих карбоплатин, рекомендовано назначение апрепитанта/фосапрепитанта в комбинации с 5-НТ3-антагонистом и дексаметазоном</w:t>
      </w:r>
      <w:r>
        <w:t xml:space="preserve"> </w:t>
      </w:r>
      <w:r>
        <w:fldChar w:fldCharType="begin" w:fldLock="1"/>
      </w:r>
      <w:r w:rsidR="004D13EB">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[44,46,63–67]","plainTextFormattedCitation":"[44,46,63–67]","previouslyFormattedCitation":"[44,46,63–67]"},"properties":{"noteIndex":0},"schema":"https://github.com/citation-style-language/schema/raw/master/csl-citation.json"}</w:instrText>
      </w:r>
      <w:r>
        <w:fldChar w:fldCharType="separate"/>
      </w:r>
      <w:r w:rsidR="00EF3174" w:rsidRPr="00EF3174">
        <w:rPr>
          <w:noProof/>
        </w:rPr>
        <w:t>[44,46,63–67]</w:t>
      </w:r>
      <w:r>
        <w:fldChar w:fldCharType="end"/>
      </w:r>
      <w:r w:rsidRPr="00B328AA">
        <w:t>.</w:t>
      </w:r>
    </w:p>
    <w:p w14:paraId="25901C81" w14:textId="77777777" w:rsidR="00D71DD0" w:rsidRDefault="00D71DD0" w:rsidP="00D71DD0">
      <w:pPr>
        <w:pStyle w:val="Normal11"/>
        <w:tabs>
          <w:tab w:val="left" w:pos="0"/>
        </w:tabs>
        <w:spacing w:before="0" w:line="360" w:lineRule="auto"/>
        <w:ind w:firstLine="699"/>
        <w:jc w:val="both"/>
        <w:rPr>
          <w:rFonts w:cs="Times New Roman"/>
          <w:bCs/>
          <w:i/>
          <w:iCs/>
          <w:u w:val="single"/>
          <w:shd w:val="clear" w:color="auto" w:fill="FFFFFF"/>
        </w:rPr>
      </w:pPr>
    </w:p>
    <w:p w14:paraId="24A24487" w14:textId="77777777" w:rsidR="00D71DD0" w:rsidRPr="00FB3FAC"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Профилактика острой и отсроченной тошноты и рвоты при низко-эметогенной и минимально-эметогенной ХТ</w:t>
      </w:r>
    </w:p>
    <w:p w14:paraId="002BA359" w14:textId="0374A0BF" w:rsidR="00D71DD0" w:rsidRPr="00B328AA" w:rsidRDefault="00D71DD0" w:rsidP="00D71DD0">
      <w:r w:rsidRPr="00B328AA">
        <w:t>Для профилактики тошноты и рвоты при химиотерапии с низкой эметогенностью следует использовать только один из препаратов: дексаметазон, антагонист 5-HT3-рецепторов или антагонист рецепторов допамина (например, метоклопрамид). При минимально-эметогенной ХТ профилактика тошноты и рвоты не требуется</w:t>
      </w:r>
      <w:r>
        <w:t xml:space="preserve"> </w:t>
      </w:r>
      <w:r>
        <w:fldChar w:fldCharType="begin" w:fldLock="1"/>
      </w:r>
      <w:r w:rsidR="004D13EB">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[44,46,63–67]","plainTextFormattedCitation":"[44,46,63–67]","previouslyFormattedCitation":"[44,46,63–67]"},"properties":{"noteIndex":0},"schema":"https://github.com/citation-style-language/schema/raw/master/csl-citation.json"}</w:instrText>
      </w:r>
      <w:r>
        <w:fldChar w:fldCharType="separate"/>
      </w:r>
      <w:r w:rsidR="00EF3174" w:rsidRPr="00EF3174">
        <w:rPr>
          <w:noProof/>
        </w:rPr>
        <w:t>[44,46,63–67]</w:t>
      </w:r>
      <w:r>
        <w:fldChar w:fldCharType="end"/>
      </w:r>
      <w:r w:rsidRPr="00B328AA">
        <w:t>.</w:t>
      </w:r>
    </w:p>
    <w:p w14:paraId="25263891" w14:textId="77777777" w:rsidR="00D71DD0" w:rsidRDefault="00D71DD0" w:rsidP="00D71DD0">
      <w:pPr>
        <w:pStyle w:val="Normal11"/>
        <w:tabs>
          <w:tab w:val="left" w:pos="0"/>
        </w:tabs>
        <w:spacing w:before="0" w:line="360" w:lineRule="auto"/>
        <w:ind w:firstLine="699"/>
        <w:jc w:val="both"/>
        <w:rPr>
          <w:rFonts w:cs="Times New Roman"/>
          <w:bCs/>
          <w:i/>
          <w:iCs/>
          <w:u w:val="single"/>
          <w:shd w:val="clear" w:color="auto" w:fill="FFFFFF"/>
        </w:rPr>
      </w:pPr>
    </w:p>
    <w:p w14:paraId="4654E519" w14:textId="77777777" w:rsidR="00D71DD0" w:rsidRPr="00FB3FAC"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 xml:space="preserve">Профилактика тошноты и рвоты при лучевой терапии </w:t>
      </w:r>
    </w:p>
    <w:p w14:paraId="41E5D0D1" w14:textId="0440971D" w:rsidR="00D71DD0" w:rsidRPr="00B328AA" w:rsidRDefault="00D71DD0" w:rsidP="00D71DD0">
      <w:r w:rsidRPr="00B328AA">
        <w:t>При облучении верхней половины туловища и конечностей в большинстве случаев антиэметическая терапия не требуется. При необходимости назначения антиэметиков эметогенный потенциал определяется по максимально эметогенному воздействию (по зоне лучевой нагрузки или по лекарственному препарату, в случае сочетания лучевой терапии и ХТ) и с учетом зоны облучения. Антиэметики (в основном антагонисты 5-НТ3-рецепторов) чаще применяют неивазивным путем (перорально, ректально) за 30-60 мин до облучения. При недостаточной эффективности антагонистов 5-НТ3-рецепторов в монотерапии возможно присоединение глюкокортикоидов</w:t>
      </w:r>
      <w:r>
        <w:t xml:space="preserve"> </w:t>
      </w:r>
      <w:r>
        <w:fldChar w:fldCharType="begin" w:fldLock="1"/>
      </w:r>
      <w:r w:rsidR="004D13EB">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[44,46,63–67]","plainTextFormattedCitation":"[44,46,63–67]","previouslyFormattedCitation":"[44,46,63–67]"},"properties":{"noteIndex":0},"schema":"https://github.com/citation-style-language/schema/raw/master/csl-citation.json"}</w:instrText>
      </w:r>
      <w:r>
        <w:fldChar w:fldCharType="separate"/>
      </w:r>
      <w:r w:rsidR="00EF3174" w:rsidRPr="00EF3174">
        <w:rPr>
          <w:noProof/>
        </w:rPr>
        <w:t>[44,46,63–67]</w:t>
      </w:r>
      <w:r>
        <w:fldChar w:fldCharType="end"/>
      </w:r>
      <w:r w:rsidRPr="00B328AA">
        <w:t>.</w:t>
      </w:r>
    </w:p>
    <w:p w14:paraId="2888A883" w14:textId="77777777" w:rsidR="00D71DD0" w:rsidRDefault="00D71DD0" w:rsidP="00D71DD0">
      <w:pPr>
        <w:pStyle w:val="Normal11"/>
        <w:tabs>
          <w:tab w:val="left" w:pos="0"/>
        </w:tabs>
        <w:spacing w:before="0" w:line="360" w:lineRule="auto"/>
        <w:ind w:firstLine="699"/>
        <w:jc w:val="both"/>
        <w:rPr>
          <w:rFonts w:cs="Times New Roman"/>
          <w:bCs/>
          <w:i/>
          <w:iCs/>
          <w:u w:val="single"/>
          <w:shd w:val="clear" w:color="auto" w:fill="FFFFFF"/>
        </w:rPr>
      </w:pPr>
    </w:p>
    <w:p w14:paraId="1DB5611D" w14:textId="77777777" w:rsidR="00D71DD0" w:rsidRPr="00FB3FAC"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Терапия неконтролируемой тошноты и рвоты</w:t>
      </w:r>
    </w:p>
    <w:p w14:paraId="525B5FDD" w14:textId="4BAAA6CC" w:rsidR="00D71DD0" w:rsidRPr="00B328AA" w:rsidRDefault="00D71DD0" w:rsidP="00D71DD0">
      <w:r w:rsidRPr="00B328AA">
        <w:lastRenderedPageBreak/>
        <w:t>При возникновении неконтролируемой тошноты и рвоты, несмотря на плановое назначение стандартной для эметогенности данного режима ХТ антиэметической схемы, необходимо исключить причины, не связанные с непосредственным назначением цитостатиков (патология ЖКТ, электролитные нарушения, гипергликемия, уремия, метастазы в головной мозг, побочное действие опиоидных анальгетиков, психофизиологические причины). В случае их исключения необходимо перевести пациента на схему профилактики с низко-эметогенного потенциала на умеренно-эметогенный и с умеренно-эметогенного на высоко-эметогенный. При возникновении неконтролируемой тошноты и рвоты на фоне стандартных противорвотных схем (без использования апрепитанта или фосапрепитанта) необходимо при последующих курсах ввести в противорвотный режим апрепитант или фосапрепитант</w:t>
      </w:r>
      <w:r>
        <w:t xml:space="preserve"> </w:t>
      </w:r>
      <w:r>
        <w:fldChar w:fldCharType="begin" w:fldLock="1"/>
      </w:r>
      <w:r w:rsidR="004D13EB">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[44,46,63–67]","plainTextFormattedCitation":"[44,46,63–67]","previouslyFormattedCitation":"[44,46,63–67]"},"properties":{"noteIndex":0},"schema":"https://github.com/citation-style-language/schema/raw/master/csl-citation.json"}</w:instrText>
      </w:r>
      <w:r>
        <w:fldChar w:fldCharType="separate"/>
      </w:r>
      <w:r w:rsidR="00EF3174" w:rsidRPr="00EF3174">
        <w:rPr>
          <w:noProof/>
        </w:rPr>
        <w:t>[44,46,63–67]</w:t>
      </w:r>
      <w:r>
        <w:fldChar w:fldCharType="end"/>
      </w:r>
      <w:r w:rsidRPr="00B328AA">
        <w:t xml:space="preserve">. </w:t>
      </w:r>
    </w:p>
    <w:p w14:paraId="16798252" w14:textId="77777777" w:rsidR="00D71DD0" w:rsidRPr="00B328AA" w:rsidRDefault="00D71DD0" w:rsidP="00D71DD0">
      <w:r w:rsidRPr="00B328AA">
        <w:t>Развитие неконтролируемой или рефрактерной рвоты может развиться у пациентов с так называемым сверхбыстрым метаболическим фенотипом (ускоренный метаболизм антагонистов 5-HT3-рецепторов в печени). В таком случае целесообразна смена 5-HT3-блокатора на другой антиэметик данного класса препаратов.</w:t>
      </w:r>
    </w:p>
    <w:p w14:paraId="4E893FE2" w14:textId="77777777" w:rsidR="00D71DD0" w:rsidRPr="00B328AA" w:rsidRDefault="00D71DD0" w:rsidP="00D71DD0">
      <w:r w:rsidRPr="00B328AA">
        <w:t>Кроме того, следует выполнять ряд общих принципов профилактики и лечения тошноты и рвоты:</w:t>
      </w:r>
    </w:p>
    <w:p w14:paraId="02648E82" w14:textId="77777777" w:rsidR="00D71DD0" w:rsidRPr="00B328AA" w:rsidRDefault="00D71DD0" w:rsidP="00A72B1B">
      <w:pPr>
        <w:pStyle w:val="afd"/>
        <w:numPr>
          <w:ilvl w:val="0"/>
          <w:numId w:val="36"/>
        </w:numPr>
        <w:contextualSpacing w:val="0"/>
      </w:pPr>
      <w:r w:rsidRPr="00B328AA">
        <w:t>Назначать антиэметики строго по часам, а не при появлении тошноты или рвоты.</w:t>
      </w:r>
    </w:p>
    <w:p w14:paraId="66BBB6B0" w14:textId="77777777" w:rsidR="00D71DD0" w:rsidRPr="00B328AA" w:rsidRDefault="00D71DD0" w:rsidP="00A72B1B">
      <w:pPr>
        <w:pStyle w:val="afd"/>
        <w:numPr>
          <w:ilvl w:val="0"/>
          <w:numId w:val="36"/>
        </w:numPr>
        <w:contextualSpacing w:val="0"/>
      </w:pPr>
      <w:r w:rsidRPr="00B328AA">
        <w:t xml:space="preserve">Оценивать предпочтительный путь введения препаратов (парентерально, в ректальных суппозиториях, или внутрь). </w:t>
      </w:r>
    </w:p>
    <w:p w14:paraId="4A5C7740" w14:textId="77777777" w:rsidR="00D71DD0" w:rsidRPr="00B328AA" w:rsidRDefault="00D71DD0" w:rsidP="00A72B1B">
      <w:pPr>
        <w:pStyle w:val="afd"/>
        <w:numPr>
          <w:ilvl w:val="0"/>
          <w:numId w:val="36"/>
        </w:numPr>
        <w:contextualSpacing w:val="0"/>
      </w:pPr>
      <w:r w:rsidRPr="00B328AA">
        <w:t>Осуществлять адекватную гидратацию и коррекцию электролитов.</w:t>
      </w:r>
    </w:p>
    <w:p w14:paraId="58579FA6" w14:textId="77777777" w:rsidR="00D71DD0" w:rsidRPr="00B328AA" w:rsidRDefault="00D71DD0" w:rsidP="00A72B1B">
      <w:pPr>
        <w:pStyle w:val="afd"/>
        <w:numPr>
          <w:ilvl w:val="0"/>
          <w:numId w:val="36"/>
        </w:numPr>
        <w:contextualSpacing w:val="0"/>
      </w:pPr>
      <w:r w:rsidRPr="00B328AA">
        <w:t>Добавлять при диспепсии Н2-блокаторы или блокаторы протонной помпы.</w:t>
      </w:r>
    </w:p>
    <w:p w14:paraId="3494957F" w14:textId="77777777" w:rsidR="00D71DD0" w:rsidRPr="0006238A" w:rsidRDefault="00D71DD0" w:rsidP="00D71DD0">
      <w:pPr>
        <w:tabs>
          <w:tab w:val="left" w:pos="0"/>
        </w:tabs>
        <w:rPr>
          <w:rFonts w:eastAsia="GaramondC-Light"/>
          <w:color w:val="000000"/>
          <w:szCs w:val="24"/>
        </w:rPr>
      </w:pPr>
      <w:r w:rsidRPr="0006238A">
        <w:rPr>
          <w:rFonts w:eastAsia="GaramondC-Light"/>
          <w:color w:val="000000"/>
          <w:szCs w:val="24"/>
        </w:rPr>
        <w:t>При возникновении неконтролируемой тошноты и рвоты на фоне трехкомпонентной противорвотной схемы стандартного подхода нет</w:t>
      </w:r>
      <w:r>
        <w:rPr>
          <w:rFonts w:eastAsia="GaramondC-Light"/>
          <w:color w:val="000000"/>
          <w:szCs w:val="24"/>
        </w:rPr>
        <w:t>, с</w:t>
      </w:r>
      <w:r w:rsidRPr="0006238A">
        <w:rPr>
          <w:rFonts w:eastAsia="GaramondC-Light"/>
          <w:color w:val="000000"/>
          <w:szCs w:val="24"/>
        </w:rPr>
        <w:t xml:space="preserve">ледует рассмотреть добавление препаратов иного класса из </w:t>
      </w:r>
      <w:r>
        <w:rPr>
          <w:rFonts w:eastAsia="GaramondC-Light"/>
          <w:color w:val="000000"/>
          <w:szCs w:val="24"/>
        </w:rPr>
        <w:t xml:space="preserve">группы </w:t>
      </w:r>
      <w:r w:rsidRPr="0006238A">
        <w:rPr>
          <w:rFonts w:eastAsia="GaramondC-Light"/>
          <w:color w:val="000000"/>
          <w:szCs w:val="24"/>
        </w:rPr>
        <w:t>резерва:</w:t>
      </w:r>
      <w:r>
        <w:rPr>
          <w:rFonts w:eastAsia="GaramondC-Light"/>
          <w:color w:val="000000"/>
          <w:szCs w:val="24"/>
        </w:rPr>
        <w:t xml:space="preserve"> </w:t>
      </w:r>
    </w:p>
    <w:p w14:paraId="4337FC15" w14:textId="77777777" w:rsidR="00D71DD0" w:rsidRPr="00B328AA" w:rsidRDefault="00D71DD0" w:rsidP="00A72B1B">
      <w:pPr>
        <w:pStyle w:val="afd"/>
        <w:numPr>
          <w:ilvl w:val="0"/>
          <w:numId w:val="36"/>
        </w:numPr>
        <w:contextualSpacing w:val="0"/>
      </w:pPr>
      <w:r w:rsidRPr="00B328AA">
        <w:t>бензодиазепины (например, лоразепам по 0,5–2 мг каждые 4–6 ч);</w:t>
      </w:r>
    </w:p>
    <w:p w14:paraId="55CE8E64" w14:textId="77777777" w:rsidR="00D71DD0" w:rsidRPr="00B328AA" w:rsidRDefault="00D71DD0" w:rsidP="00A72B1B">
      <w:pPr>
        <w:pStyle w:val="afd"/>
        <w:numPr>
          <w:ilvl w:val="0"/>
          <w:numId w:val="36"/>
        </w:numPr>
        <w:contextualSpacing w:val="0"/>
      </w:pPr>
      <w:r w:rsidRPr="00B328AA">
        <w:t>блокаторы рецепторов допамина (например, метоклопрамид по 20 мг каждые 6 ч);</w:t>
      </w:r>
    </w:p>
    <w:p w14:paraId="70396738" w14:textId="77777777" w:rsidR="00D71DD0" w:rsidRPr="00B328AA" w:rsidRDefault="00D71DD0" w:rsidP="00A72B1B">
      <w:pPr>
        <w:pStyle w:val="afd"/>
        <w:numPr>
          <w:ilvl w:val="0"/>
          <w:numId w:val="36"/>
        </w:numPr>
        <w:contextualSpacing w:val="0"/>
      </w:pPr>
      <w:r w:rsidRPr="00B328AA">
        <w:t>фенотиазины (например, аминазин 25 мг 4 раза в сутки);</w:t>
      </w:r>
    </w:p>
    <w:p w14:paraId="6539C7D4" w14:textId="77777777" w:rsidR="00D71DD0" w:rsidRPr="00B328AA" w:rsidRDefault="00D71DD0" w:rsidP="00A72B1B">
      <w:pPr>
        <w:pStyle w:val="afd"/>
        <w:numPr>
          <w:ilvl w:val="0"/>
          <w:numId w:val="36"/>
        </w:numPr>
        <w:contextualSpacing w:val="0"/>
      </w:pPr>
      <w:r w:rsidRPr="00B328AA">
        <w:t>бутирофеноны (например, галоперидол 1–2 мг каждые 4–6 ч).</w:t>
      </w:r>
    </w:p>
    <w:p w14:paraId="74B3ECD9" w14:textId="77777777" w:rsidR="00D71DD0" w:rsidRPr="00B328AA" w:rsidRDefault="00D71DD0" w:rsidP="00D71DD0">
      <w:r w:rsidRPr="00B328AA">
        <w:t>Возможно также использование альтернативного варианта профилактики тошноты и рвоты:</w:t>
      </w:r>
    </w:p>
    <w:p w14:paraId="3592430F" w14:textId="77777777" w:rsidR="00D71DD0" w:rsidRPr="00B53E48" w:rsidRDefault="00D71DD0" w:rsidP="00A72B1B">
      <w:pPr>
        <w:pStyle w:val="afd"/>
        <w:numPr>
          <w:ilvl w:val="0"/>
          <w:numId w:val="36"/>
        </w:numPr>
        <w:contextualSpacing w:val="0"/>
      </w:pPr>
      <w:r w:rsidRPr="00B53E48">
        <w:t>оланзапин 5–10 мг в сутки внутрь с 1 по 3 дни;</w:t>
      </w:r>
    </w:p>
    <w:p w14:paraId="47236499" w14:textId="77777777" w:rsidR="00D71DD0" w:rsidRPr="00B53E48" w:rsidRDefault="00D71DD0" w:rsidP="00A72B1B">
      <w:pPr>
        <w:pStyle w:val="afd"/>
        <w:numPr>
          <w:ilvl w:val="0"/>
          <w:numId w:val="36"/>
        </w:numPr>
        <w:contextualSpacing w:val="0"/>
      </w:pPr>
      <w:r w:rsidRPr="00B53E48">
        <w:t>палоносетрон 0,25 мг в/в за 60 минут до ХТ в 1 день однократно;</w:t>
      </w:r>
    </w:p>
    <w:p w14:paraId="33D72CBB" w14:textId="77777777" w:rsidR="00D71DD0" w:rsidRPr="00B53E48" w:rsidRDefault="00D71DD0" w:rsidP="00A72B1B">
      <w:pPr>
        <w:pStyle w:val="afd"/>
        <w:numPr>
          <w:ilvl w:val="0"/>
          <w:numId w:val="36"/>
        </w:numPr>
        <w:contextualSpacing w:val="0"/>
      </w:pPr>
      <w:r w:rsidRPr="00B53E48">
        <w:t>дексаметазон 20 мг в/в за 30 минут до ХТ в 1 день.</w:t>
      </w:r>
    </w:p>
    <w:p w14:paraId="60DBD208" w14:textId="77777777" w:rsidR="00D71DD0" w:rsidRDefault="00D71DD0" w:rsidP="00D71DD0">
      <w:pPr>
        <w:pStyle w:val="Normal11"/>
        <w:tabs>
          <w:tab w:val="left" w:pos="0"/>
        </w:tabs>
        <w:spacing w:before="0" w:line="360" w:lineRule="auto"/>
        <w:ind w:firstLine="699"/>
        <w:jc w:val="both"/>
        <w:rPr>
          <w:rFonts w:cs="Times New Roman"/>
          <w:bCs/>
          <w:i/>
          <w:iCs/>
          <w:u w:val="single"/>
          <w:shd w:val="clear" w:color="auto" w:fill="FFFFFF"/>
        </w:rPr>
      </w:pPr>
    </w:p>
    <w:p w14:paraId="6C155D69" w14:textId="77777777" w:rsidR="00D71DD0" w:rsidRPr="00FB3FAC"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FB3FAC">
        <w:rPr>
          <w:rFonts w:cs="Times New Roman"/>
          <w:bCs/>
          <w:i/>
          <w:iCs/>
          <w:u w:val="single"/>
          <w:shd w:val="clear" w:color="auto" w:fill="FFFFFF"/>
        </w:rPr>
        <w:t>Профилактика и терапия условно-рефлекторной рвоты</w:t>
      </w:r>
    </w:p>
    <w:p w14:paraId="0AAD838D" w14:textId="72DE8FC9" w:rsidR="00D71DD0" w:rsidRDefault="00D71DD0" w:rsidP="00D71DD0">
      <w:r w:rsidRPr="00B328AA">
        <w:t>Для профилактики и лечения условно-рефлекторной тошноты и рвоты, в первую очередь, важна оптимальная профилактика тошноты и рвоты в каждом цикле ХТ. Также, с учетом психогенного механизма, применяют бензодиазепины (например, лоразепам по 0,5-2 мг на ночь накануне и утром перед ХТ), и нефармакологические методы – психотерапия, гипноз, системная десенсибилизация</w:t>
      </w:r>
      <w:r>
        <w:t xml:space="preserve"> </w:t>
      </w:r>
      <w:r>
        <w:fldChar w:fldCharType="begin" w:fldLock="1"/>
      </w:r>
      <w:r w:rsidR="004D13EB">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[44,46,63–67]","plainTextFormattedCitation":"[44,46,63–67]","previouslyFormattedCitation":"[44,46,63–67]"},"properties":{"noteIndex":0},"schema":"https://github.com/citation-style-language/schema/raw/master/csl-citation.json"}</w:instrText>
      </w:r>
      <w:r>
        <w:fldChar w:fldCharType="separate"/>
      </w:r>
      <w:r w:rsidR="00EF3174" w:rsidRPr="00EF3174">
        <w:rPr>
          <w:noProof/>
        </w:rPr>
        <w:t>[44,46,63–67]</w:t>
      </w:r>
      <w:r>
        <w:fldChar w:fldCharType="end"/>
      </w:r>
      <w:r w:rsidRPr="00B328AA">
        <w:t>.</w:t>
      </w:r>
    </w:p>
    <w:p w14:paraId="3D9C7C2F" w14:textId="77777777" w:rsidR="00D71DD0" w:rsidRPr="0046237C" w:rsidRDefault="00D71DD0" w:rsidP="00D71DD0">
      <w:pPr>
        <w:pStyle w:val="Normal11"/>
        <w:tabs>
          <w:tab w:val="left" w:pos="0"/>
        </w:tabs>
        <w:spacing w:before="0" w:line="360" w:lineRule="auto"/>
        <w:ind w:firstLine="699"/>
        <w:jc w:val="both"/>
        <w:rPr>
          <w:rFonts w:cs="Times New Roman"/>
          <w:noProof/>
        </w:rPr>
      </w:pPr>
    </w:p>
    <w:p w14:paraId="3754E740" w14:textId="7D2781EA" w:rsidR="00D71DD0" w:rsidRPr="003C1AEB" w:rsidRDefault="00D71DD0" w:rsidP="00D71DD0">
      <w:pPr>
        <w:pStyle w:val="2"/>
        <w:spacing w:before="0"/>
      </w:pPr>
      <w:bookmarkStart w:id="93" w:name="_Toc101882884"/>
      <w:bookmarkStart w:id="94" w:name="_Toc103332113"/>
      <w:r>
        <w:t>7.</w:t>
      </w:r>
      <w:r w:rsidR="00EF3174">
        <w:t>7</w:t>
      </w:r>
      <w:r>
        <w:t xml:space="preserve">. </w:t>
      </w:r>
      <w:bookmarkStart w:id="95" w:name="_Toc64295967"/>
      <w:bookmarkStart w:id="96" w:name="_Toc64479399"/>
      <w:r w:rsidRPr="003C1AEB">
        <w:rPr>
          <w:u w:color="000000"/>
          <w:lang w:eastAsia="ru-RU"/>
        </w:rPr>
        <w:t>Профилактика язвенной болезни желудка и 12-перстной кишки на фоне терапии глюкокортикостероидами</w:t>
      </w:r>
      <w:bookmarkEnd w:id="93"/>
      <w:bookmarkEnd w:id="94"/>
      <w:bookmarkEnd w:id="95"/>
      <w:bookmarkEnd w:id="96"/>
    </w:p>
    <w:p w14:paraId="4F38435D" w14:textId="619C14FE" w:rsidR="00D71DD0" w:rsidRDefault="00D71DD0" w:rsidP="00D71DD0">
      <w:r w:rsidRPr="00C96416">
        <w:t xml:space="preserve">В абсолютное большинство протоколов противоопухолевого лечения </w:t>
      </w:r>
      <w:r>
        <w:t>онко</w:t>
      </w:r>
      <w:r w:rsidRPr="003A77F4">
        <w:t>гематологических заболеваний</w:t>
      </w:r>
      <w:r w:rsidRPr="00C96416">
        <w:t xml:space="preserve"> включены высокие дозы глюкокортикостероидов (ГКС). Язва желудка или двенадцатиперстной кишки является одним из серьёзных побочных эффектов терапии ГКС. Механизм ульцерогенного действия ГКС заключается в повышении секреции соляной кислоты в желудке, изменении качественного состава слизи, торможении регенерации поверхностного эпителия. При сочетанном применении </w:t>
      </w:r>
      <w:r>
        <w:t xml:space="preserve">ГКС с </w:t>
      </w:r>
      <w:r w:rsidRPr="00C96416">
        <w:t>нестероидны</w:t>
      </w:r>
      <w:r>
        <w:t>ми</w:t>
      </w:r>
      <w:r w:rsidRPr="00C96416">
        <w:t xml:space="preserve"> противовоспалительны</w:t>
      </w:r>
      <w:r>
        <w:t>ми</w:t>
      </w:r>
      <w:r w:rsidRPr="00C96416">
        <w:t xml:space="preserve"> средств</w:t>
      </w:r>
      <w:r>
        <w:t xml:space="preserve">ами и антикоагулянтами </w:t>
      </w:r>
      <w:r w:rsidRPr="00C96416">
        <w:t>риск развития стероидных язв возрастает.</w:t>
      </w:r>
      <w:r>
        <w:t xml:space="preserve"> В связи с ульцерогенностью, при использовании ГКС необходимо проводить антисекреторную терапию с целью профилактики стероидных язв </w:t>
      </w:r>
      <w:r>
        <w:fldChar w:fldCharType="begin" w:fldLock="1"/>
      </w:r>
      <w:r w:rsidR="004D13EB">
        <w:instrText>ADDIN CSL_CITATION {"citationItems":[{"id":"ITEM-1","itemData":{"PMID":"24833682","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Open","id":"ITEM-1","issue":"5","issued":{"date-parts":[["2014","5","1"]]},"page":"e004587","title":"Corticosteroids and risk of gastrointestinal bleeding: A systematic review and meta-analysis","type":"article-journal","volume":"4"},"uris":["http://www.mendeley.com/documents/?uuid=926ef8e8-8aa3-4855-829a-14142b61de3e"]},{"id":"ITEM-2","itemData":{"DOI":"10.1111/j.1365-2796.1994.tb00855.x","ISSN":"0954-6820","PMID":"7989897","abstract":"OBJECTIVES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medicine","id":"ITEM-2","issue":"6","issued":{"date-parts":[["1994","12"]]},"page":"619-32","publisher":"J Intern Med","title":"Corticosteroids and peptic ulcer: meta-analysis of adverse events during steroid therapy.","type":"article-journal","volume":"236"},"uris":["http://www.mendeley.com/documents/?uuid=84af1729-7cf0-45a4-828e-6c0ee9132476"]}],"mendeley":{"formattedCitation":"[47,68]","plainTextFormattedCitation":"[47,68]","previouslyFormattedCitation":"[47,68]"},"properties":{"noteIndex":0},"schema":"https://github.com/citation-style-language/schema/raw/master/csl-citation.json"}</w:instrText>
      </w:r>
      <w:r>
        <w:fldChar w:fldCharType="separate"/>
      </w:r>
      <w:r w:rsidR="00EF3174" w:rsidRPr="00EF3174">
        <w:rPr>
          <w:noProof/>
        </w:rPr>
        <w:t>[47,68]</w:t>
      </w:r>
      <w:r>
        <w:fldChar w:fldCharType="end"/>
      </w:r>
      <w:r>
        <w:t>.</w:t>
      </w:r>
    </w:p>
    <w:p w14:paraId="3C7D1AB5" w14:textId="77777777" w:rsidR="00D71DD0" w:rsidRDefault="00D71DD0" w:rsidP="00D71DD0"/>
    <w:p w14:paraId="26765604" w14:textId="77777777" w:rsidR="00D71DD0" w:rsidRPr="00A56C81"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A56C81">
        <w:rPr>
          <w:rFonts w:cs="Times New Roman"/>
          <w:bCs/>
          <w:i/>
          <w:iCs/>
          <w:u w:val="single"/>
          <w:shd w:val="clear" w:color="auto" w:fill="FFFFFF"/>
        </w:rPr>
        <w:t>Диагностика язвенной болезни желудка и 12-перстной кишки при применении ГСК</w:t>
      </w:r>
    </w:p>
    <w:p w14:paraId="24CE9D23" w14:textId="77777777" w:rsidR="00D71DD0" w:rsidRDefault="00D71DD0" w:rsidP="00D71DD0">
      <w:r w:rsidRPr="00C96416">
        <w:t xml:space="preserve">Формирование язв </w:t>
      </w:r>
      <w:r>
        <w:t xml:space="preserve">ЖКТ </w:t>
      </w:r>
      <w:r w:rsidRPr="00C96416">
        <w:t xml:space="preserve">может проявляться диспепсическими явлениями и </w:t>
      </w:r>
      <w:r>
        <w:t xml:space="preserve">абдоминальными </w:t>
      </w:r>
      <w:r w:rsidRPr="00C96416">
        <w:t>болями, но нередко протекает и бессимптомно, манифестируя кровотечением или пер</w:t>
      </w:r>
      <w:r>
        <w:t xml:space="preserve">форацией. </w:t>
      </w:r>
    </w:p>
    <w:p w14:paraId="256F1EB5" w14:textId="77777777" w:rsidR="00D71DD0" w:rsidRPr="003A77F4" w:rsidRDefault="00D71DD0" w:rsidP="00D71DD0">
      <w:r>
        <w:t>Для диагностики язвенного поражения ЖКТ применяется э</w:t>
      </w:r>
      <w:r w:rsidRPr="006252FA">
        <w:t>зофагодуоденоскопия</w:t>
      </w:r>
      <w:r>
        <w:t xml:space="preserve">, при необходимости </w:t>
      </w:r>
      <w:r w:rsidRPr="003A77F4">
        <w:t xml:space="preserve">с биопсийным исследованием и тестом на наличие </w:t>
      </w:r>
      <w:r w:rsidRPr="003A77F4">
        <w:rPr>
          <w:lang w:val="en-US"/>
        </w:rPr>
        <w:t>H</w:t>
      </w:r>
      <w:r w:rsidRPr="003A77F4">
        <w:t xml:space="preserve">. </w:t>
      </w:r>
      <w:r w:rsidRPr="003A77F4">
        <w:rPr>
          <w:lang w:val="en-US"/>
        </w:rPr>
        <w:t>Pylori</w:t>
      </w:r>
      <w:r w:rsidRPr="003A77F4">
        <w:t>.</w:t>
      </w:r>
    </w:p>
    <w:p w14:paraId="32F9DB2C" w14:textId="77777777" w:rsidR="00D71DD0" w:rsidRDefault="00D71DD0" w:rsidP="00D71DD0">
      <w:pPr>
        <w:pStyle w:val="Normal11"/>
        <w:tabs>
          <w:tab w:val="left" w:pos="0"/>
        </w:tabs>
        <w:spacing w:before="0" w:line="360" w:lineRule="auto"/>
        <w:ind w:firstLine="699"/>
        <w:jc w:val="both"/>
        <w:rPr>
          <w:rFonts w:cs="Times New Roman"/>
          <w:bCs/>
          <w:i/>
          <w:iCs/>
          <w:u w:val="single"/>
          <w:shd w:val="clear" w:color="auto" w:fill="FFFFFF"/>
        </w:rPr>
      </w:pPr>
    </w:p>
    <w:p w14:paraId="365A0386" w14:textId="77777777" w:rsidR="00D71DD0" w:rsidRPr="00A56C81"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A56C81">
        <w:rPr>
          <w:rFonts w:cs="Times New Roman"/>
          <w:bCs/>
          <w:i/>
          <w:iCs/>
          <w:u w:val="single"/>
          <w:shd w:val="clear" w:color="auto" w:fill="FFFFFF"/>
        </w:rPr>
        <w:t>Профилактика язвенной болезни желудка и 12-перстной кишки при применении ГКС.</w:t>
      </w:r>
    </w:p>
    <w:p w14:paraId="3645EBAB" w14:textId="72F22612" w:rsidR="00D71DD0" w:rsidRDefault="00D71DD0" w:rsidP="00D71DD0">
      <w:r w:rsidRPr="00A56C81">
        <w:t xml:space="preserve">По результатам </w:t>
      </w:r>
      <w:r w:rsidRPr="00C96416">
        <w:t>мета</w:t>
      </w:r>
      <w:r>
        <w:t>-</w:t>
      </w:r>
      <w:r w:rsidRPr="00C96416">
        <w:t>анализа 300 работ</w:t>
      </w:r>
      <w:r>
        <w:fldChar w:fldCharType="begin" w:fldLock="1"/>
      </w:r>
      <w:r w:rsidR="004D13EB">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mendeley":{"formattedCitation":"[69]","plainTextFormattedCitation":"[69]","previouslyFormattedCitation":"[69]"},"properties":{"noteIndex":0},"schema":"https://github.com/citation-style-language/schema/raw/master/csl-citation.json"}</w:instrText>
      </w:r>
      <w:r>
        <w:fldChar w:fldCharType="separate"/>
      </w:r>
      <w:r w:rsidR="00EF3174" w:rsidRPr="00EF3174">
        <w:rPr>
          <w:noProof/>
        </w:rPr>
        <w:t>[69]</w:t>
      </w:r>
      <w:r>
        <w:fldChar w:fldCharType="end"/>
      </w:r>
      <w:r>
        <w:t xml:space="preserve">, </w:t>
      </w:r>
      <w:r w:rsidRPr="00C96416">
        <w:t>язвы желудка и двенадцатиперстной кишки рубцуются практически во всех случаях, если рН внутрижелудочного содержимого поддерживается более 3</w:t>
      </w:r>
      <w:r>
        <w:t xml:space="preserve"> </w:t>
      </w:r>
      <w:r w:rsidRPr="00C96416">
        <w:t xml:space="preserve">в течение суток </w:t>
      </w:r>
      <w:r>
        <w:t>на протяжении</w:t>
      </w:r>
      <w:r w:rsidRPr="00C96416">
        <w:t xml:space="preserve"> 18 часо</w:t>
      </w:r>
      <w:r>
        <w:t>в</w:t>
      </w:r>
      <w:r w:rsidRPr="00C96416">
        <w:t xml:space="preserve">. С учетом указанного </w:t>
      </w:r>
      <w:r w:rsidRPr="00C96416">
        <w:lastRenderedPageBreak/>
        <w:t xml:space="preserve">правила в качестве противоязвенной терапии в настоящее время могут рассматриваться антациды, блокаторы Н2-гистаминовых рецепторов и ингибиторы протонной помпы </w:t>
      </w:r>
      <w:r>
        <w:t>(</w:t>
      </w:r>
      <w:r w:rsidRPr="00C96416">
        <w:t>ИПП</w:t>
      </w:r>
      <w:r>
        <w:t>)</w:t>
      </w:r>
      <w:r w:rsidRPr="00C96416">
        <w:t>. Согласно одному из последних мета</w:t>
      </w:r>
      <w:r>
        <w:t>-</w:t>
      </w:r>
      <w:r w:rsidRPr="00C96416">
        <w:t xml:space="preserve">анализов, при использовании </w:t>
      </w:r>
      <w:r>
        <w:t xml:space="preserve">ИПП </w:t>
      </w:r>
      <w:r w:rsidRPr="00C96416">
        <w:t>и</w:t>
      </w:r>
      <w:r>
        <w:t>ли</w:t>
      </w:r>
      <w:r w:rsidRPr="00C96416">
        <w:t xml:space="preserve"> блокатор</w:t>
      </w:r>
      <w:r>
        <w:t>ов</w:t>
      </w:r>
      <w:r w:rsidRPr="00C96416">
        <w:t xml:space="preserve"> Н2-гистаминовых рецепторов достоверно эффективнее достигается рубцевание язвенного дефекта, а также снижается риск повторного крово</w:t>
      </w:r>
      <w:r>
        <w:t>течения</w:t>
      </w:r>
      <w:r w:rsidRPr="00C96416">
        <w:t xml:space="preserve">.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 </w:t>
      </w:r>
    </w:p>
    <w:p w14:paraId="336EDD9B" w14:textId="7D8AB938" w:rsidR="00D71DD0" w:rsidRPr="00C96416" w:rsidRDefault="00D71DD0" w:rsidP="00D71DD0">
      <w:r w:rsidRPr="00A56C81">
        <w:t>В настоящее время с антисекреторной целью для п</w:t>
      </w:r>
      <w:r w:rsidRPr="00294C11">
        <w:t>рофилактик</w:t>
      </w:r>
      <w:r>
        <w:t xml:space="preserve">и </w:t>
      </w:r>
      <w:r w:rsidRPr="00294C11">
        <w:t>язвенной болезни желудка и двенадцатиперстной кишки, в том числе на фоне терапии глюкокортикостероидами</w:t>
      </w:r>
      <w:r>
        <w:t xml:space="preserve">, </w:t>
      </w:r>
      <w:r w:rsidRPr="00A56C81">
        <w:t>применяются два класса п</w:t>
      </w:r>
      <w:r w:rsidRPr="00C96416">
        <w:t>репаратов: ингибиторы протонной помпы и блокаторы Н2-гистаминовых рецепторов</w:t>
      </w:r>
      <w:r>
        <w:t xml:space="preserve"> </w:t>
      </w:r>
      <w:r>
        <w:fldChar w:fldCharType="begin" w:fldLock="1"/>
      </w:r>
      <w:r w:rsidR="004D13EB">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[70,71]","plainTextFormattedCitation":"[70,71]","previouslyFormattedCitation":"[70,71]"},"properties":{"noteIndex":0},"schema":"https://github.com/citation-style-language/schema/raw/master/csl-citation.json"}</w:instrText>
      </w:r>
      <w:r>
        <w:fldChar w:fldCharType="separate"/>
      </w:r>
      <w:r w:rsidR="00EF3174" w:rsidRPr="00EF3174">
        <w:rPr>
          <w:noProof/>
        </w:rPr>
        <w:t>[70,71]</w:t>
      </w:r>
      <w:r>
        <w:fldChar w:fldCharType="end"/>
      </w:r>
      <w:r w:rsidRPr="00C96416">
        <w:t>.</w:t>
      </w:r>
    </w:p>
    <w:p w14:paraId="3F385F05" w14:textId="77777777" w:rsidR="00D71DD0" w:rsidRDefault="00D71DD0" w:rsidP="00D71DD0">
      <w:pPr>
        <w:pStyle w:val="Normal11"/>
        <w:tabs>
          <w:tab w:val="left" w:pos="0"/>
        </w:tabs>
        <w:spacing w:before="0" w:line="360" w:lineRule="auto"/>
        <w:ind w:firstLine="699"/>
        <w:jc w:val="both"/>
        <w:rPr>
          <w:rFonts w:cs="Times New Roman"/>
          <w:bCs/>
          <w:i/>
          <w:iCs/>
          <w:u w:val="single"/>
          <w:shd w:val="clear" w:color="auto" w:fill="FFFFFF"/>
        </w:rPr>
      </w:pPr>
    </w:p>
    <w:p w14:paraId="70A2293E" w14:textId="77777777" w:rsidR="00D71DD0" w:rsidRPr="00A56C81"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A56C81">
        <w:rPr>
          <w:rFonts w:cs="Times New Roman"/>
          <w:bCs/>
          <w:i/>
          <w:iCs/>
          <w:u w:val="single"/>
          <w:shd w:val="clear" w:color="auto" w:fill="FFFFFF"/>
        </w:rPr>
        <w:t>Ингибиторы протонной помпы (ИПП)</w:t>
      </w:r>
    </w:p>
    <w:p w14:paraId="181514FB" w14:textId="2B17A1B7" w:rsidR="00D71DD0" w:rsidRDefault="00D71DD0" w:rsidP="00D71DD0">
      <w:r w:rsidRPr="00C96416">
        <w:t xml:space="preserve">Ингибиторы протоновой помпы (ингибиторы протонового насоса, блокаторы протонного насоса, блокаторы Н+/К+-АТФазы, блокаторы водородной помпы) — антисекреторные лекарственные </w:t>
      </w:r>
      <w:r>
        <w:t xml:space="preserve">препараты, </w:t>
      </w:r>
      <w:r w:rsidRPr="00C96416">
        <w:t>блокир</w:t>
      </w:r>
      <w:r>
        <w:t>ующие Н+/К+-АТФазу</w:t>
      </w:r>
      <w:r w:rsidRPr="00C96416">
        <w:t xml:space="preserve"> обкладочных (париетальных) клеток слизистой оболочки желудка</w:t>
      </w:r>
      <w:r>
        <w:t xml:space="preserve"> и уменьшающие </w:t>
      </w:r>
      <w:r w:rsidRPr="00C96416">
        <w:t>секреци</w:t>
      </w:r>
      <w:r>
        <w:t>ю</w:t>
      </w:r>
      <w:r w:rsidRPr="00C96416">
        <w:t xml:space="preserve"> соляной кислоты</w:t>
      </w:r>
      <w:r>
        <w:t xml:space="preserve">, путем </w:t>
      </w:r>
      <w:r w:rsidRPr="00C96416">
        <w:t>проник</w:t>
      </w:r>
      <w:r>
        <w:t>новения</w:t>
      </w:r>
      <w:r w:rsidRPr="00C96416">
        <w:t xml:space="preserve"> в париетальные клетки слизистой оболочки желудка</w:t>
      </w:r>
      <w:r>
        <w:t xml:space="preserve">, </w:t>
      </w:r>
      <w:r w:rsidRPr="00C96416">
        <w:t>концентр</w:t>
      </w:r>
      <w:r>
        <w:t>ации</w:t>
      </w:r>
      <w:r w:rsidRPr="00C96416">
        <w:t xml:space="preserve"> в секреторных канальцах</w:t>
      </w:r>
      <w:r>
        <w:t>, и активации</w:t>
      </w:r>
      <w:r w:rsidRPr="00C96416">
        <w:t xml:space="preserve"> при кислом значении рН. </w:t>
      </w:r>
      <w:r>
        <w:t xml:space="preserve">При активации </w:t>
      </w:r>
      <w:r w:rsidRPr="00C96416">
        <w:t>ИПП образуют прочные ковалентные связи с меркаптогруппами цистеиновых остатков Н+/К+-АТФазы, блокиру</w:t>
      </w:r>
      <w:r>
        <w:t>я</w:t>
      </w:r>
      <w:r w:rsidRPr="00C96416">
        <w:t xml:space="preserve"> действие протонной помпы</w:t>
      </w:r>
      <w:r>
        <w:t xml:space="preserve"> так</w:t>
      </w:r>
      <w:r w:rsidRPr="00C96416">
        <w:t xml:space="preserve">, </w:t>
      </w:r>
      <w:r>
        <w:t xml:space="preserve">что </w:t>
      </w:r>
      <w:r w:rsidRPr="00C96416">
        <w:t xml:space="preserve">она </w:t>
      </w:r>
      <w:r>
        <w:t>необратимо исключается</w:t>
      </w:r>
      <w:r w:rsidRPr="00C96416">
        <w:t xml:space="preserve"> из процесса секреции соляной кислоты. Влияние ИПП на последнюю стадию процесса образования соляной кислоты в желудке является дозозависимым и обеспечивает высокоэффективное ингибирование базальной и стимулированной секреции</w:t>
      </w:r>
      <w:r>
        <w:t xml:space="preserve"> соляной кислоты независимо от</w:t>
      </w:r>
      <w:r w:rsidRPr="00C96416">
        <w:t xml:space="preserve"> фактора</w:t>
      </w:r>
      <w:r>
        <w:t xml:space="preserve"> его вызывающего</w:t>
      </w:r>
      <w:r w:rsidRPr="00C96416">
        <w:t>.</w:t>
      </w:r>
      <w:r>
        <w:t xml:space="preserve"> В группу препаратов ИПП входят о</w:t>
      </w:r>
      <w:r w:rsidRPr="00C96416">
        <w:t>мепразол</w:t>
      </w:r>
      <w:r>
        <w:t>, лансопразол, п</w:t>
      </w:r>
      <w:r w:rsidRPr="00C96416">
        <w:t>антопразол</w:t>
      </w:r>
      <w:r>
        <w:t xml:space="preserve">, рабепразол, </w:t>
      </w:r>
      <w:r w:rsidRPr="00C96416">
        <w:t>зомепразол</w:t>
      </w:r>
      <w:r>
        <w:t>, применяемые во время проведения курсов специфической противоопухолевой терапии, включающей системные ГКС, в указанных в таблице 7.</w:t>
      </w:r>
      <w:r w:rsidR="00EF3174">
        <w:t>7</w:t>
      </w:r>
      <w:r>
        <w:t xml:space="preserve">.1 дозах </w:t>
      </w:r>
      <w:r>
        <w:fldChar w:fldCharType="begin" w:fldLock="1"/>
      </w:r>
      <w:r w:rsidR="004D13EB">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trials","type":"article-journal","volume":"3"},"uris":["http://www.mendeley.com/documents/?uuid=f1962b3a-e3e6-3474-95a8-4fc5245efa04"]},{"id":"ITEM-3","itemData":{"DOI":"10.4103/1319-3767.199117","ISSN":"1319-3767","abstract":"Background/Aim: To compare the efficacy and tolerance of different proton pump inhibitors (PPIs) in different doses for patients with duodenal ulcers. Materials and Methods: An electronic database was searched to collect all randomized clinical trials (RCTs), and a pairwise and network meta-analysis were performed. Results: A total of 24 RCTs involving 6188 patients were included. The network meta-analysis showed that there were no significant differences for the 4-week healing rate of duodenal ulcer treated with different PPI regimens except pantoprazle 40 mg/d versus lansoprazole 15 mg/d [Relative risk (RR) = 3.57; 95% confidence interval (CI) = 1.36-10.31)] and lansoprazole 30 mg/d versus lansoprazole 15 mg/d (RR = 2.45; 95% CI = 1.01-6.14). In comparison with H2receptor antagonists (H2RA), pantoprazole 40 mg/d and lansoprazole 30 mg/d significantly increase the healing rate (RR = 2.96; 95% CI = 1.78-5.14 and RR = 2.04; 95% CI = 1.13-3.53, respectively). There was no significant difference for the rate of adverse events between different regimens, including H2RA for a duration of 4-week of follow up. Conclusion: There was no significant difference for the efficacy and tolerance between the ordinary doses of different PPIs with the exception of lansoprazle 15 mg/d.","author":[{"dropping-particle":"","family":"Hu","given":"Zhan-Hong","non-dropping-particle":"","parse-names":false,"suffix":""},{"dropping-particle":"","family":"Shi","given":"Ai-Ming","non-dropping-particle":"","parse-names":false,"suffix":""},{"dropping-particle":"","family":"Hu","given":"Duan-Min","non-dropping-particle":"","parse-names":false,"suffix":""},{"dropping-particle":"","family":"Bao","given":"Jun-Jie","non-dropping-particle":"","parse-names":false,"suffix":""}],"container-title":"Saudi Journal of Gastroenterology","id":"ITEM-3","issue":"1","issued":{"date-parts":[["2017","1","1"]]},"page":"11","publisher":"Medknow Publications","title":"Efficacy of proton pump inhibitors for patients with duodenal ulcers: A pairwise and network meta-analysis of randomized controlled trials","type":"article-journal","volume":"23"},"uris":["http://www.mendeley.com/documents/?uuid=d523d0fc-026a-365d-b2ac-773ed8aed036"]}],"mendeley":{"formattedCitation":"[70–72]","plainTextFormattedCitation":"[70–72]","previouslyFormattedCitation":"[70–72]"},"properties":{"noteIndex":0},"schema":"https://github.com/citation-style-language/schema/raw/master/csl-citation.json"}</w:instrText>
      </w:r>
      <w:r>
        <w:fldChar w:fldCharType="separate"/>
      </w:r>
      <w:r w:rsidR="00EF3174" w:rsidRPr="00EF3174">
        <w:rPr>
          <w:noProof/>
        </w:rPr>
        <w:t>[70–72]</w:t>
      </w:r>
      <w:r>
        <w:fldChar w:fldCharType="end"/>
      </w:r>
      <w:r>
        <w:t xml:space="preserve">. </w:t>
      </w:r>
    </w:p>
    <w:p w14:paraId="7BD2928F" w14:textId="77777777" w:rsidR="00D71DD0" w:rsidRDefault="00D71DD0" w:rsidP="00D71DD0">
      <w:pPr>
        <w:rPr>
          <w:b/>
        </w:rPr>
      </w:pPr>
    </w:p>
    <w:p w14:paraId="584D6CB0" w14:textId="102D6C60" w:rsidR="00D71DD0" w:rsidRPr="005B1687" w:rsidRDefault="00D71DD0" w:rsidP="00D71DD0">
      <w:pPr>
        <w:rPr>
          <w:bCs/>
        </w:rPr>
      </w:pPr>
      <w:r w:rsidRPr="005B1687">
        <w:rPr>
          <w:bCs/>
        </w:rPr>
        <w:t xml:space="preserve">Таблица </w:t>
      </w:r>
      <w:r>
        <w:rPr>
          <w:bCs/>
        </w:rPr>
        <w:t>7.</w:t>
      </w:r>
      <w:r w:rsidR="00EF3174">
        <w:rPr>
          <w:bCs/>
        </w:rPr>
        <w:t>7</w:t>
      </w:r>
      <w:r>
        <w:rPr>
          <w:bCs/>
        </w:rPr>
        <w:t>.</w:t>
      </w:r>
      <w:r w:rsidRPr="005B1687">
        <w:rPr>
          <w:bCs/>
        </w:rPr>
        <w:t>1. Режим дозирования ИПП с целью профилактики язвенной болезни</w:t>
      </w:r>
    </w:p>
    <w:tbl>
      <w:tblPr>
        <w:tblStyle w:val="aff8"/>
        <w:tblW w:w="0" w:type="auto"/>
        <w:jc w:val="center"/>
        <w:tblLook w:val="04A0" w:firstRow="1" w:lastRow="0" w:firstColumn="1" w:lastColumn="0" w:noHBand="0" w:noVBand="1"/>
      </w:tblPr>
      <w:tblGrid>
        <w:gridCol w:w="2220"/>
        <w:gridCol w:w="2344"/>
        <w:gridCol w:w="3713"/>
      </w:tblGrid>
      <w:tr w:rsidR="00D71DD0" w:rsidRPr="00C96416" w14:paraId="33C3007D" w14:textId="77777777" w:rsidTr="00EC1C67">
        <w:trPr>
          <w:jc w:val="center"/>
        </w:trPr>
        <w:tc>
          <w:tcPr>
            <w:tcW w:w="2220" w:type="dxa"/>
          </w:tcPr>
          <w:p w14:paraId="2D4F75C7" w14:textId="77777777" w:rsidR="00D71DD0" w:rsidRPr="00C96416" w:rsidRDefault="00D71DD0" w:rsidP="00EC1C67">
            <w:pPr>
              <w:tabs>
                <w:tab w:val="left" w:pos="0"/>
              </w:tabs>
              <w:ind w:left="57" w:right="57" w:firstLine="0"/>
              <w:rPr>
                <w:b/>
                <w:szCs w:val="24"/>
                <w:lang w:eastAsia="ru-RU"/>
              </w:rPr>
            </w:pPr>
            <w:r>
              <w:rPr>
                <w:b/>
                <w:szCs w:val="24"/>
                <w:lang w:eastAsia="ru-RU"/>
              </w:rPr>
              <w:t>Препарат</w:t>
            </w:r>
          </w:p>
        </w:tc>
        <w:tc>
          <w:tcPr>
            <w:tcW w:w="2344" w:type="dxa"/>
          </w:tcPr>
          <w:p w14:paraId="5C6624F7" w14:textId="77777777" w:rsidR="00D71DD0" w:rsidRPr="00C96416" w:rsidRDefault="00D71DD0" w:rsidP="00EC1C67">
            <w:pPr>
              <w:tabs>
                <w:tab w:val="left" w:pos="0"/>
              </w:tabs>
              <w:ind w:left="57" w:right="57" w:firstLine="0"/>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713" w:type="dxa"/>
          </w:tcPr>
          <w:p w14:paraId="55A4F11E" w14:textId="77777777" w:rsidR="00D71DD0" w:rsidRPr="00C96416" w:rsidRDefault="00D71DD0" w:rsidP="00EC1C67">
            <w:pPr>
              <w:tabs>
                <w:tab w:val="left" w:pos="0"/>
              </w:tabs>
              <w:ind w:left="57" w:right="57" w:firstLine="0"/>
              <w:rPr>
                <w:b/>
                <w:szCs w:val="24"/>
                <w:lang w:eastAsia="ru-RU"/>
              </w:rPr>
            </w:pPr>
            <w:r>
              <w:rPr>
                <w:b/>
                <w:szCs w:val="24"/>
                <w:lang w:eastAsia="ru-RU"/>
              </w:rPr>
              <w:t>Способ применения и р</w:t>
            </w:r>
            <w:r w:rsidRPr="00C96416">
              <w:rPr>
                <w:b/>
                <w:szCs w:val="24"/>
                <w:lang w:eastAsia="ru-RU"/>
              </w:rPr>
              <w:t>ежим дозирования</w:t>
            </w:r>
          </w:p>
        </w:tc>
      </w:tr>
      <w:tr w:rsidR="00D71DD0" w:rsidRPr="00C96416" w14:paraId="2FA5FED8" w14:textId="77777777" w:rsidTr="00EC1C67">
        <w:trPr>
          <w:jc w:val="center"/>
        </w:trPr>
        <w:tc>
          <w:tcPr>
            <w:tcW w:w="2220" w:type="dxa"/>
          </w:tcPr>
          <w:p w14:paraId="5AF68729" w14:textId="77777777" w:rsidR="00D71DD0" w:rsidRPr="00C96416" w:rsidRDefault="00D71DD0" w:rsidP="00EC1C67">
            <w:pPr>
              <w:tabs>
                <w:tab w:val="left" w:pos="0"/>
              </w:tabs>
              <w:ind w:left="57" w:right="57" w:firstLine="0"/>
              <w:rPr>
                <w:szCs w:val="24"/>
                <w:lang w:eastAsia="ru-RU"/>
              </w:rPr>
            </w:pPr>
            <w:r w:rsidRPr="00C96416">
              <w:rPr>
                <w:szCs w:val="24"/>
                <w:lang w:eastAsia="ru-RU"/>
              </w:rPr>
              <w:t>Омепразол</w:t>
            </w:r>
          </w:p>
        </w:tc>
        <w:tc>
          <w:tcPr>
            <w:tcW w:w="2344" w:type="dxa"/>
          </w:tcPr>
          <w:p w14:paraId="3EAC223C" w14:textId="77777777" w:rsidR="00D71DD0" w:rsidRDefault="00D71DD0" w:rsidP="00EC1C67">
            <w:pPr>
              <w:tabs>
                <w:tab w:val="left" w:pos="0"/>
              </w:tabs>
              <w:ind w:left="57" w:right="57" w:firstLine="0"/>
              <w:rPr>
                <w:szCs w:val="24"/>
                <w:lang w:eastAsia="ru-RU"/>
              </w:rPr>
            </w:pPr>
            <w:r w:rsidRPr="00C96416">
              <w:rPr>
                <w:szCs w:val="24"/>
                <w:lang w:eastAsia="ru-RU"/>
              </w:rPr>
              <w:t>20</w:t>
            </w:r>
          </w:p>
          <w:p w14:paraId="6CAA38AD" w14:textId="77777777" w:rsidR="00D71DD0" w:rsidRPr="00C96416" w:rsidRDefault="00D71DD0" w:rsidP="00EC1C67">
            <w:pPr>
              <w:tabs>
                <w:tab w:val="left" w:pos="0"/>
              </w:tabs>
              <w:ind w:left="57" w:right="57" w:firstLine="0"/>
              <w:rPr>
                <w:szCs w:val="24"/>
                <w:lang w:eastAsia="ru-RU"/>
              </w:rPr>
            </w:pPr>
            <w:r>
              <w:rPr>
                <w:szCs w:val="24"/>
                <w:lang w:eastAsia="ru-RU"/>
              </w:rPr>
              <w:t>40</w:t>
            </w:r>
          </w:p>
        </w:tc>
        <w:tc>
          <w:tcPr>
            <w:tcW w:w="3713" w:type="dxa"/>
          </w:tcPr>
          <w:p w14:paraId="594D3FBB" w14:textId="77777777" w:rsidR="00D71DD0" w:rsidRPr="00B56E4C" w:rsidRDefault="00D71DD0" w:rsidP="00EC1C67">
            <w:pPr>
              <w:tabs>
                <w:tab w:val="left" w:pos="0"/>
              </w:tabs>
              <w:ind w:left="57" w:right="57" w:firstLine="0"/>
              <w:rPr>
                <w:szCs w:val="24"/>
                <w:lang w:eastAsia="ru-RU"/>
              </w:rPr>
            </w:pPr>
            <w:r>
              <w:rPr>
                <w:szCs w:val="24"/>
                <w:lang w:eastAsia="ru-RU"/>
              </w:rPr>
              <w:t>Внутрь, 1 раз в сутки;</w:t>
            </w:r>
          </w:p>
          <w:p w14:paraId="0392BE95" w14:textId="77777777" w:rsidR="00D71DD0" w:rsidRPr="00D221D8" w:rsidRDefault="00D71DD0" w:rsidP="00EC1C67">
            <w:pPr>
              <w:tabs>
                <w:tab w:val="left" w:pos="0"/>
              </w:tabs>
              <w:ind w:left="57" w:right="57" w:firstLine="0"/>
              <w:rPr>
                <w:szCs w:val="24"/>
                <w:lang w:eastAsia="ru-RU"/>
              </w:rPr>
            </w:pPr>
            <w:r>
              <w:rPr>
                <w:szCs w:val="24"/>
                <w:lang w:eastAsia="ru-RU"/>
              </w:rPr>
              <w:t xml:space="preserve"> в/в, 1 раз в сутки</w:t>
            </w:r>
          </w:p>
        </w:tc>
      </w:tr>
      <w:tr w:rsidR="00D71DD0" w:rsidRPr="00C96416" w14:paraId="45790B8C" w14:textId="77777777" w:rsidTr="00EC1C67">
        <w:trPr>
          <w:jc w:val="center"/>
        </w:trPr>
        <w:tc>
          <w:tcPr>
            <w:tcW w:w="2220" w:type="dxa"/>
          </w:tcPr>
          <w:p w14:paraId="0E2E7E76" w14:textId="77777777" w:rsidR="00D71DD0" w:rsidRPr="00C96416" w:rsidRDefault="00D71DD0" w:rsidP="00EC1C67">
            <w:pPr>
              <w:tabs>
                <w:tab w:val="left" w:pos="0"/>
              </w:tabs>
              <w:ind w:left="57" w:right="57" w:firstLine="0"/>
              <w:rPr>
                <w:szCs w:val="24"/>
                <w:lang w:eastAsia="ru-RU"/>
              </w:rPr>
            </w:pPr>
            <w:r w:rsidRPr="00C96416">
              <w:rPr>
                <w:szCs w:val="24"/>
                <w:lang w:eastAsia="ru-RU"/>
              </w:rPr>
              <w:lastRenderedPageBreak/>
              <w:t>Лансопразол</w:t>
            </w:r>
          </w:p>
        </w:tc>
        <w:tc>
          <w:tcPr>
            <w:tcW w:w="2344" w:type="dxa"/>
          </w:tcPr>
          <w:p w14:paraId="28B62E1D" w14:textId="77777777" w:rsidR="00D71DD0" w:rsidRPr="00C96416" w:rsidRDefault="00D71DD0" w:rsidP="00EC1C67">
            <w:pPr>
              <w:tabs>
                <w:tab w:val="left" w:pos="0"/>
              </w:tabs>
              <w:ind w:left="57" w:right="57" w:firstLine="0"/>
              <w:rPr>
                <w:szCs w:val="24"/>
                <w:lang w:eastAsia="ru-RU"/>
              </w:rPr>
            </w:pPr>
            <w:r w:rsidRPr="00C96416">
              <w:rPr>
                <w:szCs w:val="24"/>
                <w:lang w:eastAsia="ru-RU"/>
              </w:rPr>
              <w:t>30</w:t>
            </w:r>
          </w:p>
        </w:tc>
        <w:tc>
          <w:tcPr>
            <w:tcW w:w="3713" w:type="dxa"/>
          </w:tcPr>
          <w:p w14:paraId="7013DFAE" w14:textId="77777777" w:rsidR="00D71DD0" w:rsidRDefault="00D71DD0" w:rsidP="00EC1C67">
            <w:pPr>
              <w:ind w:left="57" w:right="57" w:firstLine="0"/>
            </w:pPr>
            <w:r w:rsidRPr="00826EC3">
              <w:rPr>
                <w:szCs w:val="24"/>
                <w:lang w:eastAsia="ru-RU"/>
              </w:rPr>
              <w:t>Внутрь, 1 раз в сутки</w:t>
            </w:r>
          </w:p>
        </w:tc>
      </w:tr>
      <w:tr w:rsidR="00D71DD0" w:rsidRPr="00C96416" w14:paraId="47F2E523" w14:textId="77777777" w:rsidTr="00EC1C67">
        <w:trPr>
          <w:jc w:val="center"/>
        </w:trPr>
        <w:tc>
          <w:tcPr>
            <w:tcW w:w="2220" w:type="dxa"/>
          </w:tcPr>
          <w:p w14:paraId="4FBCE515" w14:textId="77777777" w:rsidR="00D71DD0" w:rsidRPr="00C96416" w:rsidRDefault="00D71DD0" w:rsidP="00EC1C67">
            <w:pPr>
              <w:tabs>
                <w:tab w:val="left" w:pos="0"/>
              </w:tabs>
              <w:ind w:left="57" w:right="57" w:firstLine="0"/>
              <w:rPr>
                <w:szCs w:val="24"/>
                <w:lang w:eastAsia="ru-RU"/>
              </w:rPr>
            </w:pPr>
            <w:r>
              <w:rPr>
                <w:szCs w:val="24"/>
                <w:lang w:eastAsia="ru-RU"/>
              </w:rPr>
              <w:t>П</w:t>
            </w:r>
            <w:r w:rsidRPr="00C96416">
              <w:rPr>
                <w:szCs w:val="24"/>
                <w:lang w:eastAsia="ru-RU"/>
              </w:rPr>
              <w:t>антопразол</w:t>
            </w:r>
          </w:p>
        </w:tc>
        <w:tc>
          <w:tcPr>
            <w:tcW w:w="2344" w:type="dxa"/>
          </w:tcPr>
          <w:p w14:paraId="1CAD2DB3" w14:textId="77777777" w:rsidR="00D71DD0" w:rsidRPr="00C96416" w:rsidRDefault="00D71DD0" w:rsidP="00EC1C67">
            <w:pPr>
              <w:tabs>
                <w:tab w:val="left" w:pos="0"/>
              </w:tabs>
              <w:ind w:left="57" w:right="57" w:firstLine="0"/>
              <w:rPr>
                <w:szCs w:val="24"/>
                <w:lang w:eastAsia="ru-RU"/>
              </w:rPr>
            </w:pPr>
            <w:r w:rsidRPr="00C96416">
              <w:rPr>
                <w:szCs w:val="24"/>
                <w:lang w:eastAsia="ru-RU"/>
              </w:rPr>
              <w:t>40</w:t>
            </w:r>
          </w:p>
        </w:tc>
        <w:tc>
          <w:tcPr>
            <w:tcW w:w="3713" w:type="dxa"/>
          </w:tcPr>
          <w:p w14:paraId="3ABEE20D" w14:textId="77777777" w:rsidR="00D71DD0" w:rsidRDefault="00D71DD0" w:rsidP="00EC1C67">
            <w:pPr>
              <w:ind w:left="57" w:right="57" w:firstLine="0"/>
            </w:pPr>
            <w:r w:rsidRPr="00826EC3">
              <w:rPr>
                <w:szCs w:val="24"/>
                <w:lang w:eastAsia="ru-RU"/>
              </w:rPr>
              <w:t>Внутрь, 1 раз в сутки</w:t>
            </w:r>
          </w:p>
        </w:tc>
      </w:tr>
      <w:tr w:rsidR="00D71DD0" w:rsidRPr="00C96416" w14:paraId="34767E40" w14:textId="77777777" w:rsidTr="00EC1C67">
        <w:trPr>
          <w:jc w:val="center"/>
        </w:trPr>
        <w:tc>
          <w:tcPr>
            <w:tcW w:w="2220" w:type="dxa"/>
          </w:tcPr>
          <w:p w14:paraId="4C4D5671" w14:textId="77777777" w:rsidR="00D71DD0" w:rsidRPr="00C96416" w:rsidRDefault="00D71DD0" w:rsidP="00EC1C67">
            <w:pPr>
              <w:tabs>
                <w:tab w:val="left" w:pos="0"/>
              </w:tabs>
              <w:ind w:left="57" w:right="57" w:firstLine="0"/>
              <w:rPr>
                <w:szCs w:val="24"/>
                <w:lang w:eastAsia="ru-RU"/>
              </w:rPr>
            </w:pPr>
            <w:r>
              <w:rPr>
                <w:szCs w:val="24"/>
              </w:rPr>
              <w:t>Р</w:t>
            </w:r>
            <w:r w:rsidRPr="00C96416">
              <w:rPr>
                <w:szCs w:val="24"/>
              </w:rPr>
              <w:t>абепразол</w:t>
            </w:r>
          </w:p>
        </w:tc>
        <w:tc>
          <w:tcPr>
            <w:tcW w:w="2344" w:type="dxa"/>
          </w:tcPr>
          <w:p w14:paraId="4DFA0803" w14:textId="77777777" w:rsidR="00D71DD0" w:rsidRPr="00C96416" w:rsidRDefault="00D71DD0" w:rsidP="00EC1C67">
            <w:pPr>
              <w:tabs>
                <w:tab w:val="left" w:pos="0"/>
              </w:tabs>
              <w:ind w:left="57" w:right="57" w:firstLine="0"/>
              <w:rPr>
                <w:szCs w:val="24"/>
                <w:lang w:eastAsia="ru-RU"/>
              </w:rPr>
            </w:pPr>
            <w:r w:rsidRPr="00C96416">
              <w:rPr>
                <w:szCs w:val="24"/>
                <w:lang w:eastAsia="ru-RU"/>
              </w:rPr>
              <w:t>20</w:t>
            </w:r>
          </w:p>
        </w:tc>
        <w:tc>
          <w:tcPr>
            <w:tcW w:w="3713" w:type="dxa"/>
          </w:tcPr>
          <w:p w14:paraId="0C124890" w14:textId="77777777" w:rsidR="00D71DD0" w:rsidRDefault="00D71DD0" w:rsidP="00EC1C67">
            <w:pPr>
              <w:ind w:left="57" w:right="57" w:firstLine="0"/>
            </w:pPr>
            <w:r w:rsidRPr="00826EC3">
              <w:rPr>
                <w:szCs w:val="24"/>
                <w:lang w:eastAsia="ru-RU"/>
              </w:rPr>
              <w:t>Внутрь, 1 раз в сутки</w:t>
            </w:r>
          </w:p>
        </w:tc>
      </w:tr>
      <w:tr w:rsidR="00D71DD0" w:rsidRPr="00C96416" w14:paraId="698236E7" w14:textId="77777777" w:rsidTr="00EC1C67">
        <w:trPr>
          <w:jc w:val="center"/>
        </w:trPr>
        <w:tc>
          <w:tcPr>
            <w:tcW w:w="2220" w:type="dxa"/>
          </w:tcPr>
          <w:p w14:paraId="40D63118" w14:textId="77777777" w:rsidR="00D71DD0" w:rsidRPr="00C96416" w:rsidRDefault="00D71DD0" w:rsidP="00EC1C67">
            <w:pPr>
              <w:tabs>
                <w:tab w:val="left" w:pos="0"/>
              </w:tabs>
              <w:ind w:left="57" w:right="57" w:firstLine="0"/>
              <w:rPr>
                <w:szCs w:val="24"/>
              </w:rPr>
            </w:pPr>
            <w:r>
              <w:rPr>
                <w:szCs w:val="24"/>
              </w:rPr>
              <w:t>Э</w:t>
            </w:r>
            <w:r w:rsidRPr="00C96416">
              <w:rPr>
                <w:szCs w:val="24"/>
              </w:rPr>
              <w:t>зомепразол</w:t>
            </w:r>
          </w:p>
        </w:tc>
        <w:tc>
          <w:tcPr>
            <w:tcW w:w="2344" w:type="dxa"/>
          </w:tcPr>
          <w:p w14:paraId="7426495F" w14:textId="77777777" w:rsidR="00D71DD0" w:rsidRPr="00C96416" w:rsidRDefault="00D71DD0" w:rsidP="00EC1C67">
            <w:pPr>
              <w:tabs>
                <w:tab w:val="left" w:pos="0"/>
              </w:tabs>
              <w:ind w:left="57" w:right="57" w:firstLine="0"/>
              <w:rPr>
                <w:szCs w:val="24"/>
                <w:lang w:eastAsia="ru-RU"/>
              </w:rPr>
            </w:pPr>
            <w:r w:rsidRPr="00C96416">
              <w:rPr>
                <w:szCs w:val="24"/>
                <w:lang w:eastAsia="ru-RU"/>
              </w:rPr>
              <w:t>20</w:t>
            </w:r>
          </w:p>
        </w:tc>
        <w:tc>
          <w:tcPr>
            <w:tcW w:w="3713" w:type="dxa"/>
          </w:tcPr>
          <w:p w14:paraId="7BD9B1AD" w14:textId="77777777" w:rsidR="00D71DD0" w:rsidRDefault="00D71DD0" w:rsidP="00EC1C67">
            <w:pPr>
              <w:ind w:left="57" w:right="57" w:firstLine="0"/>
            </w:pPr>
            <w:r w:rsidRPr="00826EC3">
              <w:rPr>
                <w:szCs w:val="24"/>
                <w:lang w:eastAsia="ru-RU"/>
              </w:rPr>
              <w:t>Внутрь</w:t>
            </w:r>
            <w:r>
              <w:rPr>
                <w:szCs w:val="24"/>
                <w:lang w:eastAsia="ru-RU"/>
              </w:rPr>
              <w:t xml:space="preserve"> или в/в</w:t>
            </w:r>
            <w:r w:rsidRPr="00826EC3">
              <w:rPr>
                <w:szCs w:val="24"/>
                <w:lang w:eastAsia="ru-RU"/>
              </w:rPr>
              <w:t>, 1 раз в сутки</w:t>
            </w:r>
          </w:p>
        </w:tc>
      </w:tr>
    </w:tbl>
    <w:p w14:paraId="43811BE7" w14:textId="77777777" w:rsidR="00D71DD0" w:rsidRDefault="00D71DD0" w:rsidP="00D71DD0">
      <w:pPr>
        <w:pStyle w:val="Normal11"/>
        <w:tabs>
          <w:tab w:val="left" w:pos="0"/>
        </w:tabs>
        <w:spacing w:before="0" w:line="360" w:lineRule="auto"/>
        <w:ind w:left="0" w:firstLine="0"/>
        <w:jc w:val="both"/>
        <w:rPr>
          <w:rFonts w:cs="Times New Roman"/>
        </w:rPr>
      </w:pPr>
    </w:p>
    <w:p w14:paraId="4B183A8B" w14:textId="77777777" w:rsidR="00D71DD0" w:rsidRPr="00C96416" w:rsidRDefault="00D71DD0" w:rsidP="00D71DD0">
      <w:r>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p>
    <w:p w14:paraId="7B8AC73A" w14:textId="77777777" w:rsidR="00D71DD0" w:rsidRDefault="00D71DD0" w:rsidP="00D71DD0">
      <w:pPr>
        <w:pStyle w:val="Normal11"/>
        <w:tabs>
          <w:tab w:val="left" w:pos="0"/>
        </w:tabs>
        <w:spacing w:before="0" w:line="360" w:lineRule="auto"/>
        <w:ind w:firstLine="699"/>
        <w:jc w:val="both"/>
        <w:rPr>
          <w:rFonts w:cs="Times New Roman"/>
          <w:bCs/>
          <w:i/>
          <w:iCs/>
          <w:u w:val="single"/>
          <w:shd w:val="clear" w:color="auto" w:fill="FFFFFF"/>
        </w:rPr>
      </w:pPr>
    </w:p>
    <w:p w14:paraId="1609E905" w14:textId="77777777" w:rsidR="00D71DD0" w:rsidRPr="00A56C81" w:rsidRDefault="00D71DD0" w:rsidP="00D71DD0">
      <w:pPr>
        <w:pStyle w:val="Normal11"/>
        <w:tabs>
          <w:tab w:val="left" w:pos="0"/>
        </w:tabs>
        <w:spacing w:before="0" w:line="360" w:lineRule="auto"/>
        <w:ind w:firstLine="699"/>
        <w:jc w:val="both"/>
        <w:rPr>
          <w:rFonts w:cs="Times New Roman"/>
          <w:bCs/>
          <w:i/>
          <w:iCs/>
          <w:u w:val="single"/>
          <w:shd w:val="clear" w:color="auto" w:fill="FFFFFF"/>
        </w:rPr>
      </w:pPr>
      <w:r w:rsidRPr="00A56C81">
        <w:rPr>
          <w:rFonts w:cs="Times New Roman"/>
          <w:bCs/>
          <w:i/>
          <w:iCs/>
          <w:u w:val="single"/>
          <w:shd w:val="clear" w:color="auto" w:fill="FFFFFF"/>
        </w:rPr>
        <w:t xml:space="preserve">Блокаторы Н2-гистаминовых рецепторов </w:t>
      </w:r>
    </w:p>
    <w:p w14:paraId="153D1C7E" w14:textId="77777777" w:rsidR="00D71DD0" w:rsidRPr="00A56C81" w:rsidRDefault="00D71DD0" w:rsidP="00D71DD0">
      <w:r w:rsidRPr="00A56C81">
        <w:t xml:space="preserve">Секреторные реакции желудка при действии экзогенного или эндогенного гистамина реализуются через Н2-гистаминорецепторы. Блокаторы гистаминовых Н2-рецепторов являются конкурентными антагонистами гистамина и подавляют вызванную различными раздражителями секрецию соляной кислоты за счет вытеснения гистамина из связи с Н2-рецепторами париетальных клеток. Препараты этой группы поддерживают показатели внутрижелудочного рН &gt; 3 на протяжении суток. Применение Н2-блокаторов в течение 1-1,5 месяца приводит к рубцеванию язвенного дефекта у 70–80 % пациентов с дуоденальными язвами и у 55–60 % пациентов с язвами желудка. Тем не менее, после внедрения ИПП в клиническую практику в качестве базисной антисекреторной терапии, Н2-блокаторы применяются реже, главным образом при невозможности применения ИПП. </w:t>
      </w:r>
    </w:p>
    <w:p w14:paraId="647ABFAC" w14:textId="5074660D" w:rsidR="00D71DD0" w:rsidRDefault="00D71DD0" w:rsidP="00D71DD0">
      <w:r w:rsidRPr="00A56C81">
        <w:t>В группу препаратов – блокаторов Н2-гистаминовых рецепторов входят ранитидин, фамотидин, применяемые во время проведения курсов противоопухолевой терапии, включающей системные ГКС, в указанных в таблице</w:t>
      </w:r>
      <w:r>
        <w:t xml:space="preserve"> 7.</w:t>
      </w:r>
      <w:r w:rsidR="00EF3174">
        <w:t>7</w:t>
      </w:r>
      <w:r>
        <w:t>.2</w:t>
      </w:r>
      <w:r w:rsidRPr="00A56C81">
        <w:t xml:space="preserve"> дозах</w:t>
      </w:r>
      <w:r w:rsidRPr="0016000A">
        <w:t xml:space="preserve"> </w:t>
      </w:r>
      <w:r>
        <w:t xml:space="preserve"> </w:t>
      </w:r>
      <w:r>
        <w:fldChar w:fldCharType="begin" w:fldLock="1"/>
      </w:r>
      <w:r w:rsidR="004D13EB">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id":"ITEM-3","itemData":{"author":[{"dropping-particle":"","family":"Poynard","given":"T.","non-dropping-particle":"","parse-names":false,"suffix":""},{"dropping-particle":"","family":"Lemaire","given":"M.","non-dropping-particle":"","parse-names":false,"suffix":""},{"dropping-particle":"","family":"Agostini","given":"H.","non-dropping-particle":"","parse-names":false,"suffix":""}],"container-title":"European Journal of Gastroenterology and Hepatology","id":"ITEM-3","issue":"7","issued":{"date-parts":[["1995"]]},"page":"661-665","title":"Meta-analysis of randomized clinical trials comparing lansoprazole with ranitidine or famotidine in the treatment of acute duodenal ulcer","type":"article-journal","volume":"7"},"uris":["http://www.mendeley.com/documents/?uuid=5db0b11d-6521-4aed-b5ed-29192f1bbc07"]}],"mendeley":{"formattedCitation":"[70,71,73]","plainTextFormattedCitation":"[70,71,73]","previouslyFormattedCitation":"[70,71,73]"},"properties":{"noteIndex":0},"schema":"https://github.com/citation-style-language/schema/raw/master/csl-citation.json"}</w:instrText>
      </w:r>
      <w:r>
        <w:fldChar w:fldCharType="separate"/>
      </w:r>
      <w:r w:rsidR="00EF3174" w:rsidRPr="00EF3174">
        <w:rPr>
          <w:noProof/>
        </w:rPr>
        <w:t>[70,71,73]</w:t>
      </w:r>
      <w:r>
        <w:fldChar w:fldCharType="end"/>
      </w:r>
      <w:r w:rsidRPr="00A56C81">
        <w:t>.</w:t>
      </w:r>
    </w:p>
    <w:p w14:paraId="541828A3" w14:textId="77777777" w:rsidR="00D71DD0" w:rsidRDefault="00D71DD0" w:rsidP="00D71DD0">
      <w:pPr>
        <w:rPr>
          <w:b/>
          <w:szCs w:val="24"/>
        </w:rPr>
      </w:pPr>
    </w:p>
    <w:p w14:paraId="3DDBD86C" w14:textId="6F710BD1" w:rsidR="00D71DD0" w:rsidRPr="00F76AD4" w:rsidRDefault="00D71DD0" w:rsidP="00D71DD0">
      <w:pPr>
        <w:rPr>
          <w:bCs/>
        </w:rPr>
      </w:pPr>
      <w:r w:rsidRPr="00F76AD4">
        <w:rPr>
          <w:bCs/>
          <w:szCs w:val="24"/>
        </w:rPr>
        <w:t xml:space="preserve">Таблица </w:t>
      </w:r>
      <w:r>
        <w:rPr>
          <w:bCs/>
          <w:szCs w:val="24"/>
        </w:rPr>
        <w:t>7.</w:t>
      </w:r>
      <w:r w:rsidR="00EF3174">
        <w:rPr>
          <w:bCs/>
          <w:szCs w:val="24"/>
        </w:rPr>
        <w:t>7</w:t>
      </w:r>
      <w:r>
        <w:rPr>
          <w:bCs/>
          <w:szCs w:val="24"/>
        </w:rPr>
        <w:t>.</w:t>
      </w:r>
      <w:r w:rsidRPr="00F76AD4">
        <w:rPr>
          <w:bCs/>
          <w:szCs w:val="24"/>
        </w:rPr>
        <w:t xml:space="preserve">2. Режим дозирования блокаторов Н2-гистаминовых рецепторов </w:t>
      </w:r>
    </w:p>
    <w:tbl>
      <w:tblPr>
        <w:tblStyle w:val="aff8"/>
        <w:tblW w:w="0" w:type="auto"/>
        <w:jc w:val="center"/>
        <w:tblLook w:val="04A0" w:firstRow="1" w:lastRow="0" w:firstColumn="1" w:lastColumn="0" w:noHBand="0" w:noVBand="1"/>
      </w:tblPr>
      <w:tblGrid>
        <w:gridCol w:w="1942"/>
        <w:gridCol w:w="2268"/>
        <w:gridCol w:w="3358"/>
      </w:tblGrid>
      <w:tr w:rsidR="00D71DD0" w:rsidRPr="00C96416" w14:paraId="06602441" w14:textId="77777777" w:rsidTr="00EC1C67">
        <w:trPr>
          <w:jc w:val="center"/>
        </w:trPr>
        <w:tc>
          <w:tcPr>
            <w:tcW w:w="1942" w:type="dxa"/>
          </w:tcPr>
          <w:p w14:paraId="360A6D98" w14:textId="77777777" w:rsidR="00D71DD0" w:rsidRPr="00C96416" w:rsidRDefault="00D71DD0" w:rsidP="00EC1C67">
            <w:pPr>
              <w:tabs>
                <w:tab w:val="left" w:pos="0"/>
              </w:tabs>
              <w:ind w:firstLine="0"/>
              <w:rPr>
                <w:b/>
                <w:szCs w:val="24"/>
                <w:lang w:eastAsia="ru-RU"/>
              </w:rPr>
            </w:pPr>
            <w:r w:rsidRPr="00C96416">
              <w:rPr>
                <w:b/>
                <w:szCs w:val="24"/>
                <w:lang w:eastAsia="ru-RU"/>
              </w:rPr>
              <w:t>Препараты</w:t>
            </w:r>
          </w:p>
        </w:tc>
        <w:tc>
          <w:tcPr>
            <w:tcW w:w="2268" w:type="dxa"/>
          </w:tcPr>
          <w:p w14:paraId="491B2933" w14:textId="77777777" w:rsidR="00D71DD0" w:rsidRPr="00C96416" w:rsidRDefault="00D71DD0" w:rsidP="00EC1C67">
            <w:pPr>
              <w:tabs>
                <w:tab w:val="left" w:pos="0"/>
              </w:tabs>
              <w:ind w:firstLine="0"/>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358" w:type="dxa"/>
          </w:tcPr>
          <w:p w14:paraId="32086038" w14:textId="77777777" w:rsidR="00D71DD0" w:rsidRPr="00C96416" w:rsidRDefault="00D71DD0" w:rsidP="00EC1C67">
            <w:pPr>
              <w:tabs>
                <w:tab w:val="left" w:pos="0"/>
              </w:tabs>
              <w:ind w:firstLine="0"/>
              <w:rPr>
                <w:b/>
                <w:szCs w:val="24"/>
                <w:lang w:eastAsia="ru-RU"/>
              </w:rPr>
            </w:pPr>
            <w:r w:rsidRPr="00C96416">
              <w:rPr>
                <w:b/>
                <w:szCs w:val="24"/>
                <w:lang w:eastAsia="ru-RU"/>
              </w:rPr>
              <w:t>Режим дозирования</w:t>
            </w:r>
          </w:p>
        </w:tc>
      </w:tr>
      <w:tr w:rsidR="00D71DD0" w:rsidRPr="00C96416" w14:paraId="5F3600F5" w14:textId="77777777" w:rsidTr="00EC1C67">
        <w:trPr>
          <w:jc w:val="center"/>
        </w:trPr>
        <w:tc>
          <w:tcPr>
            <w:tcW w:w="1942" w:type="dxa"/>
          </w:tcPr>
          <w:p w14:paraId="315B9846" w14:textId="77777777" w:rsidR="00D71DD0" w:rsidRPr="00C96416" w:rsidRDefault="00D71DD0" w:rsidP="00EC1C67">
            <w:pPr>
              <w:tabs>
                <w:tab w:val="left" w:pos="0"/>
              </w:tabs>
              <w:ind w:firstLine="0"/>
              <w:rPr>
                <w:szCs w:val="24"/>
                <w:lang w:eastAsia="ru-RU"/>
              </w:rPr>
            </w:pPr>
            <w:r>
              <w:rPr>
                <w:szCs w:val="24"/>
                <w:lang w:eastAsia="ru-RU"/>
              </w:rPr>
              <w:t>Ранитидин</w:t>
            </w:r>
          </w:p>
        </w:tc>
        <w:tc>
          <w:tcPr>
            <w:tcW w:w="2268" w:type="dxa"/>
          </w:tcPr>
          <w:p w14:paraId="21ED73EC" w14:textId="77777777" w:rsidR="00D71DD0" w:rsidRPr="00C96416" w:rsidRDefault="00D71DD0" w:rsidP="00EC1C67">
            <w:pPr>
              <w:tabs>
                <w:tab w:val="left" w:pos="0"/>
              </w:tabs>
              <w:rPr>
                <w:szCs w:val="24"/>
                <w:lang w:eastAsia="ru-RU"/>
              </w:rPr>
            </w:pPr>
            <w:r>
              <w:rPr>
                <w:szCs w:val="24"/>
                <w:lang w:eastAsia="ru-RU"/>
              </w:rPr>
              <w:t>150</w:t>
            </w:r>
          </w:p>
        </w:tc>
        <w:tc>
          <w:tcPr>
            <w:tcW w:w="3358" w:type="dxa"/>
          </w:tcPr>
          <w:p w14:paraId="2D84EAF2" w14:textId="77777777" w:rsidR="00D71DD0" w:rsidRPr="00C96416" w:rsidRDefault="00D71DD0" w:rsidP="00EC1C67">
            <w:pPr>
              <w:tabs>
                <w:tab w:val="left" w:pos="0"/>
              </w:tabs>
              <w:ind w:firstLine="0"/>
              <w:rPr>
                <w:szCs w:val="24"/>
                <w:lang w:eastAsia="ru-RU"/>
              </w:rPr>
            </w:pPr>
            <w:r>
              <w:rPr>
                <w:szCs w:val="24"/>
                <w:lang w:eastAsia="ru-RU"/>
              </w:rPr>
              <w:t>Внутрь, 1 раз в сутки, на ночь</w:t>
            </w:r>
          </w:p>
        </w:tc>
      </w:tr>
      <w:tr w:rsidR="00D71DD0" w:rsidRPr="00C96416" w14:paraId="6EB11DAE" w14:textId="77777777" w:rsidTr="00EC1C67">
        <w:trPr>
          <w:jc w:val="center"/>
        </w:trPr>
        <w:tc>
          <w:tcPr>
            <w:tcW w:w="1942" w:type="dxa"/>
          </w:tcPr>
          <w:p w14:paraId="35CF95F0" w14:textId="77777777" w:rsidR="00D71DD0" w:rsidRPr="00C96416" w:rsidRDefault="00D71DD0" w:rsidP="00EC1C67">
            <w:pPr>
              <w:tabs>
                <w:tab w:val="left" w:pos="0"/>
              </w:tabs>
              <w:ind w:firstLine="0"/>
              <w:rPr>
                <w:szCs w:val="24"/>
                <w:lang w:eastAsia="ru-RU"/>
              </w:rPr>
            </w:pPr>
            <w:r>
              <w:rPr>
                <w:szCs w:val="24"/>
                <w:lang w:eastAsia="ru-RU"/>
              </w:rPr>
              <w:t>Фамотидин</w:t>
            </w:r>
          </w:p>
        </w:tc>
        <w:tc>
          <w:tcPr>
            <w:tcW w:w="2268" w:type="dxa"/>
          </w:tcPr>
          <w:p w14:paraId="77B7F758" w14:textId="77777777" w:rsidR="00D71DD0" w:rsidRPr="00C96416" w:rsidRDefault="00D71DD0" w:rsidP="00EC1C67">
            <w:pPr>
              <w:tabs>
                <w:tab w:val="left" w:pos="0"/>
              </w:tabs>
              <w:rPr>
                <w:szCs w:val="24"/>
                <w:lang w:eastAsia="ru-RU"/>
              </w:rPr>
            </w:pPr>
            <w:r>
              <w:rPr>
                <w:szCs w:val="24"/>
                <w:lang w:eastAsia="ru-RU"/>
              </w:rPr>
              <w:t>2</w:t>
            </w:r>
            <w:r w:rsidRPr="00C96416">
              <w:rPr>
                <w:szCs w:val="24"/>
                <w:lang w:eastAsia="ru-RU"/>
              </w:rPr>
              <w:t xml:space="preserve">0 </w:t>
            </w:r>
          </w:p>
        </w:tc>
        <w:tc>
          <w:tcPr>
            <w:tcW w:w="3358" w:type="dxa"/>
          </w:tcPr>
          <w:p w14:paraId="6798DF08" w14:textId="77777777" w:rsidR="00D71DD0" w:rsidRDefault="00D71DD0" w:rsidP="00EC1C67">
            <w:pPr>
              <w:ind w:firstLine="0"/>
            </w:pPr>
            <w:r w:rsidRPr="00826EC3">
              <w:rPr>
                <w:szCs w:val="24"/>
                <w:lang w:eastAsia="ru-RU"/>
              </w:rPr>
              <w:t>Внутрь, 1 раз в сутки</w:t>
            </w:r>
            <w:r>
              <w:rPr>
                <w:szCs w:val="24"/>
                <w:lang w:eastAsia="ru-RU"/>
              </w:rPr>
              <w:t>, на ночь</w:t>
            </w:r>
          </w:p>
        </w:tc>
      </w:tr>
    </w:tbl>
    <w:p w14:paraId="1BCC8C02" w14:textId="77777777" w:rsidR="00D71DD0" w:rsidRPr="00D56308" w:rsidRDefault="00D71DD0" w:rsidP="00D71DD0">
      <w:pPr>
        <w:rPr>
          <w:szCs w:val="24"/>
        </w:rPr>
      </w:pPr>
    </w:p>
    <w:p w14:paraId="3E638609" w14:textId="7BAB9B38" w:rsidR="00F76439" w:rsidRPr="00C81573" w:rsidRDefault="00F76439" w:rsidP="00B8195D"/>
    <w:p w14:paraId="0B19CA2F" w14:textId="77777777" w:rsidR="000414F6" w:rsidRPr="00C81573" w:rsidRDefault="00CB71DA" w:rsidP="00F05351">
      <w:pPr>
        <w:pStyle w:val="afff1"/>
      </w:pPr>
      <w:bookmarkStart w:id="97" w:name="_Toc11747750"/>
      <w:bookmarkStart w:id="98" w:name="_Toc103332114"/>
      <w:r w:rsidRPr="00C81573">
        <w:lastRenderedPageBreak/>
        <w:t>Критерии оценки качества медицинской помощи</w:t>
      </w:r>
      <w:bookmarkEnd w:id="79"/>
      <w:bookmarkEnd w:id="97"/>
      <w:bookmarkEnd w:id="98"/>
    </w:p>
    <w:p w14:paraId="26B45C73" w14:textId="77777777" w:rsidR="0025228A" w:rsidRPr="00C81573" w:rsidRDefault="0025228A" w:rsidP="00094ED6">
      <w:pPr>
        <w:pStyle w:val="afffa"/>
      </w:pPr>
    </w:p>
    <w:p w14:paraId="7544E5C2" w14:textId="77777777" w:rsidR="008730C4" w:rsidRPr="008730C4" w:rsidRDefault="008730C4" w:rsidP="008730C4">
      <w:pPr>
        <w:rPr>
          <w:vanish/>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
        <w:gridCol w:w="6666"/>
        <w:gridCol w:w="2254"/>
      </w:tblGrid>
      <w:tr w:rsidR="00C960A4" w14:paraId="2CE17BB5" w14:textId="77777777" w:rsidTr="000E7A74">
        <w:trPr>
          <w:tblHeader/>
        </w:trPr>
        <w:tc>
          <w:tcPr>
            <w:tcW w:w="224" w:type="pct"/>
            <w:tcBorders>
              <w:top w:val="single" w:sz="6" w:space="0" w:color="000000"/>
              <w:left w:val="single" w:sz="6" w:space="0" w:color="000000"/>
              <w:bottom w:val="single" w:sz="6" w:space="0" w:color="000000"/>
              <w:right w:val="single" w:sz="6" w:space="0" w:color="000000"/>
            </w:tcBorders>
            <w:vAlign w:val="center"/>
            <w:hideMark/>
          </w:tcPr>
          <w:p w14:paraId="3998421F" w14:textId="77777777" w:rsidR="00C960A4" w:rsidRDefault="00C960A4" w:rsidP="00C960A4">
            <w:pPr>
              <w:pStyle w:val="affff"/>
              <w:spacing w:beforeAutospacing="0" w:afterAutospacing="0" w:line="240" w:lineRule="auto"/>
              <w:ind w:firstLine="0"/>
              <w:jc w:val="center"/>
            </w:pPr>
            <w:bookmarkStart w:id="99" w:name="__RefHeading___doc_bible"/>
            <w:r>
              <w:rPr>
                <w:rStyle w:val="aff9"/>
              </w:rPr>
              <w:t>№</w:t>
            </w:r>
          </w:p>
          <w:p w14:paraId="212D6E3D" w14:textId="77777777" w:rsidR="00C960A4" w:rsidRDefault="00C960A4" w:rsidP="00C960A4">
            <w:pPr>
              <w:pStyle w:val="affff"/>
              <w:spacing w:beforeAutospacing="0" w:afterAutospacing="0" w:line="240" w:lineRule="auto"/>
              <w:ind w:firstLine="0"/>
              <w:jc w:val="center"/>
            </w:pPr>
          </w:p>
        </w:tc>
        <w:tc>
          <w:tcPr>
            <w:tcW w:w="3569" w:type="pct"/>
            <w:tcBorders>
              <w:top w:val="single" w:sz="6" w:space="0" w:color="000000"/>
              <w:left w:val="single" w:sz="6" w:space="0" w:color="000000"/>
              <w:bottom w:val="single" w:sz="6" w:space="0" w:color="000000"/>
              <w:right w:val="single" w:sz="6" w:space="0" w:color="000000"/>
            </w:tcBorders>
            <w:vAlign w:val="center"/>
            <w:hideMark/>
          </w:tcPr>
          <w:p w14:paraId="66EADEDE" w14:textId="77777777" w:rsidR="00C960A4" w:rsidRDefault="00C960A4" w:rsidP="000E7A74">
            <w:pPr>
              <w:pStyle w:val="affff"/>
              <w:spacing w:beforeAutospacing="0" w:afterAutospacing="0" w:line="240" w:lineRule="auto"/>
              <w:ind w:firstLine="0"/>
              <w:jc w:val="center"/>
            </w:pPr>
            <w:r>
              <w:rPr>
                <w:rStyle w:val="aff9"/>
              </w:rPr>
              <w:t>Критерии качества</w:t>
            </w:r>
          </w:p>
        </w:tc>
        <w:tc>
          <w:tcPr>
            <w:tcW w:w="1207" w:type="pct"/>
            <w:tcBorders>
              <w:top w:val="single" w:sz="6" w:space="0" w:color="000000"/>
              <w:left w:val="single" w:sz="6" w:space="0" w:color="000000"/>
              <w:bottom w:val="single" w:sz="6" w:space="0" w:color="000000"/>
              <w:right w:val="single" w:sz="6" w:space="0" w:color="000000"/>
            </w:tcBorders>
            <w:vAlign w:val="center"/>
            <w:hideMark/>
          </w:tcPr>
          <w:p w14:paraId="5B74DA24" w14:textId="77777777" w:rsidR="00C960A4" w:rsidRDefault="00C960A4" w:rsidP="000E7A74">
            <w:pPr>
              <w:pStyle w:val="affff"/>
              <w:spacing w:beforeAutospacing="0" w:afterAutospacing="0" w:line="240" w:lineRule="auto"/>
              <w:ind w:firstLine="0"/>
              <w:jc w:val="center"/>
            </w:pPr>
            <w:r w:rsidRPr="0047097A">
              <w:rPr>
                <w:b/>
                <w:bCs/>
              </w:rPr>
              <w:t>Оценка выполнения</w:t>
            </w:r>
          </w:p>
        </w:tc>
      </w:tr>
      <w:tr w:rsidR="00C960A4" w14:paraId="4E2930B0" w14:textId="77777777" w:rsidTr="000E7A74">
        <w:tc>
          <w:tcPr>
            <w:tcW w:w="224" w:type="pct"/>
            <w:tcBorders>
              <w:top w:val="single" w:sz="6" w:space="0" w:color="000000"/>
              <w:left w:val="single" w:sz="6" w:space="0" w:color="000000"/>
              <w:bottom w:val="single" w:sz="6" w:space="0" w:color="000000"/>
              <w:right w:val="single" w:sz="6" w:space="0" w:color="000000"/>
            </w:tcBorders>
            <w:hideMark/>
          </w:tcPr>
          <w:p w14:paraId="6153A66B" w14:textId="77777777" w:rsidR="00C960A4" w:rsidRDefault="00C960A4" w:rsidP="00A72B1B">
            <w:pPr>
              <w:pStyle w:val="affff"/>
              <w:numPr>
                <w:ilvl w:val="0"/>
                <w:numId w:val="3"/>
              </w:numPr>
              <w:spacing w:beforeAutospacing="0" w:afterAutospacing="0" w:line="240" w:lineRule="auto"/>
              <w:ind w:left="0" w:firstLine="0"/>
              <w:jc w:val="center"/>
            </w:pPr>
          </w:p>
        </w:tc>
        <w:tc>
          <w:tcPr>
            <w:tcW w:w="3569" w:type="pct"/>
            <w:tcBorders>
              <w:top w:val="single" w:sz="6" w:space="0" w:color="000000"/>
              <w:left w:val="single" w:sz="6" w:space="0" w:color="000000"/>
              <w:bottom w:val="single" w:sz="6" w:space="0" w:color="000000"/>
              <w:right w:val="single" w:sz="6" w:space="0" w:color="000000"/>
            </w:tcBorders>
            <w:vAlign w:val="center"/>
          </w:tcPr>
          <w:p w14:paraId="612444A4" w14:textId="4C2216E9" w:rsidR="00C960A4" w:rsidRDefault="00C960A4" w:rsidP="000E7A74">
            <w:pPr>
              <w:pStyle w:val="affff"/>
              <w:spacing w:beforeAutospacing="0" w:afterAutospacing="0" w:line="240" w:lineRule="auto"/>
              <w:ind w:firstLine="0"/>
            </w:pPr>
            <w:r>
              <w:t>Пациенту с подозрением на</w:t>
            </w:r>
            <w:r w:rsidRPr="00C960A4">
              <w:t xml:space="preserve"> </w:t>
            </w:r>
            <w:r>
              <w:t>ЛМЗ или с выявленной ЛМЗ</w:t>
            </w:r>
            <w:r w:rsidRPr="00C960A4">
              <w:t xml:space="preserve"> </w:t>
            </w:r>
            <w:r>
              <w:t>при первичном или повторном приеме, после завершения каждого цикла терапии и перед началом каждого нового цикла терапии, при оценке ремиссии после завершения терапии, при контрольных обследованиях, или при подозрении на рецидив заболевания выполнен развернутый клинический анализ крови с определением гемоглобина, эритроцитов, тромбоцитов, лейкоцитов, подсчетом лейкоцитарной формулы с оценкой абсолютного содержания лейкоцитов и количества ретикулоцитов, оценкой скорости оседания эритроцитов</w:t>
            </w:r>
          </w:p>
        </w:tc>
        <w:tc>
          <w:tcPr>
            <w:tcW w:w="1207" w:type="pct"/>
            <w:tcBorders>
              <w:top w:val="single" w:sz="6" w:space="0" w:color="000000"/>
              <w:left w:val="single" w:sz="6" w:space="0" w:color="000000"/>
              <w:bottom w:val="single" w:sz="6" w:space="0" w:color="000000"/>
              <w:right w:val="single" w:sz="6" w:space="0" w:color="000000"/>
            </w:tcBorders>
          </w:tcPr>
          <w:p w14:paraId="476A2563" w14:textId="77777777" w:rsidR="00C960A4" w:rsidRDefault="00C960A4" w:rsidP="00C960A4">
            <w:pPr>
              <w:pStyle w:val="affff"/>
              <w:spacing w:beforeAutospacing="0" w:afterAutospacing="0" w:line="240" w:lineRule="auto"/>
              <w:ind w:firstLine="0"/>
              <w:jc w:val="center"/>
            </w:pPr>
            <w:r w:rsidRPr="008A2ECC">
              <w:t>Да/Нет</w:t>
            </w:r>
          </w:p>
        </w:tc>
      </w:tr>
      <w:tr w:rsidR="00C960A4" w14:paraId="4A0D531B" w14:textId="77777777" w:rsidTr="000E7A74">
        <w:tc>
          <w:tcPr>
            <w:tcW w:w="224" w:type="pct"/>
            <w:tcBorders>
              <w:top w:val="single" w:sz="6" w:space="0" w:color="000000"/>
              <w:left w:val="single" w:sz="6" w:space="0" w:color="000000"/>
              <w:bottom w:val="single" w:sz="6" w:space="0" w:color="000000"/>
              <w:right w:val="single" w:sz="6" w:space="0" w:color="000000"/>
            </w:tcBorders>
            <w:hideMark/>
          </w:tcPr>
          <w:p w14:paraId="1D3DB518" w14:textId="77777777" w:rsidR="00C960A4" w:rsidRDefault="00C960A4" w:rsidP="00A72B1B">
            <w:pPr>
              <w:pStyle w:val="affff"/>
              <w:numPr>
                <w:ilvl w:val="0"/>
                <w:numId w:val="3"/>
              </w:numPr>
              <w:spacing w:beforeAutospacing="0" w:afterAutospacing="0" w:line="240" w:lineRule="auto"/>
              <w:ind w:left="0" w:firstLine="0"/>
              <w:jc w:val="center"/>
            </w:pPr>
          </w:p>
        </w:tc>
        <w:tc>
          <w:tcPr>
            <w:tcW w:w="3569" w:type="pct"/>
            <w:tcBorders>
              <w:top w:val="single" w:sz="6" w:space="0" w:color="000000"/>
              <w:left w:val="single" w:sz="6" w:space="0" w:color="000000"/>
              <w:bottom w:val="single" w:sz="6" w:space="0" w:color="000000"/>
              <w:right w:val="single" w:sz="6" w:space="0" w:color="000000"/>
            </w:tcBorders>
            <w:vAlign w:val="center"/>
          </w:tcPr>
          <w:p w14:paraId="6359156F" w14:textId="4FDAB862" w:rsidR="00C960A4" w:rsidRDefault="00C960A4" w:rsidP="000E7A74">
            <w:pPr>
              <w:pStyle w:val="affff"/>
              <w:spacing w:beforeAutospacing="0" w:afterAutospacing="0" w:line="240" w:lineRule="auto"/>
              <w:ind w:firstLine="0"/>
            </w:pPr>
            <w:r>
              <w:t>Пациенту с подозрением на ЛМЗ</w:t>
            </w:r>
            <w:r w:rsidRPr="00C960A4">
              <w:t xml:space="preserve"> </w:t>
            </w:r>
            <w:r>
              <w:t>или с выявленной ЛМЗ</w:t>
            </w:r>
            <w:r w:rsidRPr="00C960A4">
              <w:t xml:space="preserve"> </w:t>
            </w:r>
            <w:r>
              <w:t xml:space="preserve">при первичном или повторном приеме, после завершения каждого цикла терапии и перед началом каждого нового цикла терапии, при оценке ремиссии после завершения терапии, при контрольных обследованиях, или при подозрении на рецидив заболевания выполнен анализ крови биохимический общетерапевтический с </w:t>
            </w:r>
            <w:r w:rsidRPr="0052462B">
              <w:rPr>
                <w:iCs/>
              </w:rPr>
              <w:t>включ</w:t>
            </w:r>
            <w:r>
              <w:rPr>
                <w:iCs/>
              </w:rPr>
              <w:t>ением</w:t>
            </w:r>
            <w:r w:rsidRPr="0052462B">
              <w:rPr>
                <w:iCs/>
              </w:rPr>
              <w:t xml:space="preserve"> следующих параметров: </w:t>
            </w:r>
            <w:r>
              <w:rPr>
                <w:iCs/>
              </w:rPr>
              <w:t>лактатдегидрогеназа</w:t>
            </w:r>
            <w:r w:rsidRPr="0052462B">
              <w:rPr>
                <w:iCs/>
              </w:rPr>
              <w:t xml:space="preserve">, мочевина, креатинин, общий белок, альбумин, билирубин, </w:t>
            </w:r>
            <w:r>
              <w:rPr>
                <w:iCs/>
              </w:rPr>
              <w:t>аспартатаминотрансфераза</w:t>
            </w:r>
            <w:r w:rsidRPr="0052462B">
              <w:rPr>
                <w:iCs/>
              </w:rPr>
              <w:t>,</w:t>
            </w:r>
            <w:r w:rsidRPr="00C960A4">
              <w:rPr>
                <w:iCs/>
              </w:rPr>
              <w:t xml:space="preserve"> </w:t>
            </w:r>
            <w:r>
              <w:rPr>
                <w:iCs/>
              </w:rPr>
              <w:t>аланинаминотрансфераза</w:t>
            </w:r>
            <w:r w:rsidRPr="0052462B">
              <w:rPr>
                <w:iCs/>
              </w:rPr>
              <w:t>, щелочная фосфатаза, калий, натрий, хлор, кальций</w:t>
            </w:r>
          </w:p>
        </w:tc>
        <w:tc>
          <w:tcPr>
            <w:tcW w:w="1207" w:type="pct"/>
            <w:tcBorders>
              <w:top w:val="single" w:sz="6" w:space="0" w:color="000000"/>
              <w:left w:val="single" w:sz="6" w:space="0" w:color="000000"/>
              <w:bottom w:val="single" w:sz="6" w:space="0" w:color="000000"/>
              <w:right w:val="single" w:sz="6" w:space="0" w:color="000000"/>
            </w:tcBorders>
          </w:tcPr>
          <w:p w14:paraId="6B983A9C" w14:textId="77777777" w:rsidR="00C960A4" w:rsidRDefault="00C960A4" w:rsidP="00C960A4">
            <w:pPr>
              <w:pStyle w:val="affff"/>
              <w:spacing w:beforeAutospacing="0" w:afterAutospacing="0" w:line="240" w:lineRule="auto"/>
              <w:ind w:firstLine="0"/>
              <w:jc w:val="center"/>
            </w:pPr>
            <w:r w:rsidRPr="008A2ECC">
              <w:t>Да/Нет</w:t>
            </w:r>
          </w:p>
        </w:tc>
      </w:tr>
      <w:tr w:rsidR="00C960A4" w14:paraId="53749310" w14:textId="77777777" w:rsidTr="000E7A74">
        <w:tc>
          <w:tcPr>
            <w:tcW w:w="224" w:type="pct"/>
            <w:tcBorders>
              <w:top w:val="single" w:sz="6" w:space="0" w:color="000000"/>
              <w:left w:val="single" w:sz="6" w:space="0" w:color="000000"/>
              <w:bottom w:val="single" w:sz="6" w:space="0" w:color="000000"/>
              <w:right w:val="single" w:sz="6" w:space="0" w:color="000000"/>
            </w:tcBorders>
            <w:hideMark/>
          </w:tcPr>
          <w:p w14:paraId="7C3A03F4" w14:textId="77777777" w:rsidR="00C960A4" w:rsidRDefault="00C960A4" w:rsidP="00A72B1B">
            <w:pPr>
              <w:pStyle w:val="affff"/>
              <w:numPr>
                <w:ilvl w:val="0"/>
                <w:numId w:val="3"/>
              </w:numPr>
              <w:spacing w:beforeAutospacing="0" w:afterAutospacing="0" w:line="240" w:lineRule="auto"/>
              <w:ind w:left="0" w:firstLine="0"/>
              <w:jc w:val="center"/>
            </w:pPr>
          </w:p>
        </w:tc>
        <w:tc>
          <w:tcPr>
            <w:tcW w:w="3569" w:type="pct"/>
            <w:tcBorders>
              <w:top w:val="single" w:sz="6" w:space="0" w:color="000000"/>
              <w:left w:val="single" w:sz="6" w:space="0" w:color="000000"/>
              <w:bottom w:val="single" w:sz="6" w:space="0" w:color="000000"/>
              <w:right w:val="single" w:sz="6" w:space="0" w:color="000000"/>
            </w:tcBorders>
            <w:vAlign w:val="center"/>
          </w:tcPr>
          <w:p w14:paraId="58B69CFA" w14:textId="14E06F88" w:rsidR="00C960A4" w:rsidRDefault="00C960A4" w:rsidP="000E7A74">
            <w:pPr>
              <w:pStyle w:val="affff"/>
              <w:spacing w:beforeAutospacing="0" w:afterAutospacing="0" w:line="240" w:lineRule="auto"/>
              <w:ind w:firstLine="0"/>
            </w:pPr>
            <w:r>
              <w:t>П</w:t>
            </w:r>
            <w:r w:rsidRPr="000565F5">
              <w:t>ациент</w:t>
            </w:r>
            <w:r>
              <w:t>у</w:t>
            </w:r>
            <w:r w:rsidRPr="000565F5">
              <w:t xml:space="preserve"> при установ</w:t>
            </w:r>
            <w:r>
              <w:t>лении</w:t>
            </w:r>
            <w:r w:rsidRPr="000565F5">
              <w:t>диагноза</w:t>
            </w:r>
            <w:r w:rsidRPr="00C960A4">
              <w:t xml:space="preserve"> </w:t>
            </w:r>
            <w:r>
              <w:t>ЛМЗ</w:t>
            </w:r>
            <w:r w:rsidRPr="000565F5">
              <w:t>, при оценке</w:t>
            </w:r>
            <w:r>
              <w:t xml:space="preserve"> ответа на лечение, </w:t>
            </w:r>
            <w:r w:rsidRPr="000565F5">
              <w:t xml:space="preserve">а </w:t>
            </w:r>
            <w:r w:rsidRPr="00DF14AA">
              <w:rPr>
                <w:color w:val="000000" w:themeColor="text1"/>
              </w:rPr>
              <w:t>также при подозрении на рецидив заболевания выполн</w:t>
            </w:r>
            <w:r>
              <w:rPr>
                <w:color w:val="000000" w:themeColor="text1"/>
              </w:rPr>
              <w:t>ена компьютерная томография</w:t>
            </w:r>
            <w:r w:rsidRPr="00DF14AA">
              <w:rPr>
                <w:color w:val="000000" w:themeColor="text1"/>
              </w:rPr>
              <w:t xml:space="preserve"> шеи, </w:t>
            </w:r>
            <w:r w:rsidRPr="000565F5">
              <w:t>грудной клетки, органов брюшной полости и малого таза (с контрастированием)</w:t>
            </w:r>
            <w:r>
              <w:t xml:space="preserve"> либо (при противопоказаниях против КТ или невозможности его выполнения) выполнены рентгенография органов грудной клетки в двух проекциях и ультразвуковое исследование лимфатических узлов и внутренних органов.</w:t>
            </w:r>
          </w:p>
        </w:tc>
        <w:tc>
          <w:tcPr>
            <w:tcW w:w="1207" w:type="pct"/>
            <w:tcBorders>
              <w:top w:val="single" w:sz="6" w:space="0" w:color="000000"/>
              <w:left w:val="single" w:sz="6" w:space="0" w:color="000000"/>
              <w:bottom w:val="single" w:sz="6" w:space="0" w:color="000000"/>
              <w:right w:val="single" w:sz="6" w:space="0" w:color="000000"/>
            </w:tcBorders>
          </w:tcPr>
          <w:p w14:paraId="70B10E0A" w14:textId="77777777" w:rsidR="00C960A4" w:rsidRDefault="00C960A4" w:rsidP="00C960A4">
            <w:pPr>
              <w:pStyle w:val="affff"/>
              <w:spacing w:beforeAutospacing="0" w:afterAutospacing="0" w:line="240" w:lineRule="auto"/>
              <w:ind w:firstLine="0"/>
              <w:jc w:val="center"/>
            </w:pPr>
            <w:r w:rsidRPr="008A2ECC">
              <w:t>Да/Нет</w:t>
            </w:r>
          </w:p>
        </w:tc>
      </w:tr>
      <w:tr w:rsidR="00C960A4" w14:paraId="71E53C3C" w14:textId="77777777" w:rsidTr="000E7A74">
        <w:tc>
          <w:tcPr>
            <w:tcW w:w="224" w:type="pct"/>
            <w:tcBorders>
              <w:top w:val="single" w:sz="6" w:space="0" w:color="000000"/>
              <w:left w:val="single" w:sz="6" w:space="0" w:color="000000"/>
              <w:bottom w:val="single" w:sz="6" w:space="0" w:color="000000"/>
              <w:right w:val="single" w:sz="6" w:space="0" w:color="000000"/>
            </w:tcBorders>
          </w:tcPr>
          <w:p w14:paraId="3A3AA95A" w14:textId="77777777" w:rsidR="00C960A4" w:rsidRDefault="00C960A4" w:rsidP="00A72B1B">
            <w:pPr>
              <w:pStyle w:val="affff"/>
              <w:numPr>
                <w:ilvl w:val="0"/>
                <w:numId w:val="3"/>
              </w:numPr>
              <w:spacing w:beforeAutospacing="0" w:afterAutospacing="0" w:line="240" w:lineRule="auto"/>
              <w:ind w:left="0" w:firstLine="0"/>
              <w:jc w:val="center"/>
            </w:pPr>
          </w:p>
        </w:tc>
        <w:tc>
          <w:tcPr>
            <w:tcW w:w="3569" w:type="pct"/>
            <w:tcBorders>
              <w:top w:val="single" w:sz="6" w:space="0" w:color="000000"/>
              <w:left w:val="single" w:sz="6" w:space="0" w:color="000000"/>
              <w:bottom w:val="single" w:sz="6" w:space="0" w:color="000000"/>
              <w:right w:val="single" w:sz="6" w:space="0" w:color="000000"/>
            </w:tcBorders>
            <w:vAlign w:val="center"/>
          </w:tcPr>
          <w:p w14:paraId="777FA1AE" w14:textId="77777777" w:rsidR="00C960A4" w:rsidRDefault="00C960A4" w:rsidP="000E7A74">
            <w:pPr>
              <w:pStyle w:val="affff"/>
              <w:spacing w:beforeAutospacing="0" w:afterAutospacing="0" w:line="240" w:lineRule="auto"/>
              <w:ind w:firstLine="0"/>
            </w:pPr>
            <w:r>
              <w:t xml:space="preserve">Пациенту с подозрением на ЛМЗ выполнена биопсия (взятие биопсийного материала) лимфатического узла либо другого очага поражения, </w:t>
            </w:r>
            <w:r w:rsidRPr="00F6558C">
              <w:t>патолого-анатомическое исследование биопсийного (операционного) материала с применением иммуногистохимических методов</w:t>
            </w:r>
          </w:p>
        </w:tc>
        <w:tc>
          <w:tcPr>
            <w:tcW w:w="1207" w:type="pct"/>
            <w:tcBorders>
              <w:top w:val="single" w:sz="6" w:space="0" w:color="000000"/>
              <w:left w:val="single" w:sz="6" w:space="0" w:color="000000"/>
              <w:bottom w:val="single" w:sz="6" w:space="0" w:color="000000"/>
              <w:right w:val="single" w:sz="6" w:space="0" w:color="000000"/>
            </w:tcBorders>
          </w:tcPr>
          <w:p w14:paraId="766A950E" w14:textId="77777777" w:rsidR="00C960A4" w:rsidRDefault="00C960A4" w:rsidP="00C960A4">
            <w:pPr>
              <w:pStyle w:val="affff"/>
              <w:spacing w:beforeAutospacing="0" w:afterAutospacing="0" w:line="240" w:lineRule="auto"/>
              <w:ind w:firstLine="0"/>
              <w:jc w:val="center"/>
            </w:pPr>
            <w:r w:rsidRPr="008A2ECC">
              <w:t>Да/Нет</w:t>
            </w:r>
          </w:p>
        </w:tc>
      </w:tr>
      <w:tr w:rsidR="00C960A4" w14:paraId="53155BCD" w14:textId="77777777" w:rsidTr="000E7A74">
        <w:tc>
          <w:tcPr>
            <w:tcW w:w="224" w:type="pct"/>
            <w:tcBorders>
              <w:top w:val="single" w:sz="6" w:space="0" w:color="000000"/>
              <w:left w:val="single" w:sz="6" w:space="0" w:color="000000"/>
              <w:bottom w:val="single" w:sz="6" w:space="0" w:color="000000"/>
              <w:right w:val="single" w:sz="6" w:space="0" w:color="000000"/>
            </w:tcBorders>
          </w:tcPr>
          <w:p w14:paraId="0244B745" w14:textId="77777777" w:rsidR="00C960A4" w:rsidRDefault="00C960A4" w:rsidP="00C960A4">
            <w:pPr>
              <w:pStyle w:val="affff"/>
              <w:spacing w:beforeAutospacing="0" w:afterAutospacing="0" w:line="240" w:lineRule="auto"/>
              <w:ind w:firstLine="0"/>
              <w:jc w:val="center"/>
            </w:pPr>
          </w:p>
        </w:tc>
        <w:tc>
          <w:tcPr>
            <w:tcW w:w="3569" w:type="pct"/>
            <w:tcBorders>
              <w:top w:val="single" w:sz="6" w:space="0" w:color="000000"/>
              <w:left w:val="single" w:sz="6" w:space="0" w:color="000000"/>
              <w:bottom w:val="single" w:sz="6" w:space="0" w:color="000000"/>
              <w:right w:val="single" w:sz="6" w:space="0" w:color="000000"/>
            </w:tcBorders>
            <w:vAlign w:val="center"/>
          </w:tcPr>
          <w:p w14:paraId="21379415" w14:textId="45F63F0B" w:rsidR="00C960A4" w:rsidRDefault="00C960A4" w:rsidP="000E7A74">
            <w:pPr>
              <w:spacing w:line="240" w:lineRule="auto"/>
              <w:ind w:firstLine="0"/>
            </w:pPr>
            <w:r>
              <w:rPr>
                <w:rFonts w:eastAsia="Times New Roman"/>
                <w:szCs w:val="24"/>
                <w:lang w:eastAsia="ru-RU"/>
              </w:rPr>
              <w:t>П</w:t>
            </w:r>
            <w:r w:rsidRPr="00E307F7">
              <w:rPr>
                <w:rFonts w:eastAsia="Times New Roman"/>
                <w:szCs w:val="24"/>
                <w:lang w:eastAsia="ru-RU"/>
              </w:rPr>
              <w:t>ациент</w:t>
            </w:r>
            <w:r>
              <w:rPr>
                <w:rFonts w:eastAsia="Times New Roman"/>
                <w:szCs w:val="24"/>
                <w:lang w:eastAsia="ru-RU"/>
              </w:rPr>
              <w:t>у п</w:t>
            </w:r>
            <w:r w:rsidRPr="00E307F7">
              <w:rPr>
                <w:rFonts w:eastAsia="Times New Roman"/>
                <w:szCs w:val="24"/>
                <w:lang w:eastAsia="ru-RU"/>
              </w:rPr>
              <w:t>ри установлении диагноза ЛМЗ желудка выполн</w:t>
            </w:r>
            <w:r>
              <w:rPr>
                <w:rFonts w:eastAsia="Times New Roman"/>
                <w:szCs w:val="24"/>
                <w:lang w:eastAsia="ru-RU"/>
              </w:rPr>
              <w:t>ено</w:t>
            </w:r>
            <w:r w:rsidRPr="00E307F7">
              <w:rPr>
                <w:rFonts w:eastAsia="Times New Roman"/>
                <w:szCs w:val="24"/>
                <w:lang w:eastAsia="ru-RU"/>
              </w:rPr>
              <w:t xml:space="preserve"> микробиологическое (культуральное) исследование биоптата стенки желудка на хеликобактер</w:t>
            </w:r>
            <w:r w:rsidRPr="00C960A4">
              <w:rPr>
                <w:rFonts w:eastAsia="Times New Roman"/>
                <w:szCs w:val="24"/>
                <w:lang w:eastAsia="ru-RU"/>
              </w:rPr>
              <w:t xml:space="preserve"> </w:t>
            </w:r>
            <w:r w:rsidRPr="00E307F7">
              <w:rPr>
                <w:rFonts w:eastAsia="Times New Roman"/>
                <w:szCs w:val="24"/>
                <w:lang w:eastAsia="ru-RU"/>
              </w:rPr>
              <w:t>пилори (Helicobacter</w:t>
            </w:r>
            <w:r w:rsidRPr="00C960A4">
              <w:rPr>
                <w:rFonts w:eastAsia="Times New Roman"/>
                <w:szCs w:val="24"/>
                <w:lang w:eastAsia="ru-RU"/>
              </w:rPr>
              <w:t xml:space="preserve"> </w:t>
            </w:r>
            <w:r w:rsidRPr="00E307F7">
              <w:rPr>
                <w:rFonts w:eastAsia="Times New Roman"/>
                <w:szCs w:val="24"/>
                <w:lang w:eastAsia="ru-RU"/>
              </w:rPr>
              <w:t>pylori) с определением чувствительности к антибактериальным препаратам</w:t>
            </w:r>
          </w:p>
        </w:tc>
        <w:tc>
          <w:tcPr>
            <w:tcW w:w="1207" w:type="pct"/>
            <w:tcBorders>
              <w:top w:val="single" w:sz="6" w:space="0" w:color="000000"/>
              <w:left w:val="single" w:sz="6" w:space="0" w:color="000000"/>
              <w:bottom w:val="single" w:sz="6" w:space="0" w:color="000000"/>
              <w:right w:val="single" w:sz="6" w:space="0" w:color="000000"/>
            </w:tcBorders>
          </w:tcPr>
          <w:p w14:paraId="6C389E14" w14:textId="77777777" w:rsidR="00C960A4" w:rsidRDefault="00C960A4" w:rsidP="00C960A4">
            <w:pPr>
              <w:spacing w:line="240" w:lineRule="auto"/>
              <w:ind w:firstLine="0"/>
              <w:jc w:val="center"/>
              <w:rPr>
                <w:rFonts w:eastAsia="Times New Roman"/>
                <w:color w:val="000000" w:themeColor="text1"/>
                <w:szCs w:val="24"/>
                <w:lang w:eastAsia="ru-RU"/>
              </w:rPr>
            </w:pPr>
            <w:r w:rsidRPr="008A2ECC">
              <w:t>Да/Нет</w:t>
            </w:r>
          </w:p>
        </w:tc>
      </w:tr>
      <w:tr w:rsidR="00C960A4" w14:paraId="6B314736" w14:textId="77777777" w:rsidTr="000E7A74">
        <w:tc>
          <w:tcPr>
            <w:tcW w:w="224" w:type="pct"/>
            <w:tcBorders>
              <w:top w:val="single" w:sz="6" w:space="0" w:color="000000"/>
              <w:left w:val="single" w:sz="6" w:space="0" w:color="000000"/>
              <w:bottom w:val="single" w:sz="6" w:space="0" w:color="000000"/>
              <w:right w:val="single" w:sz="6" w:space="0" w:color="000000"/>
            </w:tcBorders>
          </w:tcPr>
          <w:p w14:paraId="756FAF18" w14:textId="77777777" w:rsidR="00C960A4" w:rsidRDefault="00C960A4" w:rsidP="00C960A4">
            <w:pPr>
              <w:pStyle w:val="affff"/>
              <w:spacing w:beforeAutospacing="0" w:afterAutospacing="0" w:line="240" w:lineRule="auto"/>
              <w:ind w:firstLine="0"/>
              <w:jc w:val="center"/>
            </w:pPr>
          </w:p>
        </w:tc>
        <w:tc>
          <w:tcPr>
            <w:tcW w:w="3569" w:type="pct"/>
            <w:tcBorders>
              <w:top w:val="single" w:sz="6" w:space="0" w:color="000000"/>
              <w:left w:val="single" w:sz="6" w:space="0" w:color="000000"/>
              <w:bottom w:val="single" w:sz="6" w:space="0" w:color="000000"/>
              <w:right w:val="single" w:sz="6" w:space="0" w:color="000000"/>
            </w:tcBorders>
            <w:vAlign w:val="center"/>
          </w:tcPr>
          <w:p w14:paraId="589D33F0" w14:textId="3808F73E" w:rsidR="00C960A4" w:rsidRPr="00E307F7" w:rsidRDefault="00C960A4" w:rsidP="000E7A74">
            <w:pPr>
              <w:spacing w:line="240" w:lineRule="auto"/>
              <w:ind w:firstLine="0"/>
              <w:rPr>
                <w:rFonts w:eastAsia="Times New Roman"/>
                <w:szCs w:val="24"/>
                <w:lang w:eastAsia="ru-RU"/>
              </w:rPr>
            </w:pPr>
            <w:r>
              <w:rPr>
                <w:rFonts w:eastAsia="Times New Roman"/>
                <w:szCs w:val="24"/>
                <w:lang w:eastAsia="ru-RU"/>
              </w:rPr>
              <w:t>П</w:t>
            </w:r>
            <w:r w:rsidRPr="00E307F7">
              <w:rPr>
                <w:rFonts w:eastAsia="Times New Roman"/>
                <w:szCs w:val="24"/>
                <w:lang w:eastAsia="ru-RU"/>
              </w:rPr>
              <w:t>ациент</w:t>
            </w:r>
            <w:r>
              <w:rPr>
                <w:rFonts w:eastAsia="Times New Roman"/>
                <w:szCs w:val="24"/>
                <w:lang w:eastAsia="ru-RU"/>
              </w:rPr>
              <w:t xml:space="preserve">у </w:t>
            </w:r>
            <w:r w:rsidRPr="00E307F7">
              <w:rPr>
                <w:rFonts w:eastAsia="Times New Roman"/>
                <w:szCs w:val="24"/>
                <w:lang w:eastAsia="ru-RU"/>
              </w:rPr>
              <w:t>при установлении диагноза ЛМЗ желудка в случае отрицательных результатов микробиологического (культурального) исследования биоптата стенки желудка на хеликобактер</w:t>
            </w:r>
            <w:r w:rsidRPr="00C960A4">
              <w:rPr>
                <w:rFonts w:eastAsia="Times New Roman"/>
                <w:szCs w:val="24"/>
                <w:lang w:eastAsia="ru-RU"/>
              </w:rPr>
              <w:t xml:space="preserve"> </w:t>
            </w:r>
            <w:r w:rsidRPr="00E307F7">
              <w:rPr>
                <w:rFonts w:eastAsia="Times New Roman"/>
                <w:szCs w:val="24"/>
                <w:lang w:eastAsia="ru-RU"/>
              </w:rPr>
              <w:t>пилори выполн</w:t>
            </w:r>
            <w:r>
              <w:rPr>
                <w:rFonts w:eastAsia="Times New Roman"/>
                <w:szCs w:val="24"/>
                <w:lang w:eastAsia="ru-RU"/>
              </w:rPr>
              <w:t xml:space="preserve">ено </w:t>
            </w:r>
            <w:r w:rsidRPr="00E307F7">
              <w:rPr>
                <w:rFonts w:eastAsia="Times New Roman"/>
                <w:szCs w:val="24"/>
                <w:lang w:eastAsia="ru-RU"/>
              </w:rPr>
              <w:t>определение антител к хеликобактер</w:t>
            </w:r>
            <w:r w:rsidRPr="00C960A4">
              <w:rPr>
                <w:rFonts w:eastAsia="Times New Roman"/>
                <w:szCs w:val="24"/>
                <w:lang w:eastAsia="ru-RU"/>
              </w:rPr>
              <w:t xml:space="preserve"> </w:t>
            </w:r>
            <w:r w:rsidRPr="00E307F7">
              <w:rPr>
                <w:rFonts w:eastAsia="Times New Roman"/>
                <w:szCs w:val="24"/>
                <w:lang w:eastAsia="ru-RU"/>
              </w:rPr>
              <w:t>пилори (Helicobacter</w:t>
            </w:r>
            <w:r w:rsidRPr="00C960A4">
              <w:rPr>
                <w:rFonts w:eastAsia="Times New Roman"/>
                <w:szCs w:val="24"/>
                <w:lang w:eastAsia="ru-RU"/>
              </w:rPr>
              <w:t xml:space="preserve"> </w:t>
            </w:r>
            <w:r w:rsidRPr="00E307F7">
              <w:rPr>
                <w:rFonts w:eastAsia="Times New Roman"/>
                <w:szCs w:val="24"/>
                <w:lang w:eastAsia="ru-RU"/>
              </w:rPr>
              <w:t xml:space="preserve">pylori) в крови, определение </w:t>
            </w:r>
            <w:r w:rsidRPr="00E307F7">
              <w:rPr>
                <w:rFonts w:eastAsia="Times New Roman"/>
                <w:szCs w:val="24"/>
                <w:lang w:eastAsia="ru-RU"/>
              </w:rPr>
              <w:lastRenderedPageBreak/>
              <w:t>антигена хеликобактера</w:t>
            </w:r>
            <w:r w:rsidRPr="00C960A4">
              <w:rPr>
                <w:rFonts w:eastAsia="Times New Roman"/>
                <w:szCs w:val="24"/>
                <w:lang w:eastAsia="ru-RU"/>
              </w:rPr>
              <w:t xml:space="preserve"> </w:t>
            </w:r>
            <w:r w:rsidRPr="00E307F7">
              <w:rPr>
                <w:rFonts w:eastAsia="Times New Roman"/>
                <w:szCs w:val="24"/>
                <w:lang w:eastAsia="ru-RU"/>
              </w:rPr>
              <w:t>пилори в фекалиях и 13С-уреазный дыхательный тест на Helicobacter</w:t>
            </w:r>
            <w:r w:rsidRPr="00C960A4">
              <w:rPr>
                <w:rFonts w:eastAsia="Times New Roman"/>
                <w:szCs w:val="24"/>
                <w:lang w:eastAsia="ru-RU"/>
              </w:rPr>
              <w:t xml:space="preserve"> </w:t>
            </w:r>
            <w:r w:rsidRPr="00E307F7">
              <w:rPr>
                <w:rFonts w:eastAsia="Times New Roman"/>
                <w:szCs w:val="24"/>
                <w:lang w:eastAsia="ru-RU"/>
              </w:rPr>
              <w:t>Pylori</w:t>
            </w:r>
          </w:p>
        </w:tc>
        <w:tc>
          <w:tcPr>
            <w:tcW w:w="1207" w:type="pct"/>
            <w:tcBorders>
              <w:top w:val="single" w:sz="6" w:space="0" w:color="000000"/>
              <w:left w:val="single" w:sz="6" w:space="0" w:color="000000"/>
              <w:bottom w:val="single" w:sz="6" w:space="0" w:color="000000"/>
              <w:right w:val="single" w:sz="6" w:space="0" w:color="000000"/>
            </w:tcBorders>
          </w:tcPr>
          <w:p w14:paraId="21DE60B8" w14:textId="77777777" w:rsidR="00C960A4" w:rsidRPr="008A2ECC" w:rsidRDefault="00C960A4" w:rsidP="00C960A4">
            <w:pPr>
              <w:spacing w:line="240" w:lineRule="auto"/>
              <w:ind w:firstLine="0"/>
              <w:jc w:val="center"/>
            </w:pPr>
            <w:r w:rsidRPr="008A2ECC">
              <w:lastRenderedPageBreak/>
              <w:t>Да/Нет</w:t>
            </w:r>
          </w:p>
        </w:tc>
      </w:tr>
    </w:tbl>
    <w:p w14:paraId="6F1FD84F" w14:textId="77777777" w:rsidR="00AF3168" w:rsidRPr="00C81573" w:rsidRDefault="00AF3168" w:rsidP="005627B3">
      <w:pPr>
        <w:ind w:firstLine="0"/>
        <w:rPr>
          <w:b/>
          <w:sz w:val="28"/>
          <w:szCs w:val="28"/>
        </w:rPr>
      </w:pPr>
      <w:r w:rsidRPr="00C81573">
        <w:rPr>
          <w:b/>
          <w:sz w:val="28"/>
          <w:szCs w:val="28"/>
        </w:rPr>
        <w:br w:type="page"/>
      </w:r>
    </w:p>
    <w:p w14:paraId="33BA514D" w14:textId="77777777" w:rsidR="000414F6" w:rsidRPr="00C81573" w:rsidRDefault="00CB71DA" w:rsidP="00F05351">
      <w:pPr>
        <w:pStyle w:val="afff1"/>
      </w:pPr>
      <w:bookmarkStart w:id="100" w:name="_Toc11747751"/>
      <w:bookmarkStart w:id="101" w:name="_Toc103332115"/>
      <w:r w:rsidRPr="00C81573">
        <w:lastRenderedPageBreak/>
        <w:t>Список литературы</w:t>
      </w:r>
      <w:bookmarkEnd w:id="99"/>
      <w:bookmarkEnd w:id="100"/>
      <w:bookmarkEnd w:id="101"/>
    </w:p>
    <w:p w14:paraId="5621B4A7" w14:textId="77777777" w:rsidR="0025228A" w:rsidRPr="00C81573" w:rsidRDefault="0025228A" w:rsidP="0025228A">
      <w:pPr>
        <w:pStyle w:val="aff3"/>
      </w:pPr>
    </w:p>
    <w:bookmarkStart w:id="102" w:name="__RefHeading___doc_a1"/>
    <w:p w14:paraId="77778E54" w14:textId="338FECBE" w:rsidR="00F44253" w:rsidRPr="00F44253" w:rsidRDefault="00C960A4" w:rsidP="00F44253">
      <w:pPr>
        <w:widowControl w:val="0"/>
        <w:autoSpaceDE w:val="0"/>
        <w:autoSpaceDN w:val="0"/>
        <w:adjustRightInd w:val="0"/>
        <w:ind w:left="640" w:hanging="640"/>
        <w:rPr>
          <w:noProof/>
        </w:rPr>
      </w:pPr>
      <w:r>
        <w:fldChar w:fldCharType="begin" w:fldLock="1"/>
      </w:r>
      <w:r w:rsidRPr="001B5B91">
        <w:rPr>
          <w:lang w:val="en-US"/>
        </w:rPr>
        <w:instrText xml:space="preserve">ADDIN Mendeley Bibliography CSL_BIBLIOGRAPHY </w:instrText>
      </w:r>
      <w:r>
        <w:fldChar w:fldCharType="separate"/>
      </w:r>
      <w:r w:rsidR="00F44253" w:rsidRPr="00F44253">
        <w:rPr>
          <w:noProof/>
        </w:rPr>
        <w:t>1.</w:t>
      </w:r>
      <w:r w:rsidR="00F44253" w:rsidRPr="00F44253">
        <w:rPr>
          <w:noProof/>
        </w:rPr>
        <w:tab/>
        <w:t>Swerdlow S.H. et al. WHO classification of tumours of haematopoietic and lymphoid tissues. Revised 4th ed. Lyon, France: International Agency for Research in Cancer (IARC) / ed. Swerdlow SH, Campo E, Harris NL, Jaffe ES, Pileri SA, Stein H T.J. 2017. 585 p.</w:t>
      </w:r>
    </w:p>
    <w:p w14:paraId="409C296C" w14:textId="77777777" w:rsidR="00F44253" w:rsidRPr="00F44253" w:rsidRDefault="00F44253" w:rsidP="00F44253">
      <w:pPr>
        <w:widowControl w:val="0"/>
        <w:autoSpaceDE w:val="0"/>
        <w:autoSpaceDN w:val="0"/>
        <w:adjustRightInd w:val="0"/>
        <w:ind w:left="640" w:hanging="640"/>
        <w:rPr>
          <w:noProof/>
        </w:rPr>
      </w:pPr>
      <w:r w:rsidRPr="00F44253">
        <w:rPr>
          <w:noProof/>
        </w:rPr>
        <w:t>2.</w:t>
      </w:r>
      <w:r w:rsidRPr="00F44253">
        <w:rPr>
          <w:noProof/>
        </w:rPr>
        <w:tab/>
        <w:t>Armitage J.O. A clinical evaluation of the International Lymphoma Study Group classification of non-Hodgkin’s lymphoma // Blood. 1997. Vol. 89, № 11. P. 3909–3918.</w:t>
      </w:r>
    </w:p>
    <w:p w14:paraId="41EDE648" w14:textId="77777777" w:rsidR="00F44253" w:rsidRPr="00F44253" w:rsidRDefault="00F44253" w:rsidP="00F44253">
      <w:pPr>
        <w:widowControl w:val="0"/>
        <w:autoSpaceDE w:val="0"/>
        <w:autoSpaceDN w:val="0"/>
        <w:adjustRightInd w:val="0"/>
        <w:ind w:left="640" w:hanging="640"/>
        <w:rPr>
          <w:noProof/>
        </w:rPr>
      </w:pPr>
      <w:r w:rsidRPr="00F44253">
        <w:rPr>
          <w:noProof/>
        </w:rPr>
        <w:t>3.</w:t>
      </w:r>
      <w:r w:rsidRPr="00F44253">
        <w:rPr>
          <w:noProof/>
        </w:rPr>
        <w:tab/>
        <w:t>Поддубная И.В., Птушкин В.В. Лимфома маргинальной зоны // Российские клинические рекомендации по диагностике и лечению злокачественных лимфопролиферативных заболеваний; под ред. И.В. Поддубной, В.Г. Савченко. 2018. P. 52–58.</w:t>
      </w:r>
    </w:p>
    <w:p w14:paraId="5EA82E06" w14:textId="77777777" w:rsidR="00F44253" w:rsidRPr="00F44253" w:rsidRDefault="00F44253" w:rsidP="00F44253">
      <w:pPr>
        <w:widowControl w:val="0"/>
        <w:autoSpaceDE w:val="0"/>
        <w:autoSpaceDN w:val="0"/>
        <w:adjustRightInd w:val="0"/>
        <w:ind w:left="640" w:hanging="640"/>
        <w:rPr>
          <w:noProof/>
        </w:rPr>
      </w:pPr>
      <w:r w:rsidRPr="00F44253">
        <w:rPr>
          <w:noProof/>
        </w:rPr>
        <w:t>4.</w:t>
      </w:r>
      <w:r w:rsidRPr="00F44253">
        <w:rPr>
          <w:noProof/>
        </w:rPr>
        <w:tab/>
        <w:t>Демина Е.А. et al. Общие принципы диагностики лимфом // Российские клинические рекомендации по диагностике и лечению злокачественных лимфопролиферативных заболеваний; под ред. И.В. Поддубной, В.Г. Савченко. 2018. P. 9–27.</w:t>
      </w:r>
    </w:p>
    <w:p w14:paraId="74FA7C29" w14:textId="77777777" w:rsidR="00F44253" w:rsidRPr="00F44253" w:rsidRDefault="00F44253" w:rsidP="00F44253">
      <w:pPr>
        <w:widowControl w:val="0"/>
        <w:autoSpaceDE w:val="0"/>
        <w:autoSpaceDN w:val="0"/>
        <w:adjustRightInd w:val="0"/>
        <w:ind w:left="640" w:hanging="640"/>
        <w:rPr>
          <w:noProof/>
        </w:rPr>
      </w:pPr>
      <w:r w:rsidRPr="00F44253">
        <w:rPr>
          <w:noProof/>
        </w:rPr>
        <w:t>5.</w:t>
      </w:r>
      <w:r w:rsidRPr="00F44253">
        <w:rPr>
          <w:noProof/>
        </w:rPr>
        <w:tab/>
        <w:t>Zucca E. et al. Marginal zone lymphomas: ESMO Clinical Practice Guidelines for diagnosis, treatment and follow-up // Ann. Oncol. Elsevier Ltd, 2020. Vol. 31, № 1. P. 17–29.</w:t>
      </w:r>
    </w:p>
    <w:p w14:paraId="487A24E2" w14:textId="77777777" w:rsidR="00F44253" w:rsidRPr="00F44253" w:rsidRDefault="00F44253" w:rsidP="00F44253">
      <w:pPr>
        <w:widowControl w:val="0"/>
        <w:autoSpaceDE w:val="0"/>
        <w:autoSpaceDN w:val="0"/>
        <w:adjustRightInd w:val="0"/>
        <w:ind w:left="640" w:hanging="640"/>
        <w:rPr>
          <w:noProof/>
        </w:rPr>
      </w:pPr>
      <w:r w:rsidRPr="00F44253">
        <w:rPr>
          <w:noProof/>
        </w:rPr>
        <w:t>6.</w:t>
      </w:r>
      <w:r w:rsidRPr="00F44253">
        <w:rPr>
          <w:noProof/>
        </w:rPr>
        <w:tab/>
        <w:t>Kuderer N.M. et al. A Validated Risk Score for Venous Thromboembolism Is Predictive of Cancer Progression and Mortality // Oncologist. Alphamed Press, 2016. Vol. 21, № 7. P. 861–867.</w:t>
      </w:r>
    </w:p>
    <w:p w14:paraId="10E5D2D6" w14:textId="77777777" w:rsidR="00F44253" w:rsidRPr="00F44253" w:rsidRDefault="00F44253" w:rsidP="00F44253">
      <w:pPr>
        <w:widowControl w:val="0"/>
        <w:autoSpaceDE w:val="0"/>
        <w:autoSpaceDN w:val="0"/>
        <w:adjustRightInd w:val="0"/>
        <w:ind w:left="640" w:hanging="640"/>
        <w:rPr>
          <w:noProof/>
        </w:rPr>
      </w:pPr>
      <w:r w:rsidRPr="00F44253">
        <w:rPr>
          <w:noProof/>
        </w:rPr>
        <w:t>7.</w:t>
      </w:r>
      <w:r w:rsidRPr="00F44253">
        <w:rPr>
          <w:noProof/>
        </w:rPr>
        <w:tab/>
        <w:t>Santi R.M. et al. PO-03 - Khorana score and histotype predict the incidence of early venous thromboembolism (VTE) in Non Hodgkin Lymphoma (NHL). A pooled data analysis of twelve clinical trials of Fondazione Italiana Linfomi (FIL) // Thromb. Res. Elsevier BV, 2016. Vol. 140. P. S177.</w:t>
      </w:r>
    </w:p>
    <w:p w14:paraId="5BD62253" w14:textId="77777777" w:rsidR="00F44253" w:rsidRPr="00F44253" w:rsidRDefault="00F44253" w:rsidP="00F44253">
      <w:pPr>
        <w:widowControl w:val="0"/>
        <w:autoSpaceDE w:val="0"/>
        <w:autoSpaceDN w:val="0"/>
        <w:adjustRightInd w:val="0"/>
        <w:ind w:left="640" w:hanging="640"/>
        <w:rPr>
          <w:noProof/>
        </w:rPr>
      </w:pPr>
      <w:r w:rsidRPr="00F44253">
        <w:rPr>
          <w:noProof/>
        </w:rPr>
        <w:t>8.</w:t>
      </w:r>
      <w:r w:rsidRPr="00F44253">
        <w:rPr>
          <w:noProof/>
        </w:rPr>
        <w:tab/>
        <w:t>Witzig T.E. et al. Elevated Monoclonal and Polyclonal Serum Immunoglobulin Free Light Chain (FLC) as Prognostic Factors in B- and T-cell Non-Hodgkin Lymphoma // Am. J. Hematol. NIH Public Access, 2014. Vol. 89, № 12. P. 1116.</w:t>
      </w:r>
    </w:p>
    <w:p w14:paraId="40EFA80A" w14:textId="77777777" w:rsidR="00F44253" w:rsidRPr="00F44253" w:rsidRDefault="00F44253" w:rsidP="00F44253">
      <w:pPr>
        <w:widowControl w:val="0"/>
        <w:autoSpaceDE w:val="0"/>
        <w:autoSpaceDN w:val="0"/>
        <w:adjustRightInd w:val="0"/>
        <w:ind w:left="640" w:hanging="640"/>
        <w:rPr>
          <w:noProof/>
        </w:rPr>
      </w:pPr>
      <w:r w:rsidRPr="00F44253">
        <w:rPr>
          <w:noProof/>
        </w:rPr>
        <w:t>9.</w:t>
      </w:r>
      <w:r w:rsidRPr="00F44253">
        <w:rPr>
          <w:noProof/>
        </w:rPr>
        <w:tab/>
        <w:t>Srivastava S., Wood P. Secondary antibody deficiency-causes and approach to diagnosis // Clin. Med. J. R. Coll. Physicians London. 2016.</w:t>
      </w:r>
    </w:p>
    <w:p w14:paraId="450E51F6" w14:textId="77777777" w:rsidR="00F44253" w:rsidRPr="00F44253" w:rsidRDefault="00F44253" w:rsidP="00F44253">
      <w:pPr>
        <w:widowControl w:val="0"/>
        <w:autoSpaceDE w:val="0"/>
        <w:autoSpaceDN w:val="0"/>
        <w:adjustRightInd w:val="0"/>
        <w:ind w:left="640" w:hanging="640"/>
        <w:rPr>
          <w:noProof/>
        </w:rPr>
      </w:pPr>
      <w:r w:rsidRPr="00F44253">
        <w:rPr>
          <w:noProof/>
        </w:rPr>
        <w:t>10.</w:t>
      </w:r>
      <w:r w:rsidRPr="00F44253">
        <w:rPr>
          <w:noProof/>
        </w:rPr>
        <w:tab/>
        <w:t>Xing L. et al. Characteristics of patients with autoimmune haemolytic anaemia secondary to lymphoproliferative disorder: A single-centre retrospective analysis // Sci. Rep. 2019. Vol. 9, № 1.</w:t>
      </w:r>
    </w:p>
    <w:p w14:paraId="516B2B66" w14:textId="77777777" w:rsidR="00F44253" w:rsidRPr="00F44253" w:rsidRDefault="00F44253" w:rsidP="00F44253">
      <w:pPr>
        <w:widowControl w:val="0"/>
        <w:autoSpaceDE w:val="0"/>
        <w:autoSpaceDN w:val="0"/>
        <w:adjustRightInd w:val="0"/>
        <w:ind w:left="640" w:hanging="640"/>
        <w:rPr>
          <w:noProof/>
        </w:rPr>
      </w:pPr>
      <w:r w:rsidRPr="00F44253">
        <w:rPr>
          <w:noProof/>
        </w:rPr>
        <w:t>11.</w:t>
      </w:r>
      <w:r w:rsidRPr="00F44253">
        <w:rPr>
          <w:noProof/>
        </w:rPr>
        <w:tab/>
        <w:t>Zelenetz A.D. et al. B-cell lymphomas. NCCN Clinical Practice Guidelines in Oncology. Version 5.2019.</w:t>
      </w:r>
    </w:p>
    <w:p w14:paraId="176CCA83" w14:textId="77777777" w:rsidR="00F44253" w:rsidRPr="00F44253" w:rsidRDefault="00F44253" w:rsidP="00F44253">
      <w:pPr>
        <w:widowControl w:val="0"/>
        <w:autoSpaceDE w:val="0"/>
        <w:autoSpaceDN w:val="0"/>
        <w:adjustRightInd w:val="0"/>
        <w:ind w:left="640" w:hanging="640"/>
        <w:rPr>
          <w:noProof/>
        </w:rPr>
      </w:pPr>
      <w:r w:rsidRPr="00F44253">
        <w:rPr>
          <w:noProof/>
        </w:rPr>
        <w:t>12.</w:t>
      </w:r>
      <w:r w:rsidRPr="00F44253">
        <w:rPr>
          <w:noProof/>
        </w:rPr>
        <w:tab/>
        <w:t xml:space="preserve">Поддубная И.В. Неходжкинские лимфомы маргинальной зоны // Гериатрическая </w:t>
      </w:r>
      <w:r w:rsidRPr="00F44253">
        <w:rPr>
          <w:noProof/>
        </w:rPr>
        <w:lastRenderedPageBreak/>
        <w:t>гематология. Заболевания системы крови в старших возрастных группах. Под редакцией Л.Д. Гриншпун, А.В. Пивника. 2012. P. 176–187.</w:t>
      </w:r>
    </w:p>
    <w:p w14:paraId="43A1D0FE" w14:textId="77777777" w:rsidR="00F44253" w:rsidRPr="00F44253" w:rsidRDefault="00F44253" w:rsidP="00F44253">
      <w:pPr>
        <w:widowControl w:val="0"/>
        <w:autoSpaceDE w:val="0"/>
        <w:autoSpaceDN w:val="0"/>
        <w:adjustRightInd w:val="0"/>
        <w:ind w:left="640" w:hanging="640"/>
        <w:rPr>
          <w:noProof/>
        </w:rPr>
      </w:pPr>
      <w:r w:rsidRPr="00F44253">
        <w:rPr>
          <w:noProof/>
        </w:rPr>
        <w:t>13.</w:t>
      </w:r>
      <w:r w:rsidRPr="00F44253">
        <w:rPr>
          <w:noProof/>
        </w:rPr>
        <w:tab/>
        <w:t>Levy M. et al. Conservative treatment of primary gastric low-grade B-cell lymphoma of mucosa-associated lymphoid tissue: predictive factors of response and outcome // Am. J. Gastroenterol. Ovid Technologies (Wolters Kluwer Health), 2002. Vol. 97, № 2. P. 292–297.</w:t>
      </w:r>
    </w:p>
    <w:p w14:paraId="31DB6C1A" w14:textId="77777777" w:rsidR="00F44253" w:rsidRPr="00F44253" w:rsidRDefault="00F44253" w:rsidP="00F44253">
      <w:pPr>
        <w:widowControl w:val="0"/>
        <w:autoSpaceDE w:val="0"/>
        <w:autoSpaceDN w:val="0"/>
        <w:adjustRightInd w:val="0"/>
        <w:ind w:left="640" w:hanging="640"/>
        <w:rPr>
          <w:noProof/>
        </w:rPr>
      </w:pPr>
      <w:r w:rsidRPr="00F44253">
        <w:rPr>
          <w:noProof/>
        </w:rPr>
        <w:t>14.</w:t>
      </w:r>
      <w:r w:rsidRPr="00F44253">
        <w:rPr>
          <w:noProof/>
        </w:rPr>
        <w:tab/>
        <w:t>Bhagavathi S. et al. Extranodal marginal zone lymphoma of the dura mater with IgH/MALT1 translocation and review of literature // J. Hematop. Springer, 2008. Vol. 1, № 2. P. 131.</w:t>
      </w:r>
    </w:p>
    <w:p w14:paraId="49CEF464" w14:textId="77777777" w:rsidR="00F44253" w:rsidRPr="00F44253" w:rsidRDefault="00F44253" w:rsidP="00F44253">
      <w:pPr>
        <w:widowControl w:val="0"/>
        <w:autoSpaceDE w:val="0"/>
        <w:autoSpaceDN w:val="0"/>
        <w:adjustRightInd w:val="0"/>
        <w:ind w:left="640" w:hanging="640"/>
        <w:rPr>
          <w:noProof/>
        </w:rPr>
      </w:pPr>
      <w:r w:rsidRPr="00F44253">
        <w:rPr>
          <w:noProof/>
        </w:rPr>
        <w:t>15.</w:t>
      </w:r>
      <w:r w:rsidRPr="00F44253">
        <w:rPr>
          <w:noProof/>
        </w:rPr>
        <w:tab/>
        <w:t>Мухортова О.В. Использование ПЭТ/КТ при лимфопролиферативных заболеваниях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168–179.</w:t>
      </w:r>
    </w:p>
    <w:p w14:paraId="23827D17" w14:textId="77777777" w:rsidR="00F44253" w:rsidRPr="00F44253" w:rsidRDefault="00F44253" w:rsidP="00F44253">
      <w:pPr>
        <w:widowControl w:val="0"/>
        <w:autoSpaceDE w:val="0"/>
        <w:autoSpaceDN w:val="0"/>
        <w:adjustRightInd w:val="0"/>
        <w:ind w:left="640" w:hanging="640"/>
        <w:rPr>
          <w:noProof/>
        </w:rPr>
      </w:pPr>
      <w:r w:rsidRPr="00F44253">
        <w:rPr>
          <w:noProof/>
        </w:rPr>
        <w:t>16.</w:t>
      </w:r>
      <w:r w:rsidRPr="00F44253">
        <w:rPr>
          <w:noProof/>
        </w:rPr>
        <w:tab/>
        <w:t>Fekri M.S., Zade M.K., Fatehi S. The association of deep vein thrombosis with cancer treatment modality: Chemotherapy or surgery? // Iran. Red Crescent Med. J. Kowsar Medical Publishing Company, 2014. Vol. 16, № 9.</w:t>
      </w:r>
    </w:p>
    <w:p w14:paraId="6005B03F" w14:textId="77777777" w:rsidR="00F44253" w:rsidRPr="00F44253" w:rsidRDefault="00F44253" w:rsidP="00F44253">
      <w:pPr>
        <w:widowControl w:val="0"/>
        <w:autoSpaceDE w:val="0"/>
        <w:autoSpaceDN w:val="0"/>
        <w:adjustRightInd w:val="0"/>
        <w:ind w:left="640" w:hanging="640"/>
        <w:rPr>
          <w:noProof/>
        </w:rPr>
      </w:pPr>
      <w:r w:rsidRPr="00F44253">
        <w:rPr>
          <w:noProof/>
        </w:rPr>
        <w:t>17.</w:t>
      </w:r>
      <w:r w:rsidRPr="00F44253">
        <w:rPr>
          <w:noProof/>
        </w:rPr>
        <w:tab/>
        <w:t>Бабичева Л.Г., Тумян Г.С., Кравченко С.К. Фолликулярная лимфома // Российские клинические рекомендации по диагностике и лечению злокачественных лимфопролиферативных заболеваний; под ред. И.В. Поддубной, В.Г. Савченко. 2018. P. 43–52.</w:t>
      </w:r>
    </w:p>
    <w:p w14:paraId="5547595F" w14:textId="77777777" w:rsidR="00F44253" w:rsidRPr="00F44253" w:rsidRDefault="00F44253" w:rsidP="00F44253">
      <w:pPr>
        <w:widowControl w:val="0"/>
        <w:autoSpaceDE w:val="0"/>
        <w:autoSpaceDN w:val="0"/>
        <w:adjustRightInd w:val="0"/>
        <w:ind w:left="640" w:hanging="640"/>
        <w:rPr>
          <w:noProof/>
        </w:rPr>
      </w:pPr>
      <w:r w:rsidRPr="00F44253">
        <w:rPr>
          <w:noProof/>
        </w:rPr>
        <w:t>18.</w:t>
      </w:r>
      <w:r w:rsidRPr="00F44253">
        <w:rPr>
          <w:noProof/>
        </w:rPr>
        <w:tab/>
        <w:t>Криволапов Ю.А., Леенман Е.Е. Морфологическая диагностика лимфом. КОСТА, Санкт-Петербург, 2006.</w:t>
      </w:r>
    </w:p>
    <w:p w14:paraId="2D3C6E59" w14:textId="77777777" w:rsidR="00F44253" w:rsidRPr="00F44253" w:rsidRDefault="00F44253" w:rsidP="00F44253">
      <w:pPr>
        <w:widowControl w:val="0"/>
        <w:autoSpaceDE w:val="0"/>
        <w:autoSpaceDN w:val="0"/>
        <w:adjustRightInd w:val="0"/>
        <w:ind w:left="640" w:hanging="640"/>
        <w:rPr>
          <w:noProof/>
        </w:rPr>
      </w:pPr>
      <w:r w:rsidRPr="00F44253">
        <w:rPr>
          <w:noProof/>
        </w:rPr>
        <w:t>19.</w:t>
      </w:r>
      <w:r w:rsidRPr="00F44253">
        <w:rPr>
          <w:noProof/>
        </w:rPr>
        <w:tab/>
        <w:t>Маев И.В. et al. Эволюция представлений о диагностике и лечении инфекции Helicobacter pylori (по материалам консенсуса Маастрихт, Флоренция, 2010) // Вестник практического врача. 2012. Vol. Спецвыпуск.</w:t>
      </w:r>
    </w:p>
    <w:p w14:paraId="02622833" w14:textId="77777777" w:rsidR="00F44253" w:rsidRPr="00F44253" w:rsidRDefault="00F44253" w:rsidP="00F44253">
      <w:pPr>
        <w:widowControl w:val="0"/>
        <w:autoSpaceDE w:val="0"/>
        <w:autoSpaceDN w:val="0"/>
        <w:adjustRightInd w:val="0"/>
        <w:ind w:left="640" w:hanging="640"/>
        <w:rPr>
          <w:noProof/>
        </w:rPr>
      </w:pPr>
      <w:r w:rsidRPr="00F44253">
        <w:rPr>
          <w:noProof/>
        </w:rPr>
        <w:t>20.</w:t>
      </w:r>
      <w:r w:rsidRPr="00F44253">
        <w:rPr>
          <w:noProof/>
        </w:rPr>
        <w:tab/>
        <w:t>Бокерия Л.А., Затевахин И.И., Кириенко А.И. Российские клинические рекомендации по диагностике, лечению и профилактике венозных тромбоэмболических осложнений (ВТЭО). // Флебология. 2015. Vol. 4, № 2. P. 3–52.</w:t>
      </w:r>
    </w:p>
    <w:p w14:paraId="0AACD42B" w14:textId="77777777" w:rsidR="00F44253" w:rsidRPr="00F44253" w:rsidRDefault="00F44253" w:rsidP="00F44253">
      <w:pPr>
        <w:widowControl w:val="0"/>
        <w:autoSpaceDE w:val="0"/>
        <w:autoSpaceDN w:val="0"/>
        <w:adjustRightInd w:val="0"/>
        <w:ind w:left="640" w:hanging="640"/>
        <w:rPr>
          <w:noProof/>
        </w:rPr>
      </w:pPr>
      <w:r w:rsidRPr="00F44253">
        <w:rPr>
          <w:noProof/>
        </w:rPr>
        <w:t>21.</w:t>
      </w:r>
      <w:r w:rsidRPr="00F44253">
        <w:rPr>
          <w:noProof/>
        </w:rPr>
        <w:tab/>
        <w:t>Кириенко А.И., Галстян Г.М., Савченко В.Г. Профилактика венозных тромбоэмболических осложнений при лимфопролиферативных заболеваниях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268–278.</w:t>
      </w:r>
    </w:p>
    <w:p w14:paraId="23542C79" w14:textId="77777777" w:rsidR="00F44253" w:rsidRPr="00F44253" w:rsidRDefault="00F44253" w:rsidP="00F44253">
      <w:pPr>
        <w:widowControl w:val="0"/>
        <w:autoSpaceDE w:val="0"/>
        <w:autoSpaceDN w:val="0"/>
        <w:adjustRightInd w:val="0"/>
        <w:ind w:left="640" w:hanging="640"/>
        <w:rPr>
          <w:noProof/>
        </w:rPr>
      </w:pPr>
      <w:r w:rsidRPr="00F44253">
        <w:rPr>
          <w:noProof/>
        </w:rPr>
        <w:t>22.</w:t>
      </w:r>
      <w:r w:rsidRPr="00F44253">
        <w:rPr>
          <w:noProof/>
        </w:rPr>
        <w:tab/>
        <w:t xml:space="preserve">Santi R.M. et al. Khorana score and histotype predicts incidence of early venous </w:t>
      </w:r>
      <w:r w:rsidRPr="00F44253">
        <w:rPr>
          <w:noProof/>
        </w:rPr>
        <w:lastRenderedPageBreak/>
        <w:t>thromboembolism in Non-Hodgkin lymphomas: A Pooled-Data analysis of 12 clinical trials of fondazione italiana linfomi (FIL) // Thromb. Haemost. Schattauer GmbH, 2017. Vol. 117, № 8. P. 1615–1621.</w:t>
      </w:r>
    </w:p>
    <w:p w14:paraId="6F3AE6ED" w14:textId="77777777" w:rsidR="00F44253" w:rsidRPr="00F44253" w:rsidRDefault="00F44253" w:rsidP="00F44253">
      <w:pPr>
        <w:widowControl w:val="0"/>
        <w:autoSpaceDE w:val="0"/>
        <w:autoSpaceDN w:val="0"/>
        <w:adjustRightInd w:val="0"/>
        <w:ind w:left="640" w:hanging="640"/>
        <w:rPr>
          <w:noProof/>
        </w:rPr>
      </w:pPr>
      <w:r w:rsidRPr="00F44253">
        <w:rPr>
          <w:noProof/>
        </w:rPr>
        <w:t>23.</w:t>
      </w:r>
      <w:r w:rsidRPr="00F44253">
        <w:rPr>
          <w:noProof/>
        </w:rPr>
        <w:tab/>
        <w:t>Шмаков Р.Г., Демина Е.А. Лимфомы и беременность // Российские клинические рекомендации по диагностике и лечению злокачественных лимфопролиферативных заболеваний; под ред. И.В. Поддубной, В.Г. Савченко. 2018. P. 143–150.</w:t>
      </w:r>
    </w:p>
    <w:p w14:paraId="41B9FFE8" w14:textId="77777777" w:rsidR="00F44253" w:rsidRPr="00F44253" w:rsidRDefault="00F44253" w:rsidP="00F44253">
      <w:pPr>
        <w:widowControl w:val="0"/>
        <w:autoSpaceDE w:val="0"/>
        <w:autoSpaceDN w:val="0"/>
        <w:adjustRightInd w:val="0"/>
        <w:ind w:left="640" w:hanging="640"/>
        <w:rPr>
          <w:noProof/>
        </w:rPr>
      </w:pPr>
      <w:r w:rsidRPr="00F44253">
        <w:rPr>
          <w:noProof/>
        </w:rPr>
        <w:t>24.</w:t>
      </w:r>
      <w:r w:rsidRPr="00F44253">
        <w:rPr>
          <w:noProof/>
        </w:rPr>
        <w:tab/>
        <w:t>Stathis A. et al. Long-term outcome following Helicobacter pylori eradication in a retrospective study of 105 patients with localized gastric marginal zone B-cell lymphoma of MALT type. // Ann. Oncol.  Off. J. Eur. Soc. Med. Oncol. 2009. Vol. 20, № 6. P. 1086–1093.</w:t>
      </w:r>
    </w:p>
    <w:p w14:paraId="179B356F" w14:textId="77777777" w:rsidR="00F44253" w:rsidRPr="00F44253" w:rsidRDefault="00F44253" w:rsidP="00F44253">
      <w:pPr>
        <w:widowControl w:val="0"/>
        <w:autoSpaceDE w:val="0"/>
        <w:autoSpaceDN w:val="0"/>
        <w:adjustRightInd w:val="0"/>
        <w:ind w:left="640" w:hanging="640"/>
        <w:rPr>
          <w:noProof/>
        </w:rPr>
      </w:pPr>
      <w:r w:rsidRPr="00F44253">
        <w:rPr>
          <w:noProof/>
        </w:rPr>
        <w:t>25.</w:t>
      </w:r>
      <w:r w:rsidRPr="00F44253">
        <w:rPr>
          <w:noProof/>
        </w:rPr>
        <w:tab/>
        <w:t>Hodapp N. [The ICRU Report 83: prescribing, recording and reporting photon-beam intensity-modulated radiation therapy (IMRT)] // Strahlenther. Onkol. Strahlenther Onkol, 2012. Vol. 188, № 1. P. 97–99.</w:t>
      </w:r>
    </w:p>
    <w:p w14:paraId="385DA81C" w14:textId="77777777" w:rsidR="00F44253" w:rsidRPr="00F44253" w:rsidRDefault="00F44253" w:rsidP="00F44253">
      <w:pPr>
        <w:widowControl w:val="0"/>
        <w:autoSpaceDE w:val="0"/>
        <w:autoSpaceDN w:val="0"/>
        <w:adjustRightInd w:val="0"/>
        <w:ind w:left="640" w:hanging="640"/>
        <w:rPr>
          <w:noProof/>
        </w:rPr>
      </w:pPr>
      <w:r w:rsidRPr="00F44253">
        <w:rPr>
          <w:noProof/>
        </w:rPr>
        <w:t>26.</w:t>
      </w:r>
      <w:r w:rsidRPr="00F44253">
        <w:rPr>
          <w:noProof/>
        </w:rPr>
        <w:tab/>
        <w:t>Marks L.B. et al. Use of normal tissue complication probability models in the clinic // Int. J. Radiat. Oncol. Biol. Phys. Int J Radiat Oncol Biol Phys, 2010. Vol. 76, № 3 Suppl.</w:t>
      </w:r>
    </w:p>
    <w:p w14:paraId="7C070A44" w14:textId="77777777" w:rsidR="00F44253" w:rsidRPr="00F44253" w:rsidRDefault="00F44253" w:rsidP="00F44253">
      <w:pPr>
        <w:widowControl w:val="0"/>
        <w:autoSpaceDE w:val="0"/>
        <w:autoSpaceDN w:val="0"/>
        <w:adjustRightInd w:val="0"/>
        <w:ind w:left="640" w:hanging="640"/>
        <w:rPr>
          <w:noProof/>
        </w:rPr>
      </w:pPr>
      <w:r w:rsidRPr="00F44253">
        <w:rPr>
          <w:noProof/>
        </w:rPr>
        <w:t>27.</w:t>
      </w:r>
      <w:r w:rsidRPr="00F44253">
        <w:rPr>
          <w:noProof/>
        </w:rPr>
        <w:tab/>
        <w:t>Yahalom J. et al. Modern radiation therapy for extranodal lymphomas: Field and dose guidelines from the international lymphoma radiation oncology group // Int. J. Radiat. Oncol. Biol. Phys. Elsevier Inc., 2015. Vol. 92, № 1. P. 11–31.</w:t>
      </w:r>
    </w:p>
    <w:p w14:paraId="3521D993" w14:textId="77777777" w:rsidR="00F44253" w:rsidRPr="00F44253" w:rsidRDefault="00F44253" w:rsidP="00F44253">
      <w:pPr>
        <w:widowControl w:val="0"/>
        <w:autoSpaceDE w:val="0"/>
        <w:autoSpaceDN w:val="0"/>
        <w:adjustRightInd w:val="0"/>
        <w:ind w:left="640" w:hanging="640"/>
        <w:rPr>
          <w:noProof/>
        </w:rPr>
      </w:pPr>
      <w:r w:rsidRPr="00F44253">
        <w:rPr>
          <w:noProof/>
        </w:rPr>
        <w:t>28.</w:t>
      </w:r>
      <w:r w:rsidRPr="00F44253">
        <w:rPr>
          <w:noProof/>
        </w:rPr>
        <w:tab/>
        <w:t>Fischbach W. MALT lymphoma: Forget surgery? // Dig. Dis. 2013. Vol. 31, № 1. P. 38–42.</w:t>
      </w:r>
    </w:p>
    <w:p w14:paraId="6EA4B471" w14:textId="77777777" w:rsidR="00F44253" w:rsidRPr="00F44253" w:rsidRDefault="00F44253" w:rsidP="00F44253">
      <w:pPr>
        <w:widowControl w:val="0"/>
        <w:autoSpaceDE w:val="0"/>
        <w:autoSpaceDN w:val="0"/>
        <w:adjustRightInd w:val="0"/>
        <w:ind w:left="640" w:hanging="640"/>
        <w:rPr>
          <w:noProof/>
        </w:rPr>
      </w:pPr>
      <w:r w:rsidRPr="00F44253">
        <w:rPr>
          <w:noProof/>
        </w:rPr>
        <w:t>29.</w:t>
      </w:r>
      <w:r w:rsidRPr="00F44253">
        <w:rPr>
          <w:noProof/>
        </w:rPr>
        <w:tab/>
        <w:t>Quéro L. et al. [Radiotherapy for localized gastric and orbital MALT lymphomas] // Cancer Radiother. Cancer Radiother, 2016. Vol. 20, № 6–7. P. 543–546.</w:t>
      </w:r>
    </w:p>
    <w:p w14:paraId="3FAB3D4D" w14:textId="77777777" w:rsidR="00F44253" w:rsidRPr="00F44253" w:rsidRDefault="00F44253" w:rsidP="00F44253">
      <w:pPr>
        <w:widowControl w:val="0"/>
        <w:autoSpaceDE w:val="0"/>
        <w:autoSpaceDN w:val="0"/>
        <w:adjustRightInd w:val="0"/>
        <w:ind w:left="640" w:hanging="640"/>
        <w:rPr>
          <w:noProof/>
        </w:rPr>
      </w:pPr>
      <w:r w:rsidRPr="00F44253">
        <w:rPr>
          <w:noProof/>
        </w:rPr>
        <w:t>30.</w:t>
      </w:r>
      <w:r w:rsidRPr="00F44253">
        <w:rPr>
          <w:noProof/>
        </w:rPr>
        <w:tab/>
        <w:t>Ardeshna K.M. et al. Rituximab versus a watch-and-wait approach in patients with advanced-stage, asymptomatic, non-bulky follicular lymphoma: An open-label randomised phase 3 trial // Lancet Oncol. Lancet Publishing Group, 2014. Vol. 15, № 4. P. 424–435.</w:t>
      </w:r>
    </w:p>
    <w:p w14:paraId="275B7C54" w14:textId="77777777" w:rsidR="00F44253" w:rsidRPr="00F44253" w:rsidRDefault="00F44253" w:rsidP="00F44253">
      <w:pPr>
        <w:widowControl w:val="0"/>
        <w:autoSpaceDE w:val="0"/>
        <w:autoSpaceDN w:val="0"/>
        <w:adjustRightInd w:val="0"/>
        <w:ind w:left="640" w:hanging="640"/>
        <w:rPr>
          <w:noProof/>
        </w:rPr>
      </w:pPr>
      <w:r w:rsidRPr="00F44253">
        <w:rPr>
          <w:noProof/>
        </w:rPr>
        <w:t>31.</w:t>
      </w:r>
      <w:r w:rsidRPr="00F44253">
        <w:rPr>
          <w:noProof/>
        </w:rPr>
        <w:tab/>
        <w:t>Dührsen U. et al. Rituximab maintenance therapy of follicular lymphoma in clinical practice // Cancer Med. Blackwell Publishing Ltd, 2018. Vol. 7, № 7. P. 2903–2912.</w:t>
      </w:r>
    </w:p>
    <w:p w14:paraId="7BBD75AF" w14:textId="77777777" w:rsidR="00F44253" w:rsidRPr="00F44253" w:rsidRDefault="00F44253" w:rsidP="00F44253">
      <w:pPr>
        <w:widowControl w:val="0"/>
        <w:autoSpaceDE w:val="0"/>
        <w:autoSpaceDN w:val="0"/>
        <w:adjustRightInd w:val="0"/>
        <w:ind w:left="640" w:hanging="640"/>
        <w:rPr>
          <w:noProof/>
        </w:rPr>
      </w:pPr>
      <w:r w:rsidRPr="00F44253">
        <w:rPr>
          <w:noProof/>
        </w:rPr>
        <w:t>32.</w:t>
      </w:r>
      <w:r w:rsidRPr="00F44253">
        <w:rPr>
          <w:noProof/>
        </w:rPr>
        <w:tab/>
        <w:t>Bastos‐Oreiro M. et al. MAINTENANCE THERAPY AFTER R‐BENDAMUSTINE VS R‐CHOP IN FIRST‐LINE TREATMENT OF LOW‐GRADE FOLLICULAR LYMPHOMA: A MULTICENTRE, RETROSPECTIVE GELTAMO STUDY // Hematol. Oncol. Wiley, 2021. Vol. 39, № S2.</w:t>
      </w:r>
    </w:p>
    <w:p w14:paraId="2E58AC3E" w14:textId="77777777" w:rsidR="00F44253" w:rsidRPr="00F44253" w:rsidRDefault="00F44253" w:rsidP="00F44253">
      <w:pPr>
        <w:widowControl w:val="0"/>
        <w:autoSpaceDE w:val="0"/>
        <w:autoSpaceDN w:val="0"/>
        <w:adjustRightInd w:val="0"/>
        <w:ind w:left="640" w:hanging="640"/>
        <w:rPr>
          <w:noProof/>
        </w:rPr>
      </w:pPr>
      <w:r w:rsidRPr="00F44253">
        <w:rPr>
          <w:noProof/>
        </w:rPr>
        <w:t>33.</w:t>
      </w:r>
      <w:r w:rsidRPr="00F44253">
        <w:rPr>
          <w:noProof/>
        </w:rPr>
        <w:tab/>
        <w:t>Noy A. et al. Targeting Bruton tyrosine kinase with ibrutinib in relapsed/refractory marginal zone lymphoma // Blood. 2017. Vol. 129, № 16. P. 2224–2232.</w:t>
      </w:r>
    </w:p>
    <w:p w14:paraId="1AD48F22" w14:textId="77777777" w:rsidR="00F44253" w:rsidRPr="00F44253" w:rsidRDefault="00F44253" w:rsidP="00F44253">
      <w:pPr>
        <w:widowControl w:val="0"/>
        <w:autoSpaceDE w:val="0"/>
        <w:autoSpaceDN w:val="0"/>
        <w:adjustRightInd w:val="0"/>
        <w:ind w:left="640" w:hanging="640"/>
        <w:rPr>
          <w:noProof/>
        </w:rPr>
      </w:pPr>
      <w:r w:rsidRPr="00F44253">
        <w:rPr>
          <w:noProof/>
        </w:rPr>
        <w:t>34.</w:t>
      </w:r>
      <w:r w:rsidRPr="00F44253">
        <w:rPr>
          <w:noProof/>
        </w:rPr>
        <w:tab/>
        <w:t xml:space="preserve">Opat S. et al. The MAGNOLIA Trial: Zanubrutinib, a Next-Generation Bruton Tyrosine </w:t>
      </w:r>
      <w:r w:rsidRPr="00F44253">
        <w:rPr>
          <w:noProof/>
        </w:rPr>
        <w:lastRenderedPageBreak/>
        <w:t>Kinase Inhibitor, Demonstrates Safety and Efficacy in Relapsed/Refractory Marginal Zone Lymphoma // Clin. Cancer Res. Clin Cancer Res, 2021. Vol. 27, № 23. P. 6323–6332.</w:t>
      </w:r>
    </w:p>
    <w:p w14:paraId="6783BF33" w14:textId="77777777" w:rsidR="00F44253" w:rsidRPr="00F44253" w:rsidRDefault="00F44253" w:rsidP="00F44253">
      <w:pPr>
        <w:widowControl w:val="0"/>
        <w:autoSpaceDE w:val="0"/>
        <w:autoSpaceDN w:val="0"/>
        <w:adjustRightInd w:val="0"/>
        <w:ind w:left="640" w:hanging="640"/>
        <w:rPr>
          <w:noProof/>
        </w:rPr>
      </w:pPr>
      <w:r w:rsidRPr="00F44253">
        <w:rPr>
          <w:noProof/>
        </w:rPr>
        <w:t>35.</w:t>
      </w:r>
      <w:r w:rsidRPr="00F44253">
        <w:rPr>
          <w:noProof/>
        </w:rPr>
        <w:tab/>
        <w:t>Leonard J.P. et al. AUGMENT: A Phase III study of lenalidomide plus rituximab versus placebo plus rituximab in relapsed or refractory indolent lymphoma // Journal of Clinical Oncology. American Society of Clinical Oncology, 2019. Vol. 37, № 14. P. 1188–1199.</w:t>
      </w:r>
    </w:p>
    <w:p w14:paraId="444AFC0A" w14:textId="77777777" w:rsidR="00F44253" w:rsidRPr="00F44253" w:rsidRDefault="00F44253" w:rsidP="00F44253">
      <w:pPr>
        <w:widowControl w:val="0"/>
        <w:autoSpaceDE w:val="0"/>
        <w:autoSpaceDN w:val="0"/>
        <w:adjustRightInd w:val="0"/>
        <w:ind w:left="640" w:hanging="640"/>
        <w:rPr>
          <w:noProof/>
        </w:rPr>
      </w:pPr>
      <w:r w:rsidRPr="00F44253">
        <w:rPr>
          <w:noProof/>
        </w:rPr>
        <w:t>36.</w:t>
      </w:r>
      <w:r w:rsidRPr="00F44253">
        <w:rPr>
          <w:noProof/>
        </w:rPr>
        <w:tab/>
        <w:t>Procházka V. et al. Frontline intensive chemotherapy improves outcome in young, high-risk patients with follicular lymphoma: pair-matched analysis from the Czech Lymphoma Study Group Database // Leuk. Lymphoma. Leuk Lymphoma, 2017. Vol. 58, № 3. P. 601–613.</w:t>
      </w:r>
    </w:p>
    <w:p w14:paraId="0BB3F6C9" w14:textId="77777777" w:rsidR="00F44253" w:rsidRPr="00F44253" w:rsidRDefault="00F44253" w:rsidP="00F44253">
      <w:pPr>
        <w:widowControl w:val="0"/>
        <w:autoSpaceDE w:val="0"/>
        <w:autoSpaceDN w:val="0"/>
        <w:adjustRightInd w:val="0"/>
        <w:ind w:left="640" w:hanging="640"/>
        <w:rPr>
          <w:noProof/>
        </w:rPr>
      </w:pPr>
      <w:r w:rsidRPr="00F44253">
        <w:rPr>
          <w:noProof/>
        </w:rPr>
        <w:t>37.</w:t>
      </w:r>
      <w:r w:rsidRPr="00F44253">
        <w:rPr>
          <w:noProof/>
        </w:rPr>
        <w:tab/>
        <w:t>Metzner B. et al. Long-term outcome in patients with follicular lymphoma following high-dose therapy and autologous stem cell transplantation // Eur. J. Haematol. Eur J Haematol, 2021. Vol. 107, № 5. P. 543–552.</w:t>
      </w:r>
    </w:p>
    <w:p w14:paraId="120F26C2" w14:textId="77777777" w:rsidR="00F44253" w:rsidRPr="00F44253" w:rsidRDefault="00F44253" w:rsidP="00F44253">
      <w:pPr>
        <w:widowControl w:val="0"/>
        <w:autoSpaceDE w:val="0"/>
        <w:autoSpaceDN w:val="0"/>
        <w:adjustRightInd w:val="0"/>
        <w:ind w:left="640" w:hanging="640"/>
        <w:rPr>
          <w:noProof/>
        </w:rPr>
      </w:pPr>
      <w:r w:rsidRPr="00F44253">
        <w:rPr>
          <w:noProof/>
        </w:rPr>
        <w:t>38.</w:t>
      </w:r>
      <w:r w:rsidRPr="00F44253">
        <w:rPr>
          <w:noProof/>
        </w:rPr>
        <w:tab/>
        <w:t>Duarte R.F. et al. Indications for haematopoietic stem cell transplantation for haematological diseases, solid tumours and immune disorders: current practice in Europe, 2019 // Bone Marrow Transplant. Nature Publishing Group, 2019. Vol. 54, № 10. P. 1525–1552.</w:t>
      </w:r>
    </w:p>
    <w:p w14:paraId="6A4E9A9E" w14:textId="77777777" w:rsidR="00F44253" w:rsidRPr="00F44253" w:rsidRDefault="00F44253" w:rsidP="00F44253">
      <w:pPr>
        <w:widowControl w:val="0"/>
        <w:autoSpaceDE w:val="0"/>
        <w:autoSpaceDN w:val="0"/>
        <w:adjustRightInd w:val="0"/>
        <w:ind w:left="640" w:hanging="640"/>
        <w:rPr>
          <w:noProof/>
        </w:rPr>
      </w:pPr>
      <w:r w:rsidRPr="00F44253">
        <w:rPr>
          <w:noProof/>
        </w:rPr>
        <w:t>39.</w:t>
      </w:r>
      <w:r w:rsidRPr="00F44253">
        <w:rPr>
          <w:noProof/>
        </w:rPr>
        <w:tab/>
        <w:t>Montoto S. et al. Indications for hematopoietic stem cell transplantation in patients with follicular lymphoma: a consensus project of the EBMT-Lymphoma Working Party // Haematologica. Ferrata Storti Foundation, 2013. Vol. 98, № 7. P. 1014.</w:t>
      </w:r>
    </w:p>
    <w:p w14:paraId="648E9DCD" w14:textId="77777777" w:rsidR="00F44253" w:rsidRPr="00F44253" w:rsidRDefault="00F44253" w:rsidP="00F44253">
      <w:pPr>
        <w:widowControl w:val="0"/>
        <w:autoSpaceDE w:val="0"/>
        <w:autoSpaceDN w:val="0"/>
        <w:adjustRightInd w:val="0"/>
        <w:ind w:left="640" w:hanging="640"/>
        <w:rPr>
          <w:noProof/>
        </w:rPr>
      </w:pPr>
      <w:r w:rsidRPr="00F44253">
        <w:rPr>
          <w:noProof/>
        </w:rPr>
        <w:t>40.</w:t>
      </w:r>
      <w:r w:rsidRPr="00F44253">
        <w:rPr>
          <w:noProof/>
        </w:rPr>
        <w:tab/>
        <w:t>Robinson S.P. et al. Reduced intensity allogeneic stem cell transplantation for follicular lymphoma relapsing after an autologous transplant achieves durable long-term disease control: an analysis from the Lymphoma Working Party of the EBMT† // Ann. Oncol.  Off. J. Eur. Soc. Med. Oncol. Ann Oncol, 2016. Vol. 27, № 6. P. 1088–1094.</w:t>
      </w:r>
    </w:p>
    <w:p w14:paraId="4E48ABB8" w14:textId="77777777" w:rsidR="00F44253" w:rsidRPr="00F44253" w:rsidRDefault="00F44253" w:rsidP="00F44253">
      <w:pPr>
        <w:widowControl w:val="0"/>
        <w:autoSpaceDE w:val="0"/>
        <w:autoSpaceDN w:val="0"/>
        <w:adjustRightInd w:val="0"/>
        <w:ind w:left="640" w:hanging="640"/>
        <w:rPr>
          <w:noProof/>
        </w:rPr>
      </w:pPr>
      <w:r w:rsidRPr="00F44253">
        <w:rPr>
          <w:noProof/>
        </w:rPr>
        <w:t>41.</w:t>
      </w:r>
      <w:r w:rsidRPr="00F44253">
        <w:rPr>
          <w:noProof/>
        </w:rPr>
        <w:tab/>
        <w:t>Cheson B.D. et al. Revised response criteria for malignant lymphoma // Journal of Clinical Oncology. 2007. Vol. 25, № 5. P. 579–586.</w:t>
      </w:r>
    </w:p>
    <w:p w14:paraId="54F0A169" w14:textId="77777777" w:rsidR="00F44253" w:rsidRPr="00F44253" w:rsidRDefault="00F44253" w:rsidP="00F44253">
      <w:pPr>
        <w:widowControl w:val="0"/>
        <w:autoSpaceDE w:val="0"/>
        <w:autoSpaceDN w:val="0"/>
        <w:adjustRightInd w:val="0"/>
        <w:ind w:left="640" w:hanging="640"/>
        <w:rPr>
          <w:noProof/>
        </w:rPr>
      </w:pPr>
      <w:r w:rsidRPr="00F44253">
        <w:rPr>
          <w:noProof/>
        </w:rPr>
        <w:t>42.</w:t>
      </w:r>
      <w:r w:rsidRPr="00F44253">
        <w:rPr>
          <w:noProof/>
        </w:rPr>
        <w:tab/>
        <w:t>Барях Е.А., Мякова Н.В., Поддубная И.В. Профилактика и лечение синдрома лизиса опухоли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251–253.</w:t>
      </w:r>
    </w:p>
    <w:p w14:paraId="2E6D24BE" w14:textId="77777777" w:rsidR="00F44253" w:rsidRPr="00F44253" w:rsidRDefault="00F44253" w:rsidP="00F44253">
      <w:pPr>
        <w:widowControl w:val="0"/>
        <w:autoSpaceDE w:val="0"/>
        <w:autoSpaceDN w:val="0"/>
        <w:adjustRightInd w:val="0"/>
        <w:ind w:left="640" w:hanging="640"/>
        <w:rPr>
          <w:noProof/>
        </w:rPr>
      </w:pPr>
      <w:r w:rsidRPr="00F44253">
        <w:rPr>
          <w:noProof/>
        </w:rPr>
        <w:t>43.</w:t>
      </w:r>
      <w:r w:rsidRPr="00F44253">
        <w:rPr>
          <w:noProof/>
        </w:rPr>
        <w:tab/>
        <w:t>Барях Е.А. et al. Лейкоз/лимфома Беркитта: клинические особенности, диагностические критерии, терапевтическая тактика // Клиническая онкогематология. Фундаментальные исследования и клиническая практика. 2010. Vol. 3, № 2. P. 138–143.</w:t>
      </w:r>
    </w:p>
    <w:p w14:paraId="2C276092" w14:textId="77777777" w:rsidR="00F44253" w:rsidRPr="00F44253" w:rsidRDefault="00F44253" w:rsidP="00F44253">
      <w:pPr>
        <w:widowControl w:val="0"/>
        <w:autoSpaceDE w:val="0"/>
        <w:autoSpaceDN w:val="0"/>
        <w:adjustRightInd w:val="0"/>
        <w:ind w:left="640" w:hanging="640"/>
        <w:rPr>
          <w:noProof/>
        </w:rPr>
      </w:pPr>
      <w:r w:rsidRPr="00F44253">
        <w:rPr>
          <w:noProof/>
        </w:rPr>
        <w:t>44.</w:t>
      </w:r>
      <w:r w:rsidRPr="00F44253">
        <w:rPr>
          <w:noProof/>
        </w:rPr>
        <w:tab/>
        <w:t xml:space="preserve">Владимирова Л.Ю. et al. Практические рекомендации по профилактике и лечению </w:t>
      </w:r>
      <w:r w:rsidRPr="00F44253">
        <w:rPr>
          <w:noProof/>
        </w:rPr>
        <w:lastRenderedPageBreak/>
        <w:t>тошноты и рвоты у онкологических больных // 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 2018. P. 502–511.</w:t>
      </w:r>
    </w:p>
    <w:p w14:paraId="7DB088D1" w14:textId="77777777" w:rsidR="00F44253" w:rsidRPr="00F44253" w:rsidRDefault="00F44253" w:rsidP="00F44253">
      <w:pPr>
        <w:widowControl w:val="0"/>
        <w:autoSpaceDE w:val="0"/>
        <w:autoSpaceDN w:val="0"/>
        <w:adjustRightInd w:val="0"/>
        <w:ind w:left="640" w:hanging="640"/>
        <w:rPr>
          <w:noProof/>
        </w:rPr>
      </w:pPr>
      <w:r w:rsidRPr="00F44253">
        <w:rPr>
          <w:noProof/>
        </w:rPr>
        <w:t>45.</w:t>
      </w:r>
      <w:r w:rsidRPr="00F44253">
        <w:rPr>
          <w:noProof/>
        </w:rPr>
        <w:tab/>
        <w:t>Navari R.M., Gray S.E., Kerr A.C. Olanzapine versus aprepitant for the prevention of chemotherapy-induced nausea and vomiting: a randomized phase III trial // J. Support. Oncol. J Support Oncol, 2011. Vol. 9, № 5. P. 188–195.</w:t>
      </w:r>
    </w:p>
    <w:p w14:paraId="787DBA93" w14:textId="77777777" w:rsidR="00F44253" w:rsidRPr="00F44253" w:rsidRDefault="00F44253" w:rsidP="00F44253">
      <w:pPr>
        <w:widowControl w:val="0"/>
        <w:autoSpaceDE w:val="0"/>
        <w:autoSpaceDN w:val="0"/>
        <w:adjustRightInd w:val="0"/>
        <w:ind w:left="640" w:hanging="640"/>
        <w:rPr>
          <w:noProof/>
        </w:rPr>
      </w:pPr>
      <w:r w:rsidRPr="00F44253">
        <w:rPr>
          <w:noProof/>
        </w:rPr>
        <w:t>46.</w:t>
      </w:r>
      <w:r w:rsidRPr="00F44253">
        <w:rPr>
          <w:noProof/>
        </w:rPr>
        <w:tab/>
        <w:t>Navari R.M., Aapro M. Antiemetic Prophylaxis for Chemotherapy-Induced Nausea and Vomiting // N. Engl. J. Med. New England Journal of Medicine (NEJM/MMS), 2016. Vol. 374, № 14. P. 1356–1367.</w:t>
      </w:r>
    </w:p>
    <w:p w14:paraId="0A6B94F6" w14:textId="77777777" w:rsidR="00F44253" w:rsidRPr="00F44253" w:rsidRDefault="00F44253" w:rsidP="00F44253">
      <w:pPr>
        <w:widowControl w:val="0"/>
        <w:autoSpaceDE w:val="0"/>
        <w:autoSpaceDN w:val="0"/>
        <w:adjustRightInd w:val="0"/>
        <w:ind w:left="640" w:hanging="640"/>
        <w:rPr>
          <w:noProof/>
        </w:rPr>
      </w:pPr>
      <w:r w:rsidRPr="00F44253">
        <w:rPr>
          <w:noProof/>
        </w:rPr>
        <w:t>47.</w:t>
      </w:r>
      <w:r w:rsidRPr="00F44253">
        <w:rPr>
          <w:noProof/>
        </w:rPr>
        <w:tab/>
        <w:t>Narum S., Westergren T., Klemp M. Corticosteroids and risk of gastrointestinal bleeding: A systematic review and meta-analysis // BMJ Open. 2014. Vol. 4, № 5. P. e004587.</w:t>
      </w:r>
    </w:p>
    <w:p w14:paraId="5C3E6912" w14:textId="77777777" w:rsidR="00F44253" w:rsidRPr="00F44253" w:rsidRDefault="00F44253" w:rsidP="00F44253">
      <w:pPr>
        <w:widowControl w:val="0"/>
        <w:autoSpaceDE w:val="0"/>
        <w:autoSpaceDN w:val="0"/>
        <w:adjustRightInd w:val="0"/>
        <w:ind w:left="640" w:hanging="640"/>
        <w:rPr>
          <w:noProof/>
        </w:rPr>
      </w:pPr>
      <w:r w:rsidRPr="00F44253">
        <w:rPr>
          <w:noProof/>
        </w:rPr>
        <w:t>48.</w:t>
      </w:r>
      <w:r w:rsidRPr="00F44253">
        <w:rPr>
          <w:noProof/>
        </w:rPr>
        <w:tab/>
        <w:t>Протоколы клинических рекомендаций поддерживающей терапии в онкологии. 4-е издание, переработанное и дополненное. Под редакцией академика РАН М.И.Давыдова. 2020.</w:t>
      </w:r>
    </w:p>
    <w:p w14:paraId="6151D139" w14:textId="77777777" w:rsidR="00F44253" w:rsidRPr="00F44253" w:rsidRDefault="00F44253" w:rsidP="00F44253">
      <w:pPr>
        <w:widowControl w:val="0"/>
        <w:autoSpaceDE w:val="0"/>
        <w:autoSpaceDN w:val="0"/>
        <w:adjustRightInd w:val="0"/>
        <w:ind w:left="640" w:hanging="640"/>
        <w:rPr>
          <w:noProof/>
        </w:rPr>
      </w:pPr>
      <w:r w:rsidRPr="00F44253">
        <w:rPr>
          <w:noProof/>
        </w:rPr>
        <w:t>49.</w:t>
      </w:r>
      <w:r w:rsidRPr="00F44253">
        <w:rPr>
          <w:noProof/>
        </w:rPr>
        <w:tab/>
        <w:t>Cooper K.L. et al. Granulocyte colony-stimulating factors for febrile neutropenia prophylaxis following chemotherapy: Systematic review and meta-analysis // BMC Cancer. BioMed Central, 2011. Vol. 11, № 1. P. 1–11.</w:t>
      </w:r>
    </w:p>
    <w:p w14:paraId="1AD450F3" w14:textId="77777777" w:rsidR="00F44253" w:rsidRPr="00F44253" w:rsidRDefault="00F44253" w:rsidP="00F44253">
      <w:pPr>
        <w:widowControl w:val="0"/>
        <w:autoSpaceDE w:val="0"/>
        <w:autoSpaceDN w:val="0"/>
        <w:adjustRightInd w:val="0"/>
        <w:ind w:left="640" w:hanging="640"/>
        <w:rPr>
          <w:noProof/>
        </w:rPr>
      </w:pPr>
      <w:r w:rsidRPr="00F44253">
        <w:rPr>
          <w:noProof/>
        </w:rPr>
        <w:t>50.</w:t>
      </w:r>
      <w:r w:rsidRPr="00F44253">
        <w:rPr>
          <w:noProof/>
        </w:rPr>
        <w:tab/>
        <w:t>Aapro M.S. et al. 2010 update of EORTC guidelines for the use of granulocyte-colony stimulating factor to reduce the incidence of chemotherapy-induced febrile neutropenia in adult patients with lymphoproliferative disorders and solid tumours // Eur. J. Cancer. Elsevier, 2011. Vol. 47, № 1. P. 8–32.</w:t>
      </w:r>
    </w:p>
    <w:p w14:paraId="5E323A90" w14:textId="77777777" w:rsidR="00F44253" w:rsidRPr="00F44253" w:rsidRDefault="00F44253" w:rsidP="00F44253">
      <w:pPr>
        <w:widowControl w:val="0"/>
        <w:autoSpaceDE w:val="0"/>
        <w:autoSpaceDN w:val="0"/>
        <w:adjustRightInd w:val="0"/>
        <w:ind w:left="640" w:hanging="640"/>
        <w:rPr>
          <w:noProof/>
        </w:rPr>
      </w:pPr>
      <w:r w:rsidRPr="00F44253">
        <w:rPr>
          <w:noProof/>
        </w:rPr>
        <w:t>51.</w:t>
      </w:r>
      <w:r w:rsidRPr="00F44253">
        <w:rPr>
          <w:noProof/>
        </w:rPr>
        <w:tab/>
        <w:t>Yokoyama M. et al. Incidence and risk factors of febrile neutropenia in patients with non-Hodgkin B-cell lymphoma receiving R-CHOP in a single center in Japan // Support. Care Cancer. Support Care Cancer, 2017. Vol. 25, № 11. P. 3313–3320.</w:t>
      </w:r>
    </w:p>
    <w:p w14:paraId="47FDA0AC" w14:textId="77777777" w:rsidR="00F44253" w:rsidRPr="00F44253" w:rsidRDefault="00F44253" w:rsidP="00F44253">
      <w:pPr>
        <w:widowControl w:val="0"/>
        <w:autoSpaceDE w:val="0"/>
        <w:autoSpaceDN w:val="0"/>
        <w:adjustRightInd w:val="0"/>
        <w:ind w:left="640" w:hanging="640"/>
        <w:rPr>
          <w:noProof/>
        </w:rPr>
      </w:pPr>
      <w:r w:rsidRPr="00F44253">
        <w:rPr>
          <w:noProof/>
        </w:rPr>
        <w:t>52.</w:t>
      </w:r>
      <w:r w:rsidRPr="00F44253">
        <w:rPr>
          <w:noProof/>
        </w:rPr>
        <w:tab/>
        <w:t>Константинова Т.С., Клясова Г.А., Капланов К.Д. Лечение и профилактика инфекционных осложнений у пациентов с лимфопролиферативными заболеваниями.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289–311.</w:t>
      </w:r>
    </w:p>
    <w:p w14:paraId="6809B1B6" w14:textId="77777777" w:rsidR="00F44253" w:rsidRPr="00F44253" w:rsidRDefault="00F44253" w:rsidP="00F44253">
      <w:pPr>
        <w:widowControl w:val="0"/>
        <w:autoSpaceDE w:val="0"/>
        <w:autoSpaceDN w:val="0"/>
        <w:adjustRightInd w:val="0"/>
        <w:ind w:left="640" w:hanging="640"/>
        <w:rPr>
          <w:noProof/>
        </w:rPr>
      </w:pPr>
      <w:r w:rsidRPr="00F44253">
        <w:rPr>
          <w:noProof/>
        </w:rPr>
        <w:t>53.</w:t>
      </w:r>
      <w:r w:rsidRPr="00F44253">
        <w:rPr>
          <w:noProof/>
        </w:rPr>
        <w:tab/>
        <w:t>Reiser M. et al. Management of patients with malignancies and secondary immunodeficiencies treated with immunoglobulins in clinical practice: Long-term data of the SIGNS study // Eur. J. Haematol. Eur J Haematol, 2017. Vol. 99, № 2. P. 169–177.</w:t>
      </w:r>
    </w:p>
    <w:p w14:paraId="56F37B0B" w14:textId="77777777" w:rsidR="00F44253" w:rsidRPr="00F44253" w:rsidRDefault="00F44253" w:rsidP="00F44253">
      <w:pPr>
        <w:widowControl w:val="0"/>
        <w:autoSpaceDE w:val="0"/>
        <w:autoSpaceDN w:val="0"/>
        <w:adjustRightInd w:val="0"/>
        <w:ind w:left="640" w:hanging="640"/>
        <w:rPr>
          <w:noProof/>
        </w:rPr>
      </w:pPr>
      <w:r w:rsidRPr="00F44253">
        <w:rPr>
          <w:noProof/>
        </w:rPr>
        <w:t>54.</w:t>
      </w:r>
      <w:r w:rsidRPr="00F44253">
        <w:rPr>
          <w:noProof/>
        </w:rPr>
        <w:tab/>
        <w:t xml:space="preserve">Benbrahim O. et al. A French observational study describing the use of human polyvalent immunoglobulins in hematological malignancy-associated secondary immunodeficiency // </w:t>
      </w:r>
      <w:r w:rsidRPr="00F44253">
        <w:rPr>
          <w:noProof/>
        </w:rPr>
        <w:lastRenderedPageBreak/>
        <w:t>Eur. J. Haematol. Eur J Haematol, 2018. Vol. 101, № 1. P. 48–56.</w:t>
      </w:r>
    </w:p>
    <w:p w14:paraId="55C42C5D" w14:textId="77777777" w:rsidR="00F44253" w:rsidRPr="00F44253" w:rsidRDefault="00F44253" w:rsidP="00F44253">
      <w:pPr>
        <w:widowControl w:val="0"/>
        <w:autoSpaceDE w:val="0"/>
        <w:autoSpaceDN w:val="0"/>
        <w:adjustRightInd w:val="0"/>
        <w:ind w:left="640" w:hanging="640"/>
        <w:rPr>
          <w:noProof/>
        </w:rPr>
      </w:pPr>
      <w:r w:rsidRPr="00F44253">
        <w:rPr>
          <w:noProof/>
        </w:rPr>
        <w:t>55.</w:t>
      </w:r>
      <w:r w:rsidRPr="00F44253">
        <w:rPr>
          <w:noProof/>
        </w:rPr>
        <w:tab/>
        <w:t>Jolles S. et al. Treating secondary antibody deficiency in patients with haematological malignancy: European expert consensus // Eur. J. Haematol. Eur J Haematol, 2021. Vol. 106, № 4. P. 439–449.</w:t>
      </w:r>
    </w:p>
    <w:p w14:paraId="61E6BDAE" w14:textId="77777777" w:rsidR="00F44253" w:rsidRPr="00F44253" w:rsidRDefault="00F44253" w:rsidP="00F44253">
      <w:pPr>
        <w:widowControl w:val="0"/>
        <w:autoSpaceDE w:val="0"/>
        <w:autoSpaceDN w:val="0"/>
        <w:adjustRightInd w:val="0"/>
        <w:ind w:left="640" w:hanging="640"/>
        <w:rPr>
          <w:noProof/>
        </w:rPr>
      </w:pPr>
      <w:r w:rsidRPr="00F44253">
        <w:rPr>
          <w:noProof/>
        </w:rPr>
        <w:t>56.</w:t>
      </w:r>
      <w:r w:rsidRPr="00F44253">
        <w:rPr>
          <w:noProof/>
        </w:rPr>
        <w:tab/>
        <w:t>Инструкция по медицинскому применению лекавственного препарата Ревлимид® (Revlimid®), регистрационный номер ЛП-003739. 2020.</w:t>
      </w:r>
    </w:p>
    <w:p w14:paraId="6C07AA81" w14:textId="77777777" w:rsidR="00F44253" w:rsidRPr="00F44253" w:rsidRDefault="00F44253" w:rsidP="00F44253">
      <w:pPr>
        <w:widowControl w:val="0"/>
        <w:autoSpaceDE w:val="0"/>
        <w:autoSpaceDN w:val="0"/>
        <w:adjustRightInd w:val="0"/>
        <w:ind w:left="640" w:hanging="640"/>
        <w:rPr>
          <w:noProof/>
        </w:rPr>
      </w:pPr>
      <w:r w:rsidRPr="00F44253">
        <w:rPr>
          <w:noProof/>
        </w:rPr>
        <w:t>57.</w:t>
      </w:r>
      <w:r w:rsidRPr="00F44253">
        <w:rPr>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14:paraId="7D24FF16" w14:textId="77777777" w:rsidR="00F44253" w:rsidRPr="00F44253" w:rsidRDefault="00F44253" w:rsidP="00F44253">
      <w:pPr>
        <w:widowControl w:val="0"/>
        <w:autoSpaceDE w:val="0"/>
        <w:autoSpaceDN w:val="0"/>
        <w:adjustRightInd w:val="0"/>
        <w:ind w:left="640" w:hanging="640"/>
        <w:rPr>
          <w:noProof/>
        </w:rPr>
      </w:pPr>
      <w:r w:rsidRPr="00F44253">
        <w:rPr>
          <w:noProof/>
        </w:rPr>
        <w:t>58.</w:t>
      </w:r>
      <w:r w:rsidRPr="00F44253">
        <w:rPr>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И.В. Поддубной, В.Г. Савченко. 2018. P. 278–288.</w:t>
      </w:r>
    </w:p>
    <w:p w14:paraId="0F5AE24F" w14:textId="77777777" w:rsidR="00F44253" w:rsidRPr="00F44253" w:rsidRDefault="00F44253" w:rsidP="00F44253">
      <w:pPr>
        <w:widowControl w:val="0"/>
        <w:autoSpaceDE w:val="0"/>
        <w:autoSpaceDN w:val="0"/>
        <w:adjustRightInd w:val="0"/>
        <w:ind w:left="640" w:hanging="640"/>
        <w:rPr>
          <w:noProof/>
        </w:rPr>
      </w:pPr>
      <w:r w:rsidRPr="00F44253">
        <w:rPr>
          <w:noProof/>
        </w:rPr>
        <w:t>59.</w:t>
      </w:r>
      <w:r w:rsidRPr="00F44253">
        <w:rPr>
          <w:noProof/>
        </w:rPr>
        <w:tab/>
        <w:t>Paul K.L. Rehabilitation and exercise considerations in hematologic malignancies. // Am. J. Phys. Med. Rehabil. 2011. Vol. 90, № 5 Suppl 1. P. S88-94.</w:t>
      </w:r>
    </w:p>
    <w:p w14:paraId="2CA8B928" w14:textId="77777777" w:rsidR="00F44253" w:rsidRPr="00F44253" w:rsidRDefault="00F44253" w:rsidP="00F44253">
      <w:pPr>
        <w:widowControl w:val="0"/>
        <w:autoSpaceDE w:val="0"/>
        <w:autoSpaceDN w:val="0"/>
        <w:adjustRightInd w:val="0"/>
        <w:ind w:left="640" w:hanging="640"/>
        <w:rPr>
          <w:noProof/>
        </w:rPr>
      </w:pPr>
      <w:r w:rsidRPr="00F44253">
        <w:rPr>
          <w:noProof/>
        </w:rPr>
        <w:t>60.</w:t>
      </w:r>
      <w:r w:rsidRPr="00F44253">
        <w:rPr>
          <w:noProof/>
        </w:rPr>
        <w:tab/>
        <w:t>Sanfilippo K.M. et al. Incidence of venous thromboembolism in patients with non-Hodgkin lymphoma // Thromb. Res. Elsevier Ltd, 2016. Vol. 143. P. 86–90.</w:t>
      </w:r>
    </w:p>
    <w:p w14:paraId="5FD3FFCE" w14:textId="77777777" w:rsidR="00F44253" w:rsidRPr="00F44253" w:rsidRDefault="00F44253" w:rsidP="00F44253">
      <w:pPr>
        <w:widowControl w:val="0"/>
        <w:autoSpaceDE w:val="0"/>
        <w:autoSpaceDN w:val="0"/>
        <w:adjustRightInd w:val="0"/>
        <w:ind w:left="640" w:hanging="640"/>
        <w:rPr>
          <w:noProof/>
        </w:rPr>
      </w:pPr>
      <w:r w:rsidRPr="00F44253">
        <w:rPr>
          <w:noProof/>
        </w:rPr>
        <w:t>61.</w:t>
      </w:r>
      <w:r w:rsidRPr="00F44253">
        <w:rPr>
          <w:noProof/>
        </w:rPr>
        <w:tab/>
        <w:t>Park L.C. et al. Incidence, risk factors and clinical features of venous thromboembolism in newly diagnosed lymphoma patients: Results from a prospective cohort study with Asian population // Thromb. Res. Elsevier Ltd, 2012. Vol. 130, № 3. P. e6.</w:t>
      </w:r>
    </w:p>
    <w:p w14:paraId="63097E97" w14:textId="77777777" w:rsidR="00F44253" w:rsidRPr="00F44253" w:rsidRDefault="00F44253" w:rsidP="00F44253">
      <w:pPr>
        <w:widowControl w:val="0"/>
        <w:autoSpaceDE w:val="0"/>
        <w:autoSpaceDN w:val="0"/>
        <w:adjustRightInd w:val="0"/>
        <w:ind w:left="640" w:hanging="640"/>
        <w:rPr>
          <w:noProof/>
        </w:rPr>
      </w:pPr>
      <w:r w:rsidRPr="00F44253">
        <w:rPr>
          <w:noProof/>
        </w:rPr>
        <w:t>62.</w:t>
      </w:r>
      <w:r w:rsidRPr="00F44253">
        <w:rPr>
          <w:noProof/>
        </w:rPr>
        <w:tab/>
        <w:t>Sharifi M. et al. New oral anticoagulants in the treatment of heparin- Induced thrombocytopenia // Thromb. Res. Elsevier Ltd, 2015. Vol. 135, № 4. P. 607–609.</w:t>
      </w:r>
    </w:p>
    <w:p w14:paraId="7E4A5140" w14:textId="77777777" w:rsidR="00F44253" w:rsidRPr="00F44253" w:rsidRDefault="00F44253" w:rsidP="00F44253">
      <w:pPr>
        <w:widowControl w:val="0"/>
        <w:autoSpaceDE w:val="0"/>
        <w:autoSpaceDN w:val="0"/>
        <w:adjustRightInd w:val="0"/>
        <w:ind w:left="640" w:hanging="640"/>
        <w:rPr>
          <w:noProof/>
        </w:rPr>
      </w:pPr>
      <w:r w:rsidRPr="00F44253">
        <w:rPr>
          <w:noProof/>
        </w:rPr>
        <w:t>63.</w:t>
      </w:r>
      <w:r w:rsidRPr="00F44253">
        <w:rPr>
          <w:noProof/>
        </w:rPr>
        <w:tab/>
        <w:t>Ettinger D.S. et al. Antiemesis. NCCN Clinical Practice Guidelines in Oncology (NCCN Guidelines). Version 1.2021. 2020.</w:t>
      </w:r>
    </w:p>
    <w:p w14:paraId="041C01C2" w14:textId="77777777" w:rsidR="00F44253" w:rsidRPr="00F44253" w:rsidRDefault="00F44253" w:rsidP="00F44253">
      <w:pPr>
        <w:widowControl w:val="0"/>
        <w:autoSpaceDE w:val="0"/>
        <w:autoSpaceDN w:val="0"/>
        <w:adjustRightInd w:val="0"/>
        <w:ind w:left="640" w:hanging="640"/>
        <w:rPr>
          <w:noProof/>
        </w:rPr>
      </w:pPr>
      <w:r w:rsidRPr="00F44253">
        <w:rPr>
          <w:noProof/>
        </w:rPr>
        <w:t>64.</w:t>
      </w:r>
      <w:r w:rsidRPr="00F44253">
        <w:rPr>
          <w:noProof/>
        </w:rPr>
        <w:tab/>
        <w:t>Roila F. et al. Prevention of chemotherapy- and radiotherapy-induced emesis: Results of the 2004 Perugia International Antiemetic Consensus Conference // Annals of Oncology. Ann Oncol, 2006. Vol. 17, № 1. P. 20–28.</w:t>
      </w:r>
    </w:p>
    <w:p w14:paraId="417C2C8B" w14:textId="77777777" w:rsidR="00F44253" w:rsidRPr="00F44253" w:rsidRDefault="00F44253" w:rsidP="00F44253">
      <w:pPr>
        <w:widowControl w:val="0"/>
        <w:autoSpaceDE w:val="0"/>
        <w:autoSpaceDN w:val="0"/>
        <w:adjustRightInd w:val="0"/>
        <w:ind w:left="640" w:hanging="640"/>
        <w:rPr>
          <w:noProof/>
        </w:rPr>
      </w:pPr>
      <w:r w:rsidRPr="00F44253">
        <w:rPr>
          <w:noProof/>
        </w:rPr>
        <w:t>65.</w:t>
      </w:r>
      <w:r w:rsidRPr="00F44253">
        <w:rPr>
          <w:noProof/>
        </w:rPr>
        <w:tab/>
        <w:t>Basch E. et al. Antiemetics: American Society of Clinical Oncology clinical practice guideline update // J. Clin. Oncol. J Clin Oncol, 2011. Vol. 29, № 31. P. 4189–4198.</w:t>
      </w:r>
    </w:p>
    <w:p w14:paraId="53C5ABC2" w14:textId="77777777" w:rsidR="00F44253" w:rsidRPr="00F44253" w:rsidRDefault="00F44253" w:rsidP="00F44253">
      <w:pPr>
        <w:widowControl w:val="0"/>
        <w:autoSpaceDE w:val="0"/>
        <w:autoSpaceDN w:val="0"/>
        <w:adjustRightInd w:val="0"/>
        <w:ind w:left="640" w:hanging="640"/>
        <w:rPr>
          <w:noProof/>
        </w:rPr>
      </w:pPr>
      <w:r w:rsidRPr="00F44253">
        <w:rPr>
          <w:noProof/>
        </w:rPr>
        <w:t>66.</w:t>
      </w:r>
      <w:r w:rsidRPr="00F44253">
        <w:rPr>
          <w:noProof/>
        </w:rPr>
        <w:tab/>
        <w:t>Hesketh P.J. et al. Antiemetics: American Society of Clinical Oncology clinical practice guideline update // Journal of Clinical Oncology. American Society of Clinical Oncology, 2017. Vol. 35, № 28. P. 3240–3261.</w:t>
      </w:r>
    </w:p>
    <w:p w14:paraId="615B1475" w14:textId="77777777" w:rsidR="00F44253" w:rsidRPr="00F44253" w:rsidRDefault="00F44253" w:rsidP="00F44253">
      <w:pPr>
        <w:widowControl w:val="0"/>
        <w:autoSpaceDE w:val="0"/>
        <w:autoSpaceDN w:val="0"/>
        <w:adjustRightInd w:val="0"/>
        <w:ind w:left="640" w:hanging="640"/>
        <w:rPr>
          <w:noProof/>
        </w:rPr>
      </w:pPr>
      <w:r w:rsidRPr="00F44253">
        <w:rPr>
          <w:noProof/>
        </w:rPr>
        <w:t>67.</w:t>
      </w:r>
      <w:r w:rsidRPr="00F44253">
        <w:rPr>
          <w:noProof/>
        </w:rPr>
        <w:tab/>
        <w:t xml:space="preserve">Razvi Y. et al. ASCO, NCCN, MASCC/ESMO: a comparison of antiemetic guidelines for the treatment of chemotherapy-induced nausea and vomiting in adult patients // Supportive </w:t>
      </w:r>
      <w:r w:rsidRPr="00F44253">
        <w:rPr>
          <w:noProof/>
        </w:rPr>
        <w:lastRenderedPageBreak/>
        <w:t>Care in Cancer. Springer Verlag, 2019. Vol. 27, № 1. P. 87–95.</w:t>
      </w:r>
    </w:p>
    <w:p w14:paraId="7E2CA451" w14:textId="77777777" w:rsidR="00F44253" w:rsidRPr="00F44253" w:rsidRDefault="00F44253" w:rsidP="00F44253">
      <w:pPr>
        <w:widowControl w:val="0"/>
        <w:autoSpaceDE w:val="0"/>
        <w:autoSpaceDN w:val="0"/>
        <w:adjustRightInd w:val="0"/>
        <w:ind w:left="640" w:hanging="640"/>
        <w:rPr>
          <w:noProof/>
        </w:rPr>
      </w:pPr>
      <w:r w:rsidRPr="00F44253">
        <w:rPr>
          <w:noProof/>
        </w:rPr>
        <w:t>68.</w:t>
      </w:r>
      <w:r w:rsidRPr="00F44253">
        <w:rPr>
          <w:noProof/>
        </w:rPr>
        <w:tab/>
        <w:t>Conn H.O., Poynard T. Corticosteroids and peptic ulcer: meta-analysis of adverse events during steroid therapy. // J. Intern. Med. J Intern Med, 1994. Vol. 236, № 6. P. 619–632.</w:t>
      </w:r>
    </w:p>
    <w:p w14:paraId="11A8B323" w14:textId="77777777" w:rsidR="00F44253" w:rsidRPr="00F44253" w:rsidRDefault="00F44253" w:rsidP="00F44253">
      <w:pPr>
        <w:widowControl w:val="0"/>
        <w:autoSpaceDE w:val="0"/>
        <w:autoSpaceDN w:val="0"/>
        <w:adjustRightInd w:val="0"/>
        <w:ind w:left="640" w:hanging="640"/>
        <w:rPr>
          <w:noProof/>
        </w:rPr>
      </w:pPr>
      <w:r w:rsidRPr="00F44253">
        <w:rPr>
          <w:noProof/>
        </w:rPr>
        <w:t>69.</w:t>
      </w:r>
      <w:r w:rsidRPr="00F44253">
        <w:rPr>
          <w:noProof/>
        </w:rPr>
        <w:tab/>
        <w:t>Burget D.W., Chiverton S.G., Hunt R.H. Is there an optimal degree of acid suppression for healing of duodenal ulcers? A model of the relationship between ulcer healing and acid suppression // Gastroenterology. Gastroenterology, 1990. Vol. 99, № 2. P. 345–351.</w:t>
      </w:r>
    </w:p>
    <w:p w14:paraId="0FECF4FF" w14:textId="77777777" w:rsidR="00F44253" w:rsidRPr="00F44253" w:rsidRDefault="00F44253" w:rsidP="00F44253">
      <w:pPr>
        <w:widowControl w:val="0"/>
        <w:autoSpaceDE w:val="0"/>
        <w:autoSpaceDN w:val="0"/>
        <w:adjustRightInd w:val="0"/>
        <w:ind w:left="640" w:hanging="640"/>
        <w:rPr>
          <w:noProof/>
        </w:rPr>
      </w:pPr>
      <w:r w:rsidRPr="00F44253">
        <w:rPr>
          <w:noProof/>
        </w:rPr>
        <w:t>70.</w:t>
      </w:r>
      <w:r w:rsidRPr="00F44253">
        <w:rPr>
          <w:noProof/>
        </w:rPr>
        <w:tab/>
        <w:t>Ивашкин В.Т. et al.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 Российский журнал гастроэнтерологии, гепатологии, колопроктологии. 2020. Vol. 30, № 1. P. 49–70.</w:t>
      </w:r>
    </w:p>
    <w:p w14:paraId="107FA5B8" w14:textId="77777777" w:rsidR="00F44253" w:rsidRPr="00F44253" w:rsidRDefault="00F44253" w:rsidP="00F44253">
      <w:pPr>
        <w:widowControl w:val="0"/>
        <w:autoSpaceDE w:val="0"/>
        <w:autoSpaceDN w:val="0"/>
        <w:adjustRightInd w:val="0"/>
        <w:ind w:left="640" w:hanging="640"/>
        <w:rPr>
          <w:noProof/>
        </w:rPr>
      </w:pPr>
      <w:r w:rsidRPr="00F44253">
        <w:rPr>
          <w:noProof/>
        </w:rPr>
        <w:t>71.</w:t>
      </w:r>
      <w:r w:rsidRPr="00F44253">
        <w:rPr>
          <w:noProof/>
        </w:rPr>
        <w:tab/>
        <w:t>Scally B. et al. Effects of gastroprotectant drugs for the prevention and treatment of peptic ulcer disease and its complications: a meta-analysis of randomised trials // Lancet Gastroenterol. Hepatol. Elsevier Ltd, 2018. Vol. 3, № 4. P. 231–241.</w:t>
      </w:r>
    </w:p>
    <w:p w14:paraId="0C053779" w14:textId="77777777" w:rsidR="00F44253" w:rsidRPr="00F44253" w:rsidRDefault="00F44253" w:rsidP="00F44253">
      <w:pPr>
        <w:widowControl w:val="0"/>
        <w:autoSpaceDE w:val="0"/>
        <w:autoSpaceDN w:val="0"/>
        <w:adjustRightInd w:val="0"/>
        <w:ind w:left="640" w:hanging="640"/>
        <w:rPr>
          <w:noProof/>
        </w:rPr>
      </w:pPr>
      <w:r w:rsidRPr="00F44253">
        <w:rPr>
          <w:noProof/>
        </w:rPr>
        <w:t>72.</w:t>
      </w:r>
      <w:r w:rsidRPr="00F44253">
        <w:rPr>
          <w:noProof/>
        </w:rPr>
        <w:tab/>
        <w:t>Hu Z.-H. et al. Efficacy of proton pump inhibitors for patients with duodenal ulcers: A pairwise and network meta-analysis of randomized controlled trials // Saudi J. Gastroenterol. Medknow Publications, 2017. Vol. 23, № 1. P. 11.</w:t>
      </w:r>
    </w:p>
    <w:p w14:paraId="3F2DD634" w14:textId="77777777" w:rsidR="00F44253" w:rsidRPr="00F44253" w:rsidRDefault="00F44253" w:rsidP="00F44253">
      <w:pPr>
        <w:widowControl w:val="0"/>
        <w:autoSpaceDE w:val="0"/>
        <w:autoSpaceDN w:val="0"/>
        <w:adjustRightInd w:val="0"/>
        <w:ind w:left="640" w:hanging="640"/>
        <w:rPr>
          <w:noProof/>
        </w:rPr>
      </w:pPr>
      <w:r w:rsidRPr="00F44253">
        <w:rPr>
          <w:noProof/>
        </w:rPr>
        <w:t>73.</w:t>
      </w:r>
      <w:r w:rsidRPr="00F44253">
        <w:rPr>
          <w:noProof/>
        </w:rPr>
        <w:tab/>
        <w:t>Poynard T., Lemaire M., Agostini H. Meta-analysis of randomized clinical trials comparing lansoprazole with ranitidine or famotidine in the treatment of acute duodenal ulcer // Eur. J. Gastroenterol. Hepatol. 1995. Vol. 7, № 7. P. 661–665.</w:t>
      </w:r>
    </w:p>
    <w:p w14:paraId="5C7F5A09" w14:textId="77777777" w:rsidR="00F44253" w:rsidRPr="00F44253" w:rsidRDefault="00F44253" w:rsidP="00F44253">
      <w:pPr>
        <w:widowControl w:val="0"/>
        <w:autoSpaceDE w:val="0"/>
        <w:autoSpaceDN w:val="0"/>
        <w:adjustRightInd w:val="0"/>
        <w:ind w:left="640" w:hanging="640"/>
        <w:rPr>
          <w:noProof/>
        </w:rPr>
      </w:pPr>
      <w:r w:rsidRPr="00F44253">
        <w:rPr>
          <w:noProof/>
        </w:rPr>
        <w:t>74.</w:t>
      </w:r>
      <w:r w:rsidRPr="00F44253">
        <w:rPr>
          <w:noProof/>
        </w:rPr>
        <w:tab/>
        <w:t>Zucca E. et al. Interim Analysis of the IELSG-19 Randomised Study of Chlorambucil Alone Versus Chlorambucil Plus Rituximab Versus Rituximab Alone in Extranodal Marginal Zone Lymphomas of Mucosa-Associated Lymphoid Tissue (MALT lymphoma). // Blood. American Society of Hematology, 2009. Vol. 114, № 22. P. 3939–3939.</w:t>
      </w:r>
    </w:p>
    <w:p w14:paraId="1CAE009C" w14:textId="77777777" w:rsidR="00F44253" w:rsidRPr="00F44253" w:rsidRDefault="00F44253" w:rsidP="00F44253">
      <w:pPr>
        <w:widowControl w:val="0"/>
        <w:autoSpaceDE w:val="0"/>
        <w:autoSpaceDN w:val="0"/>
        <w:adjustRightInd w:val="0"/>
        <w:ind w:left="640" w:hanging="640"/>
        <w:rPr>
          <w:noProof/>
        </w:rPr>
      </w:pPr>
      <w:r w:rsidRPr="00F44253">
        <w:rPr>
          <w:noProof/>
        </w:rPr>
        <w:t>75.</w:t>
      </w:r>
      <w:r w:rsidRPr="00F44253">
        <w:rPr>
          <w:noProof/>
        </w:rPr>
        <w:tab/>
        <w:t>Yelvington B.J. Subcutaneous Rituximab in Follicular Lymphoma, Chronic Lymphocytic Leukemia, and Diffuse Large B-Cell Lymphoma. // J. Adv. Pract. Oncol. Harborside Press, 2018. Vol. 9, № 5. P. 530–534.</w:t>
      </w:r>
    </w:p>
    <w:p w14:paraId="5A5A2561" w14:textId="77777777" w:rsidR="00F44253" w:rsidRPr="00F44253" w:rsidRDefault="00F44253" w:rsidP="00F44253">
      <w:pPr>
        <w:widowControl w:val="0"/>
        <w:autoSpaceDE w:val="0"/>
        <w:autoSpaceDN w:val="0"/>
        <w:adjustRightInd w:val="0"/>
        <w:ind w:left="640" w:hanging="640"/>
        <w:rPr>
          <w:noProof/>
        </w:rPr>
      </w:pPr>
      <w:r w:rsidRPr="00F44253">
        <w:rPr>
          <w:noProof/>
        </w:rPr>
        <w:t>76.</w:t>
      </w:r>
      <w:r w:rsidRPr="00F44253">
        <w:rPr>
          <w:noProof/>
        </w:rPr>
        <w:tab/>
        <w:t>Davies A. et al. Subcutaneous Rituximab for the Treatment of B-Cell Hematologic Malignancies: A Review of the Scientific Rationale and Clinical Development // Advances in Therapy. Springer Healthcare, 2017. Vol. 34, № 10. P. 2210–2231.</w:t>
      </w:r>
    </w:p>
    <w:p w14:paraId="4F58E9BB" w14:textId="77777777" w:rsidR="00F44253" w:rsidRPr="00F44253" w:rsidRDefault="00F44253" w:rsidP="00F44253">
      <w:pPr>
        <w:widowControl w:val="0"/>
        <w:autoSpaceDE w:val="0"/>
        <w:autoSpaceDN w:val="0"/>
        <w:adjustRightInd w:val="0"/>
        <w:ind w:left="640" w:hanging="640"/>
        <w:rPr>
          <w:noProof/>
        </w:rPr>
      </w:pPr>
      <w:r w:rsidRPr="00F44253">
        <w:rPr>
          <w:noProof/>
        </w:rPr>
        <w:t>77.</w:t>
      </w:r>
      <w:r w:rsidRPr="00F44253">
        <w:rPr>
          <w:noProof/>
        </w:rPr>
        <w:tab/>
        <w:t>García‐Muñoz R. et al. Safety of switching from intravenous to subcutaneous rituximab during first‐line treatment of patients with non‐Hodgkin lymphoma: the Spanish population of the MabRella study // Br. J. Haematol. Blackwell Publishing Ltd, 2020. Vol. 188, № 5. P. 661–673.</w:t>
      </w:r>
    </w:p>
    <w:p w14:paraId="210B8F91" w14:textId="77777777" w:rsidR="00F44253" w:rsidRPr="00F44253" w:rsidRDefault="00F44253" w:rsidP="00F44253">
      <w:pPr>
        <w:widowControl w:val="0"/>
        <w:autoSpaceDE w:val="0"/>
        <w:autoSpaceDN w:val="0"/>
        <w:adjustRightInd w:val="0"/>
        <w:ind w:left="640" w:hanging="640"/>
        <w:rPr>
          <w:noProof/>
        </w:rPr>
      </w:pPr>
      <w:r w:rsidRPr="00F44253">
        <w:rPr>
          <w:noProof/>
        </w:rPr>
        <w:lastRenderedPageBreak/>
        <w:t>78.</w:t>
      </w:r>
      <w:r w:rsidRPr="00F44253">
        <w:rPr>
          <w:noProof/>
        </w:rPr>
        <w:tab/>
        <w:t>Macdonald D. et al. A canadian perspective on the subcutaneous administration of rituximab in non-Hodgkin lymphoma // Current Oncology. Multimed Inc., 2017. Vol. 24, № 1. P. 33–39.</w:t>
      </w:r>
    </w:p>
    <w:p w14:paraId="538F5EFA" w14:textId="77777777" w:rsidR="00F44253" w:rsidRPr="00F44253" w:rsidRDefault="00F44253" w:rsidP="00F44253">
      <w:pPr>
        <w:widowControl w:val="0"/>
        <w:autoSpaceDE w:val="0"/>
        <w:autoSpaceDN w:val="0"/>
        <w:adjustRightInd w:val="0"/>
        <w:ind w:left="640" w:hanging="640"/>
        <w:rPr>
          <w:noProof/>
        </w:rPr>
      </w:pPr>
      <w:r w:rsidRPr="00F44253">
        <w:rPr>
          <w:noProof/>
        </w:rPr>
        <w:t>79.</w:t>
      </w:r>
      <w:r w:rsidRPr="00F44253">
        <w:rPr>
          <w:noProof/>
        </w:rPr>
        <w:tab/>
        <w:t>Hiddemann W. et al. Immunochemotherapy With Obinutuzumab or Rituximab for Previously Untreated Follicular Lymphoma in the GALLIUM Study: Influence of Chemotherapy on Efficacy and Safety. // J. Clin. Oncol. American Society of Clinical Oncology, 2018. Vol. 36, № 23. P. 2395–2404.</w:t>
      </w:r>
    </w:p>
    <w:p w14:paraId="3E3B8A97" w14:textId="77777777" w:rsidR="00F44253" w:rsidRPr="00F44253" w:rsidRDefault="00F44253" w:rsidP="00F44253">
      <w:pPr>
        <w:widowControl w:val="0"/>
        <w:autoSpaceDE w:val="0"/>
        <w:autoSpaceDN w:val="0"/>
        <w:adjustRightInd w:val="0"/>
        <w:ind w:left="640" w:hanging="640"/>
        <w:rPr>
          <w:noProof/>
        </w:rPr>
      </w:pPr>
      <w:r w:rsidRPr="00F44253">
        <w:rPr>
          <w:noProof/>
        </w:rPr>
        <w:t>80.</w:t>
      </w:r>
      <w:r w:rsidRPr="00F44253">
        <w:rPr>
          <w:noProof/>
        </w:rPr>
        <w:tab/>
        <w:t>Flinn I.W. et al. Randomized trial of bendamustine-rituximab or R-CHOP/R-CVP in first-line treatment of indolent NHL or MCL: the BRIGHT study // Blood. American Society of Hematology, 2014. Vol. 123, № 19. P. 2944–2952.</w:t>
      </w:r>
    </w:p>
    <w:p w14:paraId="0D40A0AB" w14:textId="77777777" w:rsidR="00F44253" w:rsidRPr="00F44253" w:rsidRDefault="00F44253" w:rsidP="00F44253">
      <w:pPr>
        <w:widowControl w:val="0"/>
        <w:autoSpaceDE w:val="0"/>
        <w:autoSpaceDN w:val="0"/>
        <w:adjustRightInd w:val="0"/>
        <w:ind w:left="640" w:hanging="640"/>
        <w:rPr>
          <w:noProof/>
        </w:rPr>
      </w:pPr>
      <w:r w:rsidRPr="00F44253">
        <w:rPr>
          <w:noProof/>
        </w:rPr>
        <w:t>81.</w:t>
      </w:r>
      <w:r w:rsidRPr="00F44253">
        <w:rPr>
          <w:noProof/>
        </w:rPr>
        <w:tab/>
        <w:t>Huang Y.H. et al. Randomized controlled trial of entecavir prophylaxis for rituximab-associated hepatitis B virus reactivation in patients with lymphoma and resolved hepatitis B // J. Clin. Oncol. 2013. Vol. 31, № 22. P. 2765–2772.</w:t>
      </w:r>
    </w:p>
    <w:p w14:paraId="0360837C" w14:textId="77777777" w:rsidR="00F44253" w:rsidRPr="00F44253" w:rsidRDefault="00F44253" w:rsidP="00F44253">
      <w:pPr>
        <w:widowControl w:val="0"/>
        <w:autoSpaceDE w:val="0"/>
        <w:autoSpaceDN w:val="0"/>
        <w:adjustRightInd w:val="0"/>
        <w:ind w:left="640" w:hanging="640"/>
        <w:rPr>
          <w:noProof/>
        </w:rPr>
      </w:pPr>
      <w:r w:rsidRPr="00F44253">
        <w:rPr>
          <w:noProof/>
        </w:rPr>
        <w:t>82.</w:t>
      </w:r>
      <w:r w:rsidRPr="00F44253">
        <w:rPr>
          <w:noProof/>
        </w:rPr>
        <w:tab/>
        <w:t>Hoorn E.J. Intravenous fluids: balancing solutions // Journal of Nephrology. Springer New York LLC, 2017. Vol. 30, № 4. P. 485–492.</w:t>
      </w:r>
    </w:p>
    <w:p w14:paraId="28A0EAD7" w14:textId="77777777" w:rsidR="00F44253" w:rsidRPr="00F44253" w:rsidRDefault="00F44253" w:rsidP="00F44253">
      <w:pPr>
        <w:widowControl w:val="0"/>
        <w:autoSpaceDE w:val="0"/>
        <w:autoSpaceDN w:val="0"/>
        <w:adjustRightInd w:val="0"/>
        <w:ind w:left="640" w:hanging="640"/>
        <w:rPr>
          <w:noProof/>
        </w:rPr>
      </w:pPr>
      <w:r w:rsidRPr="00F44253">
        <w:rPr>
          <w:noProof/>
        </w:rPr>
        <w:t>83.</w:t>
      </w:r>
      <w:r w:rsidRPr="00F44253">
        <w:rPr>
          <w:noProof/>
        </w:rPr>
        <w:tab/>
        <w:t>Шихмирзаев Т.А. et al. Фармакопрофилактика трансфузионных реакций // Вестник Национального медико-хирургического Центра им. Н. И. Пирогова. 2018. Vol. 13, № 2. P. 95–99.</w:t>
      </w:r>
    </w:p>
    <w:p w14:paraId="405DF5D3" w14:textId="77777777" w:rsidR="00F44253" w:rsidRPr="00F44253" w:rsidRDefault="00F44253" w:rsidP="00F44253">
      <w:pPr>
        <w:widowControl w:val="0"/>
        <w:autoSpaceDE w:val="0"/>
        <w:autoSpaceDN w:val="0"/>
        <w:adjustRightInd w:val="0"/>
        <w:ind w:left="640" w:hanging="640"/>
        <w:rPr>
          <w:noProof/>
        </w:rPr>
      </w:pPr>
      <w:r w:rsidRPr="00F44253">
        <w:rPr>
          <w:noProof/>
        </w:rPr>
        <w:t>84.</w:t>
      </w:r>
      <w:r w:rsidRPr="00F44253">
        <w:rPr>
          <w:noProof/>
        </w:rPr>
        <w:tab/>
        <w:t>Аксельрод Б.А. et al. Клиническое использование эритроцитсодержащих компонентов донорской крови // Гематология и трансфузиология. 2018. Vol. 63, № 4. P. 372–435.</w:t>
      </w:r>
    </w:p>
    <w:p w14:paraId="6FAC7093" w14:textId="77777777" w:rsidR="00F44253" w:rsidRPr="00F44253" w:rsidRDefault="00F44253" w:rsidP="00F44253">
      <w:pPr>
        <w:widowControl w:val="0"/>
        <w:autoSpaceDE w:val="0"/>
        <w:autoSpaceDN w:val="0"/>
        <w:adjustRightInd w:val="0"/>
        <w:ind w:left="640" w:hanging="640"/>
        <w:rPr>
          <w:noProof/>
        </w:rPr>
      </w:pPr>
      <w:r w:rsidRPr="00F44253">
        <w:rPr>
          <w:noProof/>
        </w:rPr>
        <w:t>85.</w:t>
      </w:r>
      <w:r w:rsidRPr="00F44253">
        <w:rPr>
          <w:noProof/>
        </w:rPr>
        <w:tab/>
        <w:t>SPIRIN M., GALSTYAN G., DROKOV M. Central venous access in lymphoma patients (pts) with superior vena cava syndrome (SVCS) // INTENSIVE CARE Med. Exp. 2019. Vol. 7, № Suppl. 3:001341. P. 388–389.</w:t>
      </w:r>
    </w:p>
    <w:p w14:paraId="456797D6" w14:textId="77777777" w:rsidR="00F44253" w:rsidRPr="00F44253" w:rsidRDefault="00F44253" w:rsidP="00F44253">
      <w:pPr>
        <w:widowControl w:val="0"/>
        <w:autoSpaceDE w:val="0"/>
        <w:autoSpaceDN w:val="0"/>
        <w:adjustRightInd w:val="0"/>
        <w:ind w:left="640" w:hanging="640"/>
        <w:rPr>
          <w:noProof/>
        </w:rPr>
      </w:pPr>
      <w:r w:rsidRPr="00F44253">
        <w:rPr>
          <w:noProof/>
        </w:rPr>
        <w:t>86.</w:t>
      </w:r>
      <w:r w:rsidRPr="00F44253">
        <w:rPr>
          <w:noProof/>
        </w:rPr>
        <w:tab/>
        <w:t>Pluschnig U. et al. Extravasation emergencies: state-of-the-art management and progress in clinical research. // Memo. Springer, 2016. Vol. 9, № 4. P. 226–230.</w:t>
      </w:r>
    </w:p>
    <w:p w14:paraId="3238BDE4" w14:textId="77777777" w:rsidR="00F44253" w:rsidRPr="00F44253" w:rsidRDefault="00F44253" w:rsidP="00F44253">
      <w:pPr>
        <w:widowControl w:val="0"/>
        <w:autoSpaceDE w:val="0"/>
        <w:autoSpaceDN w:val="0"/>
        <w:adjustRightInd w:val="0"/>
        <w:ind w:left="640" w:hanging="640"/>
        <w:rPr>
          <w:noProof/>
        </w:rPr>
      </w:pPr>
      <w:r w:rsidRPr="00F44253">
        <w:rPr>
          <w:noProof/>
        </w:rPr>
        <w:t>87.</w:t>
      </w:r>
      <w:r w:rsidRPr="00F44253">
        <w:rPr>
          <w:noProof/>
        </w:rPr>
        <w:tab/>
        <w:t>Zeidler K. et al. Optimal preprocedural platelet transfusion threshold for central venous catheter insertions in patients with thrombocytopenia. // Transfusion. 2011. Vol. 51, № 11. P. 2269–2276.</w:t>
      </w:r>
    </w:p>
    <w:p w14:paraId="45D9A2CD" w14:textId="77777777" w:rsidR="00F44253" w:rsidRPr="00F44253" w:rsidRDefault="00F44253" w:rsidP="00F44253">
      <w:pPr>
        <w:widowControl w:val="0"/>
        <w:autoSpaceDE w:val="0"/>
        <w:autoSpaceDN w:val="0"/>
        <w:adjustRightInd w:val="0"/>
        <w:ind w:left="640" w:hanging="640"/>
        <w:rPr>
          <w:noProof/>
        </w:rPr>
      </w:pPr>
      <w:r w:rsidRPr="00F44253">
        <w:rPr>
          <w:noProof/>
        </w:rPr>
        <w:t>88.</w:t>
      </w:r>
      <w:r w:rsidRPr="00F44253">
        <w:rPr>
          <w:noProof/>
        </w:rPr>
        <w:tab/>
        <w:t>Zerati A.E. et al. Totally implantable venous catheters : history , implantation technique and complications. // J Vasc Bras. 2017. Vol. 16, № 2. P. 128–139.</w:t>
      </w:r>
    </w:p>
    <w:p w14:paraId="49477D8C" w14:textId="77777777" w:rsidR="00F44253" w:rsidRPr="00F44253" w:rsidRDefault="00F44253" w:rsidP="00F44253">
      <w:pPr>
        <w:widowControl w:val="0"/>
        <w:autoSpaceDE w:val="0"/>
        <w:autoSpaceDN w:val="0"/>
        <w:adjustRightInd w:val="0"/>
        <w:ind w:left="640" w:hanging="640"/>
        <w:rPr>
          <w:noProof/>
        </w:rPr>
      </w:pPr>
      <w:r w:rsidRPr="00F44253">
        <w:rPr>
          <w:noProof/>
        </w:rPr>
        <w:t>89.</w:t>
      </w:r>
      <w:r w:rsidRPr="00F44253">
        <w:rPr>
          <w:noProof/>
        </w:rPr>
        <w:tab/>
        <w:t>Gow K.W., Tapper D., Hickman R.O. Between the lines: The 50th anniversary of long-term central venous catheters // Am. J. Surg. Elsevier Ltd, 2017. Vol. 213, № 5. P. 837–848.</w:t>
      </w:r>
    </w:p>
    <w:p w14:paraId="56A82CFD" w14:textId="77777777" w:rsidR="00F44253" w:rsidRPr="00F44253" w:rsidRDefault="00F44253" w:rsidP="00F44253">
      <w:pPr>
        <w:widowControl w:val="0"/>
        <w:autoSpaceDE w:val="0"/>
        <w:autoSpaceDN w:val="0"/>
        <w:adjustRightInd w:val="0"/>
        <w:ind w:left="640" w:hanging="640"/>
        <w:rPr>
          <w:noProof/>
        </w:rPr>
      </w:pPr>
      <w:r w:rsidRPr="00F44253">
        <w:rPr>
          <w:noProof/>
        </w:rPr>
        <w:t>90.</w:t>
      </w:r>
      <w:r w:rsidRPr="00F44253">
        <w:rPr>
          <w:noProof/>
        </w:rPr>
        <w:tab/>
        <w:t xml:space="preserve">Yeral M. et al. Tunnelled central venous catheter-related problems in the early phase of </w:t>
      </w:r>
      <w:r w:rsidRPr="00F44253">
        <w:rPr>
          <w:noProof/>
        </w:rPr>
        <w:lastRenderedPageBreak/>
        <w:t>haematopoietic stem cell transplantation and effects on transplant outcome. // Turkish J. Haematol.  Off. J. Turkish Soc. Haematol. Galenos Yayinevi, 2015. Vol. 32, № 1. P. 51–57.</w:t>
      </w:r>
    </w:p>
    <w:p w14:paraId="0CD2CA8B" w14:textId="77777777" w:rsidR="00F44253" w:rsidRPr="00F44253" w:rsidRDefault="00F44253" w:rsidP="00F44253">
      <w:pPr>
        <w:widowControl w:val="0"/>
        <w:autoSpaceDE w:val="0"/>
        <w:autoSpaceDN w:val="0"/>
        <w:adjustRightInd w:val="0"/>
        <w:ind w:left="640" w:hanging="640"/>
        <w:rPr>
          <w:noProof/>
        </w:rPr>
      </w:pPr>
      <w:r w:rsidRPr="00F44253">
        <w:rPr>
          <w:noProof/>
        </w:rPr>
        <w:t>91.</w:t>
      </w:r>
      <w:r w:rsidRPr="00F44253">
        <w:rPr>
          <w:noProof/>
        </w:rPr>
        <w:tab/>
        <w:t>Maki D.G., Kluger D.M., Crnich C.J. The Risk of Bloodstream Infection in Adults With Different Intravascular Devices: A Systematic Review of 200 Published Prospective Studies // Mayo Clin. Proc. Elsevier, 2006. Vol. 81, № 9. P. 1159–1171.</w:t>
      </w:r>
    </w:p>
    <w:p w14:paraId="0DB0E7CD" w14:textId="77777777" w:rsidR="00F44253" w:rsidRPr="00F44253" w:rsidRDefault="00F44253" w:rsidP="00F44253">
      <w:pPr>
        <w:widowControl w:val="0"/>
        <w:autoSpaceDE w:val="0"/>
        <w:autoSpaceDN w:val="0"/>
        <w:adjustRightInd w:val="0"/>
        <w:ind w:left="640" w:hanging="640"/>
        <w:rPr>
          <w:noProof/>
        </w:rPr>
      </w:pPr>
      <w:r w:rsidRPr="00F44253">
        <w:rPr>
          <w:noProof/>
        </w:rPr>
        <w:t>92.</w:t>
      </w:r>
      <w:r w:rsidRPr="00F44253">
        <w:rPr>
          <w:noProof/>
        </w:rPr>
        <w:tab/>
        <w:t>Hamilton H. Central Venous Catheters / ed. Bodenham A.R. Oxford, UK: Wiley-Blackwell, 2009.</w:t>
      </w:r>
    </w:p>
    <w:p w14:paraId="56B96AE1" w14:textId="77777777" w:rsidR="00F44253" w:rsidRPr="00F44253" w:rsidRDefault="00F44253" w:rsidP="00F44253">
      <w:pPr>
        <w:widowControl w:val="0"/>
        <w:autoSpaceDE w:val="0"/>
        <w:autoSpaceDN w:val="0"/>
        <w:adjustRightInd w:val="0"/>
        <w:ind w:left="640" w:hanging="640"/>
        <w:rPr>
          <w:noProof/>
        </w:rPr>
      </w:pPr>
      <w:r w:rsidRPr="00F44253">
        <w:rPr>
          <w:noProof/>
        </w:rPr>
        <w:t>93.</w:t>
      </w:r>
      <w:r w:rsidRPr="00F44253">
        <w:rPr>
          <w:noProof/>
        </w:rPr>
        <w:tab/>
        <w:t>Biffi R. Introduction and Overview of PICC History // Peripherally Inserted Central Venous Catheters. Milano: Springer Milan, 2014. P. 1–6.</w:t>
      </w:r>
    </w:p>
    <w:p w14:paraId="2246178D" w14:textId="77777777" w:rsidR="00F44253" w:rsidRPr="00F44253" w:rsidRDefault="00F44253" w:rsidP="00F44253">
      <w:pPr>
        <w:widowControl w:val="0"/>
        <w:autoSpaceDE w:val="0"/>
        <w:autoSpaceDN w:val="0"/>
        <w:adjustRightInd w:val="0"/>
        <w:ind w:left="640" w:hanging="640"/>
        <w:rPr>
          <w:noProof/>
        </w:rPr>
      </w:pPr>
      <w:r w:rsidRPr="00F44253">
        <w:rPr>
          <w:noProof/>
        </w:rPr>
        <w:t>94.</w:t>
      </w:r>
      <w:r w:rsidRPr="00F44253">
        <w:rPr>
          <w:noProof/>
        </w:rPr>
        <w:tab/>
        <w:t>Linenberger M.L. Catheter-related thrombosis: risks, diagnosis, and management. // J. Natl. Compr. Canc. Netw. 2006. Vol. 4, № 9. P. 889–901.</w:t>
      </w:r>
    </w:p>
    <w:p w14:paraId="76023F95" w14:textId="77777777" w:rsidR="00F44253" w:rsidRPr="00F44253" w:rsidRDefault="00F44253" w:rsidP="00F44253">
      <w:pPr>
        <w:widowControl w:val="0"/>
        <w:autoSpaceDE w:val="0"/>
        <w:autoSpaceDN w:val="0"/>
        <w:adjustRightInd w:val="0"/>
        <w:ind w:left="640" w:hanging="640"/>
        <w:rPr>
          <w:noProof/>
        </w:rPr>
      </w:pPr>
      <w:r w:rsidRPr="00F44253">
        <w:rPr>
          <w:noProof/>
        </w:rPr>
        <w:t>95.</w:t>
      </w:r>
      <w:r w:rsidRPr="00F44253">
        <w:rPr>
          <w:noProof/>
        </w:rPr>
        <w:tab/>
        <w:t>Lee A.Y.Y., Kamphuisen P.W. Epidemiology and prevention of catheter-related thrombosis in patients with cancer // J. Thromb. Haemost. 2012. № 10. P. 1491–1499.</w:t>
      </w:r>
    </w:p>
    <w:p w14:paraId="4F4E1C48" w14:textId="77777777" w:rsidR="00F44253" w:rsidRPr="00F44253" w:rsidRDefault="00F44253" w:rsidP="00F44253">
      <w:pPr>
        <w:widowControl w:val="0"/>
        <w:autoSpaceDE w:val="0"/>
        <w:autoSpaceDN w:val="0"/>
        <w:adjustRightInd w:val="0"/>
        <w:ind w:left="640" w:hanging="640"/>
        <w:rPr>
          <w:noProof/>
        </w:rPr>
      </w:pPr>
      <w:r w:rsidRPr="00F44253">
        <w:rPr>
          <w:noProof/>
        </w:rPr>
        <w:t>96.</w:t>
      </w:r>
      <w:r w:rsidRPr="00F44253">
        <w:rPr>
          <w:noProof/>
        </w:rPr>
        <w:tab/>
        <w:t>Цепенщинков Л.., Лядов В.К. Периферически имплантируемый центральный венозный катетер: обзор литераутры. // Клиническая онкогематология. 2014. Vol. 7, № 2. P. 220–228.</w:t>
      </w:r>
    </w:p>
    <w:p w14:paraId="029FD864" w14:textId="77777777" w:rsidR="00F44253" w:rsidRPr="00F44253" w:rsidRDefault="00F44253" w:rsidP="00F44253">
      <w:pPr>
        <w:widowControl w:val="0"/>
        <w:autoSpaceDE w:val="0"/>
        <w:autoSpaceDN w:val="0"/>
        <w:adjustRightInd w:val="0"/>
        <w:ind w:left="640" w:hanging="640"/>
        <w:rPr>
          <w:noProof/>
        </w:rPr>
      </w:pPr>
      <w:r w:rsidRPr="00F44253">
        <w:rPr>
          <w:noProof/>
        </w:rPr>
        <w:t>97.</w:t>
      </w:r>
      <w:r w:rsidRPr="00F44253">
        <w:rPr>
          <w:noProof/>
        </w:rPr>
        <w:tab/>
        <w:t>Linder L.E. et al. Material thrombogenicity in central venous catheterization: a comparison between soft, antebrachial catheters of silicone elastomer and polyurethane. // JPEN. J. Parenter. Enteral Nutr. 1984. Vol. 8, № 4. P. 399–406.</w:t>
      </w:r>
    </w:p>
    <w:p w14:paraId="493D2CD3" w14:textId="77777777" w:rsidR="00F44253" w:rsidRPr="00F44253" w:rsidRDefault="00F44253" w:rsidP="00F44253">
      <w:pPr>
        <w:widowControl w:val="0"/>
        <w:autoSpaceDE w:val="0"/>
        <w:autoSpaceDN w:val="0"/>
        <w:adjustRightInd w:val="0"/>
        <w:ind w:left="640" w:hanging="640"/>
        <w:rPr>
          <w:noProof/>
        </w:rPr>
      </w:pPr>
      <w:r w:rsidRPr="00F44253">
        <w:rPr>
          <w:noProof/>
        </w:rPr>
        <w:t>98.</w:t>
      </w:r>
      <w:r w:rsidRPr="00F44253">
        <w:rPr>
          <w:noProof/>
        </w:rPr>
        <w:tab/>
        <w:t>Watters V.A., Grant J.P. Use of Electrocardiogram to Position Right Atrial Catheters During Surgery // Ann. Surg. Vol. 225, № 2. P. 165–171.</w:t>
      </w:r>
    </w:p>
    <w:p w14:paraId="4AED72D8" w14:textId="77777777" w:rsidR="00F44253" w:rsidRPr="00F44253" w:rsidRDefault="00F44253" w:rsidP="00F44253">
      <w:pPr>
        <w:widowControl w:val="0"/>
        <w:autoSpaceDE w:val="0"/>
        <w:autoSpaceDN w:val="0"/>
        <w:adjustRightInd w:val="0"/>
        <w:ind w:left="640" w:hanging="640"/>
        <w:rPr>
          <w:noProof/>
        </w:rPr>
      </w:pPr>
      <w:r w:rsidRPr="00F44253">
        <w:rPr>
          <w:noProof/>
        </w:rPr>
        <w:t>99.</w:t>
      </w:r>
      <w:r w:rsidRPr="00F44253">
        <w:rPr>
          <w:noProof/>
        </w:rPr>
        <w:tab/>
        <w:t>Taal M.W., Chesterton L.J., McIntyre C.W. Venography at insertion of tunnelled internal jugular vein dialysis catheters reveals significant occult stenosis // Nephrol. Dial. Transplant. Oxford University Press, 2004. Vol. 19, № 6. P. 1542–1545.</w:t>
      </w:r>
    </w:p>
    <w:p w14:paraId="125BB14C" w14:textId="77777777" w:rsidR="00F44253" w:rsidRPr="00F44253" w:rsidRDefault="00F44253" w:rsidP="00F44253">
      <w:pPr>
        <w:widowControl w:val="0"/>
        <w:autoSpaceDE w:val="0"/>
        <w:autoSpaceDN w:val="0"/>
        <w:adjustRightInd w:val="0"/>
        <w:ind w:left="640" w:hanging="640"/>
        <w:rPr>
          <w:noProof/>
        </w:rPr>
      </w:pPr>
      <w:r w:rsidRPr="00F44253">
        <w:rPr>
          <w:noProof/>
        </w:rPr>
        <w:t>100.</w:t>
      </w:r>
      <w:r w:rsidRPr="00F44253">
        <w:rPr>
          <w:noProof/>
        </w:rPr>
        <w:tab/>
        <w:t>Lobato E.B. et al. Cross-sectional area of the right and left internal jugular veins. // J. Cardiothorac. Vasc. Anesth. 1999. Vol. 13, № 2. P. 136–138.</w:t>
      </w:r>
    </w:p>
    <w:p w14:paraId="62AD6881" w14:textId="77777777" w:rsidR="00F44253" w:rsidRPr="00F44253" w:rsidRDefault="00F44253" w:rsidP="00F44253">
      <w:pPr>
        <w:widowControl w:val="0"/>
        <w:autoSpaceDE w:val="0"/>
        <w:autoSpaceDN w:val="0"/>
        <w:adjustRightInd w:val="0"/>
        <w:ind w:left="640" w:hanging="640"/>
        <w:rPr>
          <w:noProof/>
        </w:rPr>
      </w:pPr>
      <w:r w:rsidRPr="00F44253">
        <w:rPr>
          <w:noProof/>
        </w:rPr>
        <w:t>101.</w:t>
      </w:r>
      <w:r w:rsidRPr="00F44253">
        <w:rPr>
          <w:noProof/>
        </w:rPr>
        <w:tab/>
        <w:t>Червонцева А.М. Повреждение сосудистого эндотелия в процессе лечения острых миелоидных лейкозов. 2008.</w:t>
      </w:r>
    </w:p>
    <w:p w14:paraId="318F0A09" w14:textId="77777777" w:rsidR="00F44253" w:rsidRPr="00F44253" w:rsidRDefault="00F44253" w:rsidP="00F44253">
      <w:pPr>
        <w:widowControl w:val="0"/>
        <w:autoSpaceDE w:val="0"/>
        <w:autoSpaceDN w:val="0"/>
        <w:adjustRightInd w:val="0"/>
        <w:ind w:left="640" w:hanging="640"/>
        <w:rPr>
          <w:noProof/>
        </w:rPr>
      </w:pPr>
      <w:r w:rsidRPr="00F44253">
        <w:rPr>
          <w:noProof/>
        </w:rPr>
        <w:t>102.</w:t>
      </w:r>
      <w:r w:rsidRPr="00F44253">
        <w:rPr>
          <w:noProof/>
        </w:rPr>
        <w:tab/>
        <w:t>Багирова Н.С. Инфекции, связанные с внутрисосудистыми устройствами: терминология, диагностика, профилактика и терапия // Злокачественные опухоли. 2014. № 3. P. 164–171.</w:t>
      </w:r>
    </w:p>
    <w:p w14:paraId="5780C7B2" w14:textId="77777777" w:rsidR="00F44253" w:rsidRPr="00F44253" w:rsidRDefault="00F44253" w:rsidP="00F44253">
      <w:pPr>
        <w:widowControl w:val="0"/>
        <w:autoSpaceDE w:val="0"/>
        <w:autoSpaceDN w:val="0"/>
        <w:adjustRightInd w:val="0"/>
        <w:ind w:left="640" w:hanging="640"/>
        <w:rPr>
          <w:noProof/>
        </w:rPr>
      </w:pPr>
      <w:r w:rsidRPr="00F44253">
        <w:rPr>
          <w:noProof/>
        </w:rPr>
        <w:t>103.</w:t>
      </w:r>
      <w:r w:rsidRPr="00F44253">
        <w:rPr>
          <w:noProof/>
        </w:rPr>
        <w:tab/>
        <w:t>Bannon M.P., Heller S.F., Rivera M. Anatomic considerations for central venous cannulation. // Risk Manag. Healthc. Policy. Dove Press, 2011. Vol. 4. P. 27–39.</w:t>
      </w:r>
    </w:p>
    <w:p w14:paraId="0279DBFF" w14:textId="77777777" w:rsidR="00F44253" w:rsidRPr="00F44253" w:rsidRDefault="00F44253" w:rsidP="00F44253">
      <w:pPr>
        <w:widowControl w:val="0"/>
        <w:autoSpaceDE w:val="0"/>
        <w:autoSpaceDN w:val="0"/>
        <w:adjustRightInd w:val="0"/>
        <w:ind w:left="640" w:hanging="640"/>
        <w:rPr>
          <w:noProof/>
        </w:rPr>
      </w:pPr>
      <w:r w:rsidRPr="00F44253">
        <w:rPr>
          <w:noProof/>
        </w:rPr>
        <w:lastRenderedPageBreak/>
        <w:t>104.</w:t>
      </w:r>
      <w:r w:rsidRPr="00F44253">
        <w:rPr>
          <w:noProof/>
        </w:rPr>
        <w:tab/>
        <w:t>Milling T.J. et al. Randomized, controlled clinical trial of point-of-care limited ultrasonography assistance of central venous cannulation: The Third Sonography Outcomes Assessment Program (SOAP-3) Trial* // Crit. Care Med. 2005. Vol. 33, № 8. P. 1764–1769.</w:t>
      </w:r>
    </w:p>
    <w:p w14:paraId="17F9816F" w14:textId="77777777" w:rsidR="00F44253" w:rsidRPr="00F44253" w:rsidRDefault="00F44253" w:rsidP="00F44253">
      <w:pPr>
        <w:widowControl w:val="0"/>
        <w:autoSpaceDE w:val="0"/>
        <w:autoSpaceDN w:val="0"/>
        <w:adjustRightInd w:val="0"/>
        <w:ind w:left="640" w:hanging="640"/>
        <w:rPr>
          <w:noProof/>
        </w:rPr>
      </w:pPr>
      <w:r w:rsidRPr="00F44253">
        <w:rPr>
          <w:noProof/>
        </w:rPr>
        <w:t>105.</w:t>
      </w:r>
      <w:r w:rsidRPr="00F44253">
        <w:rPr>
          <w:noProof/>
        </w:rPr>
        <w:tab/>
        <w:t>Зозуля Н.И., Кумскова М.А. Протокол диагностики и лечения гемофилии. // Алгоритмы диагностики и протоколы лечения заболеваний системы крови. Том 1. Практика / ed. Савченко В.Г. Москва, 2018. P. 333–358.</w:t>
      </w:r>
    </w:p>
    <w:p w14:paraId="59E730DA" w14:textId="77777777" w:rsidR="00F44253" w:rsidRPr="00F44253" w:rsidRDefault="00F44253" w:rsidP="00F44253">
      <w:pPr>
        <w:widowControl w:val="0"/>
        <w:autoSpaceDE w:val="0"/>
        <w:autoSpaceDN w:val="0"/>
        <w:adjustRightInd w:val="0"/>
        <w:ind w:left="640" w:hanging="640"/>
        <w:rPr>
          <w:noProof/>
        </w:rPr>
      </w:pPr>
      <w:r w:rsidRPr="00F44253">
        <w:rPr>
          <w:noProof/>
        </w:rPr>
        <w:t>106.</w:t>
      </w:r>
      <w:r w:rsidRPr="00F44253">
        <w:rPr>
          <w:noProof/>
        </w:rPr>
        <w:tab/>
        <w:t>Галстян Г.М. НАРУШЕНИЯ ГЕМОСТАЗА, ОБУСЛОВЛЕННЫЕ ДЕФИЦИТОМ ВИТАМИН К-ЗАВИСИМЫХ ФАКТОРОВ СВЕРТЫВАНИЯ КРОВИ — ПАТОГЕНЕЗ, СПОСОБЫ КОРРЕКЦИИ И РЕКОМЕНДАЦИИ ПО ЛЕЧЕНИЮ. // Гематология и трансфузиология. 2012. Vol. 27, № 2. P. 7–21.</w:t>
      </w:r>
    </w:p>
    <w:p w14:paraId="154A0E83" w14:textId="77777777" w:rsidR="00F44253" w:rsidRPr="00F44253" w:rsidRDefault="00F44253" w:rsidP="00F44253">
      <w:pPr>
        <w:widowControl w:val="0"/>
        <w:autoSpaceDE w:val="0"/>
        <w:autoSpaceDN w:val="0"/>
        <w:adjustRightInd w:val="0"/>
        <w:ind w:left="640" w:hanging="640"/>
        <w:rPr>
          <w:noProof/>
        </w:rPr>
      </w:pPr>
      <w:r w:rsidRPr="00F44253">
        <w:rPr>
          <w:noProof/>
        </w:rPr>
        <w:t>107.</w:t>
      </w:r>
      <w:r w:rsidRPr="00F44253">
        <w:rPr>
          <w:noProof/>
        </w:rPr>
        <w:tab/>
        <w:t>Welte K. et al. Purification and biochemical characterization of human pluripotent hematopoietic colony-stimulating factor // Proc. Natl. Acad. Sci. U. S. A. Proc Natl Acad Sci U S A, 1985. Vol. 82, № 5. P. 1526–1530.</w:t>
      </w:r>
    </w:p>
    <w:p w14:paraId="551B7FF8" w14:textId="77777777" w:rsidR="00F44253" w:rsidRPr="00F44253" w:rsidRDefault="00F44253" w:rsidP="00F44253">
      <w:pPr>
        <w:widowControl w:val="0"/>
        <w:autoSpaceDE w:val="0"/>
        <w:autoSpaceDN w:val="0"/>
        <w:adjustRightInd w:val="0"/>
        <w:ind w:left="640" w:hanging="640"/>
        <w:rPr>
          <w:noProof/>
        </w:rPr>
      </w:pPr>
      <w:r w:rsidRPr="00F44253">
        <w:rPr>
          <w:noProof/>
        </w:rPr>
        <w:t>108.</w:t>
      </w:r>
      <w:r w:rsidRPr="00F44253">
        <w:rPr>
          <w:noProof/>
        </w:rPr>
        <w:tab/>
        <w:t>Krause D.S. et al. CD34: Structure, biology, and clinical utility // Blood. American Society of Hematology, 1996. Vol. 87, № 1. P. 1–13.</w:t>
      </w:r>
    </w:p>
    <w:p w14:paraId="1B0938C5" w14:textId="77777777" w:rsidR="00F44253" w:rsidRPr="00F44253" w:rsidRDefault="00F44253" w:rsidP="00F44253">
      <w:pPr>
        <w:widowControl w:val="0"/>
        <w:autoSpaceDE w:val="0"/>
        <w:autoSpaceDN w:val="0"/>
        <w:adjustRightInd w:val="0"/>
        <w:ind w:left="640" w:hanging="640"/>
        <w:rPr>
          <w:noProof/>
        </w:rPr>
      </w:pPr>
      <w:r w:rsidRPr="00F44253">
        <w:rPr>
          <w:noProof/>
        </w:rPr>
        <w:t>109.</w:t>
      </w:r>
      <w:r w:rsidRPr="00F44253">
        <w:rPr>
          <w:noProof/>
        </w:rPr>
        <w:tab/>
        <w:t>Giralt S. et al. Optimizing autologous stem cell mobilization strategies to improve patient outcomes: Consensus guidelines and recommendations // Biology of Blood and Marrow Transplantation. Elsevier, 2014. Vol. 20, № 3. P. 295–308.</w:t>
      </w:r>
    </w:p>
    <w:p w14:paraId="4BD391B7" w14:textId="77777777" w:rsidR="00F44253" w:rsidRPr="00F44253" w:rsidRDefault="00F44253" w:rsidP="00F44253">
      <w:pPr>
        <w:widowControl w:val="0"/>
        <w:autoSpaceDE w:val="0"/>
        <w:autoSpaceDN w:val="0"/>
        <w:adjustRightInd w:val="0"/>
        <w:ind w:left="640" w:hanging="640"/>
        <w:rPr>
          <w:noProof/>
        </w:rPr>
      </w:pPr>
      <w:r w:rsidRPr="00F44253">
        <w:rPr>
          <w:noProof/>
        </w:rPr>
        <w:t>110.</w:t>
      </w:r>
      <w:r w:rsidRPr="00F44253">
        <w:rPr>
          <w:noProof/>
        </w:rPr>
        <w:tab/>
        <w:t>Stiff P.J. et al. Transplanted CD34 + Cell Dose Is Associated with Long-Term Platelet Count Recovery following Autologous Peripheral Blood Stem Cell Transplant in Patients with Non-Hodgkin Lymphoma or Multiple Myeloma // Biol. Blood Marrow Transplant. Biol Blood Marrow Transplant, 2011. Vol. 17, № 8. P. 1146–1153.</w:t>
      </w:r>
    </w:p>
    <w:p w14:paraId="0E8A0382" w14:textId="77777777" w:rsidR="00F44253" w:rsidRPr="00F44253" w:rsidRDefault="00F44253" w:rsidP="00F44253">
      <w:pPr>
        <w:widowControl w:val="0"/>
        <w:autoSpaceDE w:val="0"/>
        <w:autoSpaceDN w:val="0"/>
        <w:adjustRightInd w:val="0"/>
        <w:ind w:left="640" w:hanging="640"/>
        <w:rPr>
          <w:noProof/>
        </w:rPr>
      </w:pPr>
      <w:r w:rsidRPr="00F44253">
        <w:rPr>
          <w:noProof/>
        </w:rPr>
        <w:t>111.</w:t>
      </w:r>
      <w:r w:rsidRPr="00F44253">
        <w:rPr>
          <w:noProof/>
        </w:rPr>
        <w:tab/>
        <w:t>Passos-Coelho J.L. et al. Predictive factors for peripheral-blood progenitor-cell collections using a single large-volume leukapheresis after cyclophosphamide and granulocyte- macrophage colony-stimulating factor mobilization // J. Clin. Oncol. American Society of Clinical Oncology, 1995. Vol. 13, № 3. P. 705–714.</w:t>
      </w:r>
    </w:p>
    <w:p w14:paraId="5FB54686" w14:textId="77777777" w:rsidR="00F44253" w:rsidRPr="00F44253" w:rsidRDefault="00F44253" w:rsidP="00F44253">
      <w:pPr>
        <w:widowControl w:val="0"/>
        <w:autoSpaceDE w:val="0"/>
        <w:autoSpaceDN w:val="0"/>
        <w:adjustRightInd w:val="0"/>
        <w:ind w:left="640" w:hanging="640"/>
        <w:rPr>
          <w:noProof/>
        </w:rPr>
      </w:pPr>
      <w:r w:rsidRPr="00F44253">
        <w:rPr>
          <w:noProof/>
        </w:rPr>
        <w:t>112.</w:t>
      </w:r>
      <w:r w:rsidRPr="00F44253">
        <w:rPr>
          <w:noProof/>
        </w:rPr>
        <w:tab/>
        <w:t>Hohaus S. et al. Successful autografting following myeloablative conditioning therapy with blood stem cells mobilized by chemotherapy plus rhG-CSF. // Exp. Hematol. 1993. Vol. 21, № 4. P. 508–514.</w:t>
      </w:r>
    </w:p>
    <w:p w14:paraId="485F7AA4" w14:textId="77777777" w:rsidR="00F44253" w:rsidRPr="00F44253" w:rsidRDefault="00F44253" w:rsidP="00F44253">
      <w:pPr>
        <w:widowControl w:val="0"/>
        <w:autoSpaceDE w:val="0"/>
        <w:autoSpaceDN w:val="0"/>
        <w:adjustRightInd w:val="0"/>
        <w:ind w:left="640" w:hanging="640"/>
        <w:rPr>
          <w:noProof/>
        </w:rPr>
      </w:pPr>
      <w:r w:rsidRPr="00F44253">
        <w:rPr>
          <w:noProof/>
        </w:rPr>
        <w:t>113.</w:t>
      </w:r>
      <w:r w:rsidRPr="00F44253">
        <w:rPr>
          <w:noProof/>
        </w:rPr>
        <w:tab/>
        <w:t>Покровская О.С., Менделеева Л.П., Гальцева И.В., Варламова Е.Ю., Капланская И.Б., Воробьев И.А., Грецов Е.М., Калинин Н.Н., Варламова С.В., Клясова Г.А., Тихонова Л.Ю. С.В.Г. Мобилизация гемопоэтических клеток крови у больных миеломной болезнью // Проблемы гематологии и переливания. 2003. P. 55–56.</w:t>
      </w:r>
    </w:p>
    <w:p w14:paraId="11F0B801" w14:textId="77777777" w:rsidR="00F44253" w:rsidRPr="00F44253" w:rsidRDefault="00F44253" w:rsidP="00F44253">
      <w:pPr>
        <w:widowControl w:val="0"/>
        <w:autoSpaceDE w:val="0"/>
        <w:autoSpaceDN w:val="0"/>
        <w:adjustRightInd w:val="0"/>
        <w:ind w:left="640" w:hanging="640"/>
        <w:rPr>
          <w:noProof/>
        </w:rPr>
      </w:pPr>
      <w:r w:rsidRPr="00F44253">
        <w:rPr>
          <w:noProof/>
        </w:rPr>
        <w:t>114.</w:t>
      </w:r>
      <w:r w:rsidRPr="00F44253">
        <w:rPr>
          <w:noProof/>
        </w:rPr>
        <w:tab/>
        <w:t xml:space="preserve">Olivieri A. et al. Proposed definition of “poor mobilizer” in lymphoma and multiple </w:t>
      </w:r>
      <w:r w:rsidRPr="00F44253">
        <w:rPr>
          <w:noProof/>
        </w:rPr>
        <w:lastRenderedPageBreak/>
        <w:t>myeloma: An analytic hierarchy process by ad hoc working group Gruppo ItalianoTrapianto di Midollo Osseo // Bone Marrow Transplant. Bone Marrow Transplant, 2012. Vol. 47, № 3. P. 342–351.</w:t>
      </w:r>
    </w:p>
    <w:p w14:paraId="5ACFAA58" w14:textId="77777777" w:rsidR="00F44253" w:rsidRPr="00F44253" w:rsidRDefault="00F44253" w:rsidP="00F44253">
      <w:pPr>
        <w:widowControl w:val="0"/>
        <w:autoSpaceDE w:val="0"/>
        <w:autoSpaceDN w:val="0"/>
        <w:adjustRightInd w:val="0"/>
        <w:ind w:left="640" w:hanging="640"/>
        <w:rPr>
          <w:noProof/>
        </w:rPr>
      </w:pPr>
      <w:r w:rsidRPr="00F44253">
        <w:rPr>
          <w:noProof/>
        </w:rPr>
        <w:t>115.</w:t>
      </w:r>
      <w:r w:rsidRPr="00F44253">
        <w:rPr>
          <w:noProof/>
        </w:rPr>
        <w:tab/>
        <w:t>Yang B.B., Kido A. Pharmacokinetics and pharmacodynamics of pegfilgrastim // Clinical Pharmacokinetics. Clin Pharmacokinet, 2011. Vol. 50, № 5. P. 295–306.</w:t>
      </w:r>
    </w:p>
    <w:p w14:paraId="6BC6E3B5" w14:textId="77777777" w:rsidR="00F44253" w:rsidRPr="00F44253" w:rsidRDefault="00F44253" w:rsidP="00F44253">
      <w:pPr>
        <w:widowControl w:val="0"/>
        <w:autoSpaceDE w:val="0"/>
        <w:autoSpaceDN w:val="0"/>
        <w:adjustRightInd w:val="0"/>
        <w:ind w:left="640" w:hanging="640"/>
        <w:rPr>
          <w:noProof/>
        </w:rPr>
      </w:pPr>
      <w:r w:rsidRPr="00F44253">
        <w:rPr>
          <w:noProof/>
        </w:rPr>
        <w:t>116.</w:t>
      </w:r>
      <w:r w:rsidRPr="00F44253">
        <w:rPr>
          <w:noProof/>
        </w:rPr>
        <w:tab/>
        <w:t>Costa L.J. et al. Pegfilgrastim-versus filgrastim-based autologous hematopoietic stem cell mobilization in the setting of preemptive use of plerixafor: Efficacy and cost analysis // Transfusion. Transfusion, 2012. Vol. 52, № 11. P. 2375–2381.</w:t>
      </w:r>
    </w:p>
    <w:p w14:paraId="481A8C9E" w14:textId="77777777" w:rsidR="00F44253" w:rsidRPr="00F44253" w:rsidRDefault="00F44253" w:rsidP="00F44253">
      <w:pPr>
        <w:widowControl w:val="0"/>
        <w:autoSpaceDE w:val="0"/>
        <w:autoSpaceDN w:val="0"/>
        <w:adjustRightInd w:val="0"/>
        <w:ind w:left="640" w:hanging="640"/>
        <w:rPr>
          <w:noProof/>
        </w:rPr>
      </w:pPr>
      <w:r w:rsidRPr="00F44253">
        <w:rPr>
          <w:noProof/>
        </w:rPr>
        <w:t>117.</w:t>
      </w:r>
      <w:r w:rsidRPr="00F44253">
        <w:rPr>
          <w:noProof/>
        </w:rPr>
        <w:tab/>
        <w:t>Dale D.C. et al. A systematic literature review of the efficacy, effectiveness, and safety of filgrastim // Supportive Care in Cancer. Springer Verlag, 2018. Vol. 26, № 1. P. 7–20.</w:t>
      </w:r>
    </w:p>
    <w:p w14:paraId="3D915899" w14:textId="77777777" w:rsidR="00F44253" w:rsidRPr="00F44253" w:rsidRDefault="00F44253" w:rsidP="00F44253">
      <w:pPr>
        <w:widowControl w:val="0"/>
        <w:autoSpaceDE w:val="0"/>
        <w:autoSpaceDN w:val="0"/>
        <w:adjustRightInd w:val="0"/>
        <w:ind w:left="640" w:hanging="640"/>
        <w:rPr>
          <w:noProof/>
        </w:rPr>
      </w:pPr>
      <w:r w:rsidRPr="00F44253">
        <w:rPr>
          <w:noProof/>
        </w:rPr>
        <w:t>118.</w:t>
      </w:r>
      <w:r w:rsidRPr="00F44253">
        <w:rPr>
          <w:noProof/>
        </w:rPr>
        <w:tab/>
        <w:t>Smith T.J. et al. Recommendations for the use of WBC growth factors: American society of clinical oncology clinical practice guideline update // J. Clin. Oncol. American Society of Clinical Oncology, 2015. Vol. 33, № 28. P. 3199–3212.</w:t>
      </w:r>
    </w:p>
    <w:p w14:paraId="0C00BF33" w14:textId="77777777" w:rsidR="00F44253" w:rsidRPr="00F44253" w:rsidRDefault="00F44253" w:rsidP="00F44253">
      <w:pPr>
        <w:widowControl w:val="0"/>
        <w:autoSpaceDE w:val="0"/>
        <w:autoSpaceDN w:val="0"/>
        <w:adjustRightInd w:val="0"/>
        <w:ind w:left="640" w:hanging="640"/>
        <w:rPr>
          <w:noProof/>
        </w:rPr>
      </w:pPr>
      <w:r w:rsidRPr="00F44253">
        <w:rPr>
          <w:noProof/>
        </w:rPr>
        <w:t>119.</w:t>
      </w:r>
      <w:r w:rsidRPr="00F44253">
        <w:rPr>
          <w:noProof/>
        </w:rPr>
        <w:tab/>
        <w:t>Bilgin Y.M., De Greef G.E. Plerixafor for stem cell mobilization: The current status // Current Opinion in Hematology. Lippincott Williams and Wilkins, 2016. Vol. 23, № 1. P. 67–71.</w:t>
      </w:r>
    </w:p>
    <w:p w14:paraId="13B3C44C" w14:textId="77777777" w:rsidR="00F44253" w:rsidRPr="00F44253" w:rsidRDefault="00F44253" w:rsidP="00F44253">
      <w:pPr>
        <w:widowControl w:val="0"/>
        <w:autoSpaceDE w:val="0"/>
        <w:autoSpaceDN w:val="0"/>
        <w:adjustRightInd w:val="0"/>
        <w:ind w:left="640" w:hanging="640"/>
        <w:rPr>
          <w:noProof/>
        </w:rPr>
      </w:pPr>
      <w:r w:rsidRPr="00F44253">
        <w:rPr>
          <w:noProof/>
        </w:rPr>
        <w:t>120.</w:t>
      </w:r>
      <w:r w:rsidRPr="00F44253">
        <w:rPr>
          <w:noProof/>
        </w:rPr>
        <w:tab/>
        <w:t>Бабенецкая Д.В., Моторин Д.В., Петров А.В., Алексеева Ю.А. З.А.Ю. 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 // Гематология и трансфузиология. 2017. № 62(4). P. 180-187.</w:t>
      </w:r>
    </w:p>
    <w:p w14:paraId="727E56FF" w14:textId="77777777" w:rsidR="00F44253" w:rsidRPr="00F44253" w:rsidRDefault="00F44253" w:rsidP="00F44253">
      <w:pPr>
        <w:widowControl w:val="0"/>
        <w:autoSpaceDE w:val="0"/>
        <w:autoSpaceDN w:val="0"/>
        <w:adjustRightInd w:val="0"/>
        <w:ind w:left="640" w:hanging="640"/>
        <w:rPr>
          <w:noProof/>
        </w:rPr>
      </w:pPr>
      <w:r w:rsidRPr="00F44253">
        <w:rPr>
          <w:noProof/>
        </w:rPr>
        <w:t>121.</w:t>
      </w:r>
      <w:r w:rsidRPr="00F44253">
        <w:rPr>
          <w:noProof/>
        </w:rPr>
        <w:tab/>
        <w:t>Афанасьева О.И., Воинов В.А. Г.Ю.С. Экстракорпоральная гемокоррекция: терминология, языковые соответствия. СПб, 2016. P. 7–15.</w:t>
      </w:r>
    </w:p>
    <w:p w14:paraId="73DC6819" w14:textId="77777777" w:rsidR="00F44253" w:rsidRPr="00F44253" w:rsidRDefault="00F44253" w:rsidP="00F44253">
      <w:pPr>
        <w:widowControl w:val="0"/>
        <w:autoSpaceDE w:val="0"/>
        <w:autoSpaceDN w:val="0"/>
        <w:adjustRightInd w:val="0"/>
        <w:ind w:left="640" w:hanging="640"/>
        <w:rPr>
          <w:noProof/>
        </w:rPr>
      </w:pPr>
      <w:r w:rsidRPr="00F44253">
        <w:rPr>
          <w:noProof/>
        </w:rPr>
        <w:t>122.</w:t>
      </w:r>
      <w:r w:rsidRPr="00F44253">
        <w:rPr>
          <w:noProof/>
        </w:rPr>
        <w:tab/>
        <w:t>Ikeda K. et al. Adverse Events Associated With Infusion of Hematopoietic Stem Cell Products: A Prospective and Multicenter Surveillance Study // Transfusion Medicine Reviews. W.B. Saunders, 2018. Vol. 32, № 3. P. 186–194.</w:t>
      </w:r>
    </w:p>
    <w:p w14:paraId="699283D6" w14:textId="77777777" w:rsidR="00F44253" w:rsidRPr="00F44253" w:rsidRDefault="00F44253" w:rsidP="00F44253">
      <w:pPr>
        <w:widowControl w:val="0"/>
        <w:autoSpaceDE w:val="0"/>
        <w:autoSpaceDN w:val="0"/>
        <w:adjustRightInd w:val="0"/>
        <w:ind w:left="640" w:hanging="640"/>
        <w:rPr>
          <w:noProof/>
        </w:rPr>
      </w:pPr>
      <w:r w:rsidRPr="00F44253">
        <w:rPr>
          <w:noProof/>
        </w:rPr>
        <w:t>123.</w:t>
      </w:r>
      <w:r w:rsidRPr="00F44253">
        <w:rPr>
          <w:noProof/>
        </w:rPr>
        <w:tab/>
        <w:t>Sutherland D.R. et al. The ISHAGE guidelines for CD34+ cell determination by flow cytometry // Journal of Hematotherapy and Stem Cell Research. J Hematother, 1996. Vol. 5, № 3. P. 213–226.</w:t>
      </w:r>
    </w:p>
    <w:p w14:paraId="34D89337" w14:textId="77777777" w:rsidR="00F44253" w:rsidRPr="00F44253" w:rsidRDefault="00F44253" w:rsidP="00F44253">
      <w:pPr>
        <w:widowControl w:val="0"/>
        <w:autoSpaceDE w:val="0"/>
        <w:autoSpaceDN w:val="0"/>
        <w:adjustRightInd w:val="0"/>
        <w:ind w:left="640" w:hanging="640"/>
        <w:rPr>
          <w:noProof/>
        </w:rPr>
      </w:pPr>
      <w:r w:rsidRPr="00F44253">
        <w:rPr>
          <w:noProof/>
        </w:rPr>
        <w:t>124.</w:t>
      </w:r>
      <w:r w:rsidRPr="00F44253">
        <w:rPr>
          <w:noProof/>
        </w:rPr>
        <w:tab/>
        <w:t>Enric Carreras D.C., Mohty Mohamad K.N. Hematopoietic Stem Cell Transplantation and Cellular Therapies. 2019. 702 p.</w:t>
      </w:r>
    </w:p>
    <w:p w14:paraId="73948316" w14:textId="77777777" w:rsidR="00F44253" w:rsidRPr="00F44253" w:rsidRDefault="00F44253" w:rsidP="00F44253">
      <w:pPr>
        <w:widowControl w:val="0"/>
        <w:autoSpaceDE w:val="0"/>
        <w:autoSpaceDN w:val="0"/>
        <w:adjustRightInd w:val="0"/>
        <w:ind w:left="640" w:hanging="640"/>
        <w:rPr>
          <w:noProof/>
        </w:rPr>
      </w:pPr>
      <w:r w:rsidRPr="00F44253">
        <w:rPr>
          <w:noProof/>
        </w:rPr>
        <w:t>125.</w:t>
      </w:r>
      <w:r w:rsidRPr="00F44253">
        <w:rPr>
          <w:noProof/>
        </w:rPr>
        <w:tab/>
        <w:t xml:space="preserve">Frankiewicz A. et al. Comparable safety profile of BeEAM (bendamustine, etoposide, cytarabine, melphalan) and BEAM (carmustine, etoposide, cytarabine, melphalan) as </w:t>
      </w:r>
      <w:r w:rsidRPr="00F44253">
        <w:rPr>
          <w:noProof/>
        </w:rPr>
        <w:lastRenderedPageBreak/>
        <w:t>conditioning before autologous haematopoietic cell transplantation. // Contemp. Oncol. (Poznan, Poland). Termedia Publishing, 2018. Vol. 22, № 2. P. 113–117.</w:t>
      </w:r>
    </w:p>
    <w:p w14:paraId="2375E897" w14:textId="77777777" w:rsidR="00F44253" w:rsidRPr="00F44253" w:rsidRDefault="00F44253" w:rsidP="00F44253">
      <w:pPr>
        <w:widowControl w:val="0"/>
        <w:autoSpaceDE w:val="0"/>
        <w:autoSpaceDN w:val="0"/>
        <w:adjustRightInd w:val="0"/>
        <w:ind w:left="640" w:hanging="640"/>
        <w:rPr>
          <w:noProof/>
        </w:rPr>
      </w:pPr>
      <w:r w:rsidRPr="00F44253">
        <w:rPr>
          <w:noProof/>
        </w:rPr>
        <w:t>126.</w:t>
      </w:r>
      <w:r w:rsidRPr="00F44253">
        <w:rPr>
          <w:noProof/>
        </w:rPr>
        <w:tab/>
        <w:t>Caballero M.D. et al. BEAM chemotherapy followed by autologous stem cell support in lymphoma patients: analysis of efficacy, toxicity and prognostic factors // Bone Marrow Transplant. Bone Marrow Transplant, 1997. Vol. 20, № 6.</w:t>
      </w:r>
    </w:p>
    <w:p w14:paraId="7D68BD99" w14:textId="77777777" w:rsidR="00F44253" w:rsidRPr="00F44253" w:rsidRDefault="00F44253" w:rsidP="00F44253">
      <w:pPr>
        <w:widowControl w:val="0"/>
        <w:autoSpaceDE w:val="0"/>
        <w:autoSpaceDN w:val="0"/>
        <w:adjustRightInd w:val="0"/>
        <w:ind w:left="640" w:hanging="640"/>
        <w:rPr>
          <w:noProof/>
        </w:rPr>
      </w:pPr>
      <w:r w:rsidRPr="00F44253">
        <w:rPr>
          <w:noProof/>
        </w:rPr>
        <w:t>127.</w:t>
      </w:r>
      <w:r w:rsidRPr="00F44253">
        <w:rPr>
          <w:noProof/>
        </w:rPr>
        <w:tab/>
        <w:t>Mills W. et al. BEAM chemotherapy and autologous bone marrow transplantation for patients with relapsed or refractory non-Hodgkin’s lymphoma. // J. Clin. Oncol. J Clin Oncol, 1995. Vol. 13, № 3. P. 588–595.</w:t>
      </w:r>
    </w:p>
    <w:p w14:paraId="363E8122" w14:textId="77777777" w:rsidR="00F44253" w:rsidRPr="00F44253" w:rsidRDefault="00F44253" w:rsidP="00F44253">
      <w:pPr>
        <w:widowControl w:val="0"/>
        <w:autoSpaceDE w:val="0"/>
        <w:autoSpaceDN w:val="0"/>
        <w:adjustRightInd w:val="0"/>
        <w:ind w:left="640" w:hanging="640"/>
        <w:rPr>
          <w:noProof/>
        </w:rPr>
      </w:pPr>
      <w:r w:rsidRPr="00F44253">
        <w:rPr>
          <w:noProof/>
        </w:rPr>
        <w:t>128.</w:t>
      </w:r>
      <w:r w:rsidRPr="00F44253">
        <w:rPr>
          <w:noProof/>
        </w:rPr>
        <w:tab/>
        <w:t>Colita A. et al. LEAM vs. BEAM vs. CLV Conditioning Regimen for Autologous Stem Cell Transplantation in Malignant Lymphomas. Retrospective Comparison of Toxicity and Efficacy on 222 Patients in the First 100 Days After Transplant, On Behalf of the Romanian Society for Bon // Front. Oncol. Front Oncol, 2019. Vol. 9. P. 892.</w:t>
      </w:r>
    </w:p>
    <w:p w14:paraId="16ECB438" w14:textId="77777777" w:rsidR="00F44253" w:rsidRPr="00F44253" w:rsidRDefault="00F44253" w:rsidP="00F44253">
      <w:pPr>
        <w:widowControl w:val="0"/>
        <w:autoSpaceDE w:val="0"/>
        <w:autoSpaceDN w:val="0"/>
        <w:adjustRightInd w:val="0"/>
        <w:ind w:left="640" w:hanging="640"/>
        <w:rPr>
          <w:noProof/>
        </w:rPr>
      </w:pPr>
      <w:r w:rsidRPr="00F44253">
        <w:rPr>
          <w:noProof/>
        </w:rPr>
        <w:t>129.</w:t>
      </w:r>
      <w:r w:rsidRPr="00F44253">
        <w:rPr>
          <w:noProof/>
        </w:rPr>
        <w:tab/>
        <w:t>Sharma A. et al. Comparison of BEAM vs. LEAM regimen in autologous transplant for lymphoma at AIIMS. // Springerplus. Springerplus, 2013. Vol. 2. P. 489.</w:t>
      </w:r>
    </w:p>
    <w:p w14:paraId="11CA8B08" w14:textId="77777777" w:rsidR="00F44253" w:rsidRPr="00F44253" w:rsidRDefault="00F44253" w:rsidP="00F44253">
      <w:pPr>
        <w:widowControl w:val="0"/>
        <w:autoSpaceDE w:val="0"/>
        <w:autoSpaceDN w:val="0"/>
        <w:adjustRightInd w:val="0"/>
        <w:ind w:left="640" w:hanging="640"/>
        <w:rPr>
          <w:noProof/>
        </w:rPr>
      </w:pPr>
      <w:r w:rsidRPr="00F44253">
        <w:rPr>
          <w:noProof/>
        </w:rPr>
        <w:t>130.</w:t>
      </w:r>
      <w:r w:rsidRPr="00F44253">
        <w:rPr>
          <w:noProof/>
        </w:rPr>
        <w:tab/>
        <w:t>Perz J.B. et al. LACE-conditioned autologous stem cell transplantation for relapsed or refractory Hodgkin’s lymphoma: treatment outcome and risk factor analysis in 67 patients from a single centre. // Bone Marrow Transplant. Bone Marrow Transplant, 2007. Vol. 39, № 1. P. 41–47.</w:t>
      </w:r>
    </w:p>
    <w:p w14:paraId="22447EB6" w14:textId="77777777" w:rsidR="00F44253" w:rsidRPr="00F44253" w:rsidRDefault="00F44253" w:rsidP="00F44253">
      <w:pPr>
        <w:widowControl w:val="0"/>
        <w:autoSpaceDE w:val="0"/>
        <w:autoSpaceDN w:val="0"/>
        <w:adjustRightInd w:val="0"/>
        <w:ind w:left="640" w:hanging="640"/>
        <w:rPr>
          <w:noProof/>
        </w:rPr>
      </w:pPr>
      <w:r w:rsidRPr="00F44253">
        <w:rPr>
          <w:noProof/>
        </w:rPr>
        <w:t>131.</w:t>
      </w:r>
      <w:r w:rsidRPr="00F44253">
        <w:rPr>
          <w:noProof/>
        </w:rPr>
        <w:tab/>
        <w:t>Ramzi M. et al. Autologous noncryopreserved hematopoietic stem cell transplant with CEAM as a modified conditioning regimen in patients with Hodgkin lymphoma: a single-center experience with a new protocol. // Exp. Clin. Transplant. Exp Clin Transplant, 2012. Vol. 10, № 2. P. 163–167.</w:t>
      </w:r>
    </w:p>
    <w:p w14:paraId="38BDC690" w14:textId="77777777" w:rsidR="00F44253" w:rsidRPr="00F44253" w:rsidRDefault="00F44253" w:rsidP="00F44253">
      <w:pPr>
        <w:widowControl w:val="0"/>
        <w:autoSpaceDE w:val="0"/>
        <w:autoSpaceDN w:val="0"/>
        <w:adjustRightInd w:val="0"/>
        <w:ind w:left="640" w:hanging="640"/>
        <w:rPr>
          <w:noProof/>
        </w:rPr>
      </w:pPr>
      <w:r w:rsidRPr="00F44253">
        <w:rPr>
          <w:noProof/>
        </w:rPr>
        <w:t>132.</w:t>
      </w:r>
      <w:r w:rsidRPr="00F44253">
        <w:rPr>
          <w:noProof/>
        </w:rPr>
        <w:tab/>
        <w:t>Visani G. et al. XRCC1 399GG genotype predicts significantly longer overall survival in resistant lymphoma patients treated with Benda-EAM and ASCT // Bone Marrow Transplant. Nature Publishing Group, 2020. Vol. 55, № 4. P. 818–820.</w:t>
      </w:r>
    </w:p>
    <w:p w14:paraId="63774FDD" w14:textId="77777777" w:rsidR="00F44253" w:rsidRPr="00F44253" w:rsidRDefault="00F44253" w:rsidP="00F44253">
      <w:pPr>
        <w:widowControl w:val="0"/>
        <w:autoSpaceDE w:val="0"/>
        <w:autoSpaceDN w:val="0"/>
        <w:adjustRightInd w:val="0"/>
        <w:ind w:left="640" w:hanging="640"/>
        <w:rPr>
          <w:noProof/>
        </w:rPr>
      </w:pPr>
      <w:r w:rsidRPr="00F44253">
        <w:rPr>
          <w:noProof/>
        </w:rPr>
        <w:t>133.</w:t>
      </w:r>
      <w:r w:rsidRPr="00F44253">
        <w:rPr>
          <w:noProof/>
        </w:rPr>
        <w:tab/>
        <w:t>Visani G. et al. BeEAM (bendamustine, etoposide, cytarabine, melphalan) before autologous stem cell transplantation is safe and effective for resistant/relapsed lymphoma patients. // Blood. 2011. Vol. 118, № 12. P. 3419–3425.</w:t>
      </w:r>
    </w:p>
    <w:p w14:paraId="733FAB0C" w14:textId="77777777" w:rsidR="00F44253" w:rsidRPr="00F44253" w:rsidRDefault="00F44253" w:rsidP="00F44253">
      <w:pPr>
        <w:widowControl w:val="0"/>
        <w:autoSpaceDE w:val="0"/>
        <w:autoSpaceDN w:val="0"/>
        <w:adjustRightInd w:val="0"/>
        <w:ind w:left="640" w:hanging="640"/>
        <w:rPr>
          <w:noProof/>
        </w:rPr>
      </w:pPr>
      <w:r w:rsidRPr="00F44253">
        <w:rPr>
          <w:noProof/>
        </w:rPr>
        <w:t>134.</w:t>
      </w:r>
      <w:r w:rsidRPr="00F44253">
        <w:rPr>
          <w:noProof/>
        </w:rPr>
        <w:tab/>
        <w:t>Auner H.W. et al. Infectious complications after autologous hematopoietic stem cell transplantation: Comparison of patients with acute myeloid leukemia, malignant lymphoma, and multiple myeloma // Ann. Hematol. Ann Hematol, 2002. Vol. 81, № 7. P. 374–377.</w:t>
      </w:r>
    </w:p>
    <w:p w14:paraId="6C91DC6C" w14:textId="77777777" w:rsidR="00F44253" w:rsidRPr="00F44253" w:rsidRDefault="00F44253" w:rsidP="00F44253">
      <w:pPr>
        <w:widowControl w:val="0"/>
        <w:autoSpaceDE w:val="0"/>
        <w:autoSpaceDN w:val="0"/>
        <w:adjustRightInd w:val="0"/>
        <w:ind w:left="640" w:hanging="640"/>
        <w:rPr>
          <w:noProof/>
        </w:rPr>
      </w:pPr>
      <w:r w:rsidRPr="00F44253">
        <w:rPr>
          <w:noProof/>
        </w:rPr>
        <w:t>135.</w:t>
      </w:r>
      <w:r w:rsidRPr="00F44253">
        <w:rPr>
          <w:noProof/>
        </w:rPr>
        <w:tab/>
        <w:t xml:space="preserve">Gil L., Styczynski J., Komarnicki M. Infectious complication in 314 patients after high-dose therapy and autologous hematopoietic stem cell transplantation: Risk factors analysis </w:t>
      </w:r>
      <w:r w:rsidRPr="00F44253">
        <w:rPr>
          <w:noProof/>
        </w:rPr>
        <w:lastRenderedPageBreak/>
        <w:t>and outcome // Infection. Infection, 2007. Vol. 35, № 6. P. 421–427.</w:t>
      </w:r>
    </w:p>
    <w:p w14:paraId="32C21F2F" w14:textId="77777777" w:rsidR="00F44253" w:rsidRPr="00F44253" w:rsidRDefault="00F44253" w:rsidP="00F44253">
      <w:pPr>
        <w:widowControl w:val="0"/>
        <w:autoSpaceDE w:val="0"/>
        <w:autoSpaceDN w:val="0"/>
        <w:adjustRightInd w:val="0"/>
        <w:ind w:left="640" w:hanging="640"/>
        <w:rPr>
          <w:noProof/>
        </w:rPr>
      </w:pPr>
      <w:r w:rsidRPr="00F44253">
        <w:rPr>
          <w:noProof/>
        </w:rPr>
        <w:t>136.</w:t>
      </w:r>
      <w:r w:rsidRPr="00F44253">
        <w:rPr>
          <w:noProof/>
        </w:rPr>
        <w:tab/>
        <w:t>Eleutherakis-Papaiakovou E. et al. Prophylactic antibiotics for the prevention of neutropenic fever in patients undergoing autologous stem-cell transplantation: Results of a single institution, randomized phase 2 trial // Am. J. Hematol. Am J Hematol, 2010. Vol. 85, № 11. P. 863–867.</w:t>
      </w:r>
    </w:p>
    <w:p w14:paraId="5C3322F7" w14:textId="77777777" w:rsidR="00F44253" w:rsidRPr="00F44253" w:rsidRDefault="00F44253" w:rsidP="00F44253">
      <w:pPr>
        <w:widowControl w:val="0"/>
        <w:autoSpaceDE w:val="0"/>
        <w:autoSpaceDN w:val="0"/>
        <w:adjustRightInd w:val="0"/>
        <w:ind w:left="640" w:hanging="640"/>
        <w:rPr>
          <w:noProof/>
        </w:rPr>
      </w:pPr>
      <w:r w:rsidRPr="00F44253">
        <w:rPr>
          <w:noProof/>
        </w:rPr>
        <w:t>137.</w:t>
      </w:r>
      <w:r w:rsidRPr="00F44253">
        <w:rPr>
          <w:noProof/>
        </w:rPr>
        <w:tab/>
        <w:t>Neumann S. et al. Primary prophylaxis of bacterial infections and Pneumocystis jirovecii pneumonia in patients with hematological malignancies and solid tumors: Guidelines of the Infectious Diseases Working Party (AGIHO) of the German Society of Hematology and Oncology (DG // Annals of Hematology. Ann Hematol, 2013. Vol. 92, № 4. P. 433–442.</w:t>
      </w:r>
    </w:p>
    <w:p w14:paraId="30D15637" w14:textId="77777777" w:rsidR="00F44253" w:rsidRPr="00F44253" w:rsidRDefault="00F44253" w:rsidP="00F44253">
      <w:pPr>
        <w:widowControl w:val="0"/>
        <w:autoSpaceDE w:val="0"/>
        <w:autoSpaceDN w:val="0"/>
        <w:adjustRightInd w:val="0"/>
        <w:ind w:left="640" w:hanging="640"/>
        <w:rPr>
          <w:noProof/>
        </w:rPr>
      </w:pPr>
      <w:r w:rsidRPr="00F44253">
        <w:rPr>
          <w:noProof/>
        </w:rPr>
        <w:t>138.</w:t>
      </w:r>
      <w:r w:rsidRPr="00F44253">
        <w:rPr>
          <w:noProof/>
        </w:rPr>
        <w:tab/>
        <w:t>Moghnieh R. et al. Bacteraemia post-autologous haematopoietic stem cell transplantation in the absence of antibacterial prophylaxis: a decade’s experience from Lebanon // Infection. Urban und Vogel GmbH, 2018. Vol. 46, № 6.</w:t>
      </w:r>
    </w:p>
    <w:p w14:paraId="69E558D0" w14:textId="77777777" w:rsidR="00F44253" w:rsidRPr="00F44253" w:rsidRDefault="00F44253" w:rsidP="00F44253">
      <w:pPr>
        <w:widowControl w:val="0"/>
        <w:autoSpaceDE w:val="0"/>
        <w:autoSpaceDN w:val="0"/>
        <w:adjustRightInd w:val="0"/>
        <w:ind w:left="640" w:hanging="640"/>
        <w:rPr>
          <w:noProof/>
        </w:rPr>
      </w:pPr>
      <w:r w:rsidRPr="00F44253">
        <w:rPr>
          <w:noProof/>
        </w:rPr>
        <w:t>139.</w:t>
      </w:r>
      <w:r w:rsidRPr="00F44253">
        <w:rPr>
          <w:noProof/>
        </w:rPr>
        <w:tab/>
        <w:t>Клясова Г.А. et al. Эмпирическая антимикробная терапия у больных острыми лейкозами: итоги многоцентрового исследования // Терапевтический архив. 1998. Vol. 70, № 7. P. 15–21.</w:t>
      </w:r>
    </w:p>
    <w:p w14:paraId="1E8D25CA" w14:textId="77777777" w:rsidR="00F44253" w:rsidRPr="00F44253" w:rsidRDefault="00F44253" w:rsidP="00F44253">
      <w:pPr>
        <w:widowControl w:val="0"/>
        <w:autoSpaceDE w:val="0"/>
        <w:autoSpaceDN w:val="0"/>
        <w:adjustRightInd w:val="0"/>
        <w:ind w:left="640" w:hanging="640"/>
        <w:rPr>
          <w:noProof/>
        </w:rPr>
      </w:pPr>
      <w:r w:rsidRPr="00F44253">
        <w:rPr>
          <w:noProof/>
        </w:rPr>
        <w:t>140.</w:t>
      </w:r>
      <w:r w:rsidRPr="00F44253">
        <w:rPr>
          <w:noProof/>
        </w:rPr>
        <w:tab/>
        <w:t>Савченко В.Г. и др. Алгоритмы диагностики и протоколы лечения заболеваний системы крови. Москва: Практика, 2018. 1008 p.</w:t>
      </w:r>
    </w:p>
    <w:p w14:paraId="27EF8463" w14:textId="77777777" w:rsidR="00F44253" w:rsidRPr="00F44253" w:rsidRDefault="00F44253" w:rsidP="00F44253">
      <w:pPr>
        <w:widowControl w:val="0"/>
        <w:autoSpaceDE w:val="0"/>
        <w:autoSpaceDN w:val="0"/>
        <w:adjustRightInd w:val="0"/>
        <w:ind w:left="640" w:hanging="640"/>
        <w:rPr>
          <w:noProof/>
        </w:rPr>
      </w:pPr>
      <w:r w:rsidRPr="00F44253">
        <w:rPr>
          <w:noProof/>
        </w:rPr>
        <w:t>141.</w:t>
      </w:r>
      <w:r w:rsidRPr="00F44253">
        <w:rPr>
          <w:noProof/>
        </w:rPr>
        <w:tab/>
        <w:t>Terpos E. et al. European myeloma network guidelines for the management of multiple myeloma-related complications // Haematologica. Ferrata Storti Foundation, 2015. Vol. 100, № 10. P. 1254–1266.</w:t>
      </w:r>
    </w:p>
    <w:p w14:paraId="2AB680D0" w14:textId="77777777" w:rsidR="00F44253" w:rsidRPr="00F44253" w:rsidRDefault="00F44253" w:rsidP="00F44253">
      <w:pPr>
        <w:widowControl w:val="0"/>
        <w:autoSpaceDE w:val="0"/>
        <w:autoSpaceDN w:val="0"/>
        <w:adjustRightInd w:val="0"/>
        <w:ind w:left="640" w:hanging="640"/>
        <w:rPr>
          <w:noProof/>
        </w:rPr>
      </w:pPr>
      <w:r w:rsidRPr="00F44253">
        <w:rPr>
          <w:noProof/>
        </w:rPr>
        <w:t>142.</w:t>
      </w:r>
      <w:r w:rsidRPr="00F44253">
        <w:rPr>
          <w:noProof/>
        </w:rPr>
        <w:tab/>
        <w:t>Maertens J. et al. ECIL guidelines for preventing Pneumocystis jirovecii pneumonia in patients with haematological malignancies and stem cell transplant recipients // Journal of Antimicrobial Chemotherapy. Oxford University Press, 2016. Vol. 71, № 9. P. 1–8.</w:t>
      </w:r>
    </w:p>
    <w:p w14:paraId="367883E7" w14:textId="77777777" w:rsidR="00F44253" w:rsidRPr="00F44253" w:rsidRDefault="00F44253" w:rsidP="00F44253">
      <w:pPr>
        <w:widowControl w:val="0"/>
        <w:autoSpaceDE w:val="0"/>
        <w:autoSpaceDN w:val="0"/>
        <w:adjustRightInd w:val="0"/>
        <w:ind w:left="640" w:hanging="640"/>
        <w:rPr>
          <w:noProof/>
        </w:rPr>
      </w:pPr>
      <w:r w:rsidRPr="00F44253">
        <w:rPr>
          <w:noProof/>
        </w:rPr>
        <w:t>143.</w:t>
      </w:r>
      <w:r w:rsidRPr="00F44253">
        <w:rPr>
          <w:noProof/>
        </w:rPr>
        <w:tab/>
        <w:t>Сытов А.В., Лейдерман И.Н., Ломидзе С.В., Нехаев И.В. Х.А.Ж.. Практические рекомендации по нутритивной поддержке онкологических больных // RUSSCO. 2017. P. 524–532.</w:t>
      </w:r>
    </w:p>
    <w:p w14:paraId="486914AD" w14:textId="77777777" w:rsidR="00F44253" w:rsidRPr="00F44253" w:rsidRDefault="00F44253" w:rsidP="00F44253">
      <w:pPr>
        <w:widowControl w:val="0"/>
        <w:autoSpaceDE w:val="0"/>
        <w:autoSpaceDN w:val="0"/>
        <w:adjustRightInd w:val="0"/>
        <w:ind w:left="640" w:hanging="640"/>
        <w:rPr>
          <w:noProof/>
        </w:rPr>
      </w:pPr>
      <w:r w:rsidRPr="00F44253">
        <w:rPr>
          <w:noProof/>
        </w:rPr>
        <w:t>144.</w:t>
      </w:r>
      <w:r w:rsidRPr="00F44253">
        <w:rPr>
          <w:noProof/>
        </w:rPr>
        <w:tab/>
        <w:t>Virizuela J.A. et al. Nutritional support and parenteral nutrition in cancer patients: an expert consensus report // Clin. Transl. Oncol. Springer-Verlag Italia s.r.l., 2018. Vol. 20, № 5. P. 619–629.</w:t>
      </w:r>
    </w:p>
    <w:p w14:paraId="024B0FF0" w14:textId="77777777" w:rsidR="00F44253" w:rsidRPr="00F44253" w:rsidRDefault="00F44253" w:rsidP="00F44253">
      <w:pPr>
        <w:widowControl w:val="0"/>
        <w:autoSpaceDE w:val="0"/>
        <w:autoSpaceDN w:val="0"/>
        <w:adjustRightInd w:val="0"/>
        <w:ind w:left="640" w:hanging="640"/>
        <w:rPr>
          <w:noProof/>
        </w:rPr>
      </w:pPr>
      <w:r w:rsidRPr="00F44253">
        <w:rPr>
          <w:noProof/>
        </w:rPr>
        <w:t>145.</w:t>
      </w:r>
      <w:r w:rsidRPr="00F44253">
        <w:rPr>
          <w:noProof/>
        </w:rPr>
        <w:tab/>
        <w:t>Бесова Н.С., Борисова Т.Н., Ларионова В.Б., Лейдерман И.Н., Обухова О.А., Попова Т.С., Салтанов А.И., Сельчук В.Ю., Снеговой А.В., Ткачев С.И., Тюляндин С.А. Ш.А.И. Клинические рекомендации по нутритивной поддержке при химиотерапии и/или лучевой терапии. 2014.</w:t>
      </w:r>
    </w:p>
    <w:p w14:paraId="14AF0A8F" w14:textId="77777777" w:rsidR="00F44253" w:rsidRPr="00F44253" w:rsidRDefault="00F44253" w:rsidP="00F44253">
      <w:pPr>
        <w:widowControl w:val="0"/>
        <w:autoSpaceDE w:val="0"/>
        <w:autoSpaceDN w:val="0"/>
        <w:adjustRightInd w:val="0"/>
        <w:ind w:left="640" w:hanging="640"/>
        <w:rPr>
          <w:noProof/>
        </w:rPr>
      </w:pPr>
      <w:r w:rsidRPr="00F44253">
        <w:rPr>
          <w:noProof/>
        </w:rPr>
        <w:t>146.</w:t>
      </w:r>
      <w:r w:rsidRPr="00F44253">
        <w:rPr>
          <w:noProof/>
        </w:rPr>
        <w:tab/>
        <w:t xml:space="preserve">Arends J. et al. ESPEN guidelines on nutrition in cancer patients // Clin. Nutr. Churchill </w:t>
      </w:r>
      <w:r w:rsidRPr="00F44253">
        <w:rPr>
          <w:noProof/>
        </w:rPr>
        <w:lastRenderedPageBreak/>
        <w:t>Livingstone, 2017. Vol. 36, № 1. P. 11–48.</w:t>
      </w:r>
    </w:p>
    <w:p w14:paraId="1A34D56A" w14:textId="77777777" w:rsidR="00F44253" w:rsidRPr="00F44253" w:rsidRDefault="00F44253" w:rsidP="00F44253">
      <w:pPr>
        <w:widowControl w:val="0"/>
        <w:autoSpaceDE w:val="0"/>
        <w:autoSpaceDN w:val="0"/>
        <w:adjustRightInd w:val="0"/>
        <w:ind w:left="640" w:hanging="640"/>
        <w:rPr>
          <w:noProof/>
        </w:rPr>
      </w:pPr>
      <w:r w:rsidRPr="00F44253">
        <w:rPr>
          <w:noProof/>
        </w:rPr>
        <w:t>147.</w:t>
      </w:r>
      <w:r w:rsidRPr="00F44253">
        <w:rPr>
          <w:noProof/>
        </w:rPr>
        <w:tab/>
        <w:t>Camblor-Álvarez M. et al. Soporte nutricional y nutrición parenteral en el paciente oncológico: informe de consenso de un grupo de expertos // Nutr. Hosp. ARAN Ediciones, 2018. Vol. 35, № 1.</w:t>
      </w:r>
    </w:p>
    <w:p w14:paraId="77EBF63B" w14:textId="77777777" w:rsidR="00F44253" w:rsidRPr="00F44253" w:rsidRDefault="00F44253" w:rsidP="00F44253">
      <w:pPr>
        <w:widowControl w:val="0"/>
        <w:autoSpaceDE w:val="0"/>
        <w:autoSpaceDN w:val="0"/>
        <w:adjustRightInd w:val="0"/>
        <w:ind w:left="640" w:hanging="640"/>
        <w:rPr>
          <w:noProof/>
        </w:rPr>
      </w:pPr>
      <w:r w:rsidRPr="00F44253">
        <w:rPr>
          <w:noProof/>
        </w:rPr>
        <w:t>148.</w:t>
      </w:r>
      <w:r w:rsidRPr="00F44253">
        <w:rPr>
          <w:noProof/>
        </w:rPr>
        <w:tab/>
        <w:t>Baiu I., Spain D.A. Parenteral Nutrition // JAMA - Journal of the American Medical Association. American Medical Association, 2019. Vol. 321, № 21. P. 2142.</w:t>
      </w:r>
    </w:p>
    <w:p w14:paraId="32523483" w14:textId="77777777" w:rsidR="00F44253" w:rsidRPr="00F44253" w:rsidRDefault="00F44253" w:rsidP="00F44253">
      <w:pPr>
        <w:widowControl w:val="0"/>
        <w:autoSpaceDE w:val="0"/>
        <w:autoSpaceDN w:val="0"/>
        <w:adjustRightInd w:val="0"/>
        <w:ind w:left="640" w:hanging="640"/>
        <w:rPr>
          <w:noProof/>
        </w:rPr>
      </w:pPr>
      <w:r w:rsidRPr="00F44253">
        <w:rPr>
          <w:noProof/>
        </w:rPr>
        <w:t>149.</w:t>
      </w:r>
      <w:r w:rsidRPr="00F44253">
        <w:rPr>
          <w:noProof/>
        </w:rPr>
        <w:tab/>
        <w:t>Oken M.M. et al. Toxicity and response criteria of the Eastern Cooperative Oncology Group // Am. J. Clin. Oncol. 1982. Vol. 5, № 6. P. 649–655.</w:t>
      </w:r>
    </w:p>
    <w:p w14:paraId="16B561D4" w14:textId="77777777" w:rsidR="00F44253" w:rsidRPr="00F44253" w:rsidRDefault="00F44253" w:rsidP="00F44253">
      <w:pPr>
        <w:widowControl w:val="0"/>
        <w:autoSpaceDE w:val="0"/>
        <w:autoSpaceDN w:val="0"/>
        <w:adjustRightInd w:val="0"/>
        <w:ind w:left="640" w:hanging="640"/>
        <w:rPr>
          <w:noProof/>
        </w:rPr>
      </w:pPr>
      <w:r w:rsidRPr="00F44253">
        <w:rPr>
          <w:noProof/>
        </w:rPr>
        <w:t>150.</w:t>
      </w:r>
      <w:r w:rsidRPr="00F44253">
        <w:rPr>
          <w:noProof/>
        </w:rPr>
        <w:tab/>
        <w:t>Khorana A. et al. Development and validation of a predictive model for chemotherapy- associated thrombosis // Blood. 2008. Vol. 111, № 10. P. 4902–4907.</w:t>
      </w:r>
    </w:p>
    <w:p w14:paraId="43CC00E9" w14:textId="4776CC7F" w:rsidR="00F05351" w:rsidRDefault="00C960A4" w:rsidP="00F44253">
      <w:pPr>
        <w:widowControl w:val="0"/>
        <w:autoSpaceDE w:val="0"/>
        <w:autoSpaceDN w:val="0"/>
        <w:adjustRightInd w:val="0"/>
        <w:ind w:left="640" w:hanging="640"/>
      </w:pPr>
      <w:r>
        <w:fldChar w:fldCharType="end"/>
      </w:r>
    </w:p>
    <w:p w14:paraId="77FA79A8" w14:textId="2814DF6C" w:rsidR="000414F6" w:rsidRPr="00C81573" w:rsidRDefault="00CB71DA" w:rsidP="00F05351">
      <w:pPr>
        <w:pStyle w:val="afff1"/>
      </w:pPr>
      <w:bookmarkStart w:id="103" w:name="_Toc103332116"/>
      <w:r w:rsidRPr="00C81573">
        <w:lastRenderedPageBreak/>
        <w:t>Приложение А1. Состав рабочей группы</w:t>
      </w:r>
      <w:bookmarkEnd w:id="102"/>
      <w:r w:rsidR="005627B3" w:rsidRPr="00C81573">
        <w:t xml:space="preserve"> по разработке и пересмотру клинических рекомендаций</w:t>
      </w:r>
      <w:bookmarkEnd w:id="103"/>
    </w:p>
    <w:p w14:paraId="25931044" w14:textId="40369E36" w:rsidR="00C960A4" w:rsidRDefault="00C960A4" w:rsidP="00A72B1B">
      <w:pPr>
        <w:pStyle w:val="afd"/>
        <w:numPr>
          <w:ilvl w:val="4"/>
          <w:numId w:val="10"/>
        </w:numPr>
        <w:ind w:left="720"/>
      </w:pPr>
      <w:r>
        <w:t>Птушкин Вадим Вадимович –</w:t>
      </w:r>
      <w:r w:rsidR="003E1C18">
        <w:t xml:space="preserve"> </w:t>
      </w:r>
      <w:r>
        <w:t>д.м.н., профессор, заместитель главного врача по гематологии ГБУЗ «ГКБ им. С.П. Боткина», главный внештатный специалист-гематолог Департамента здравоохранения города Москвы, член Национального гематологического общества и Российского общества онкогематологов.</w:t>
      </w:r>
    </w:p>
    <w:p w14:paraId="15E3B9A7" w14:textId="04EFCC80" w:rsidR="00C960A4" w:rsidRDefault="00C960A4" w:rsidP="00A72B1B">
      <w:pPr>
        <w:pStyle w:val="afd"/>
        <w:numPr>
          <w:ilvl w:val="4"/>
          <w:numId w:val="10"/>
        </w:numPr>
        <w:ind w:left="720"/>
      </w:pPr>
      <w:r>
        <w:t>Поддубная Ирина Владимировна – академик РАН, заслуженный деятель образования РФ, д.м.н., профессор, зав. кафедрой онкологии и паллиативной медицины, проректор по лечебной работе и международному сотрудничеству ГБОУ ДПО РМАНПО Минздрава России, председатель Российского общества онкогематологов.</w:t>
      </w:r>
    </w:p>
    <w:p w14:paraId="5C55F0F1" w14:textId="6329B56C" w:rsidR="00C960A4" w:rsidRDefault="00C960A4" w:rsidP="00A72B1B">
      <w:pPr>
        <w:pStyle w:val="afd"/>
        <w:numPr>
          <w:ilvl w:val="4"/>
          <w:numId w:val="10"/>
        </w:numPr>
        <w:ind w:left="720"/>
      </w:pPr>
      <w:r>
        <w:t>Бабичева</w:t>
      </w:r>
      <w:r w:rsidR="003E1C18">
        <w:t xml:space="preserve"> </w:t>
      </w:r>
      <w:r>
        <w:t>Лали</w:t>
      </w:r>
      <w:r w:rsidR="003E1C18">
        <w:t xml:space="preserve"> </w:t>
      </w:r>
      <w:r>
        <w:t>Галимовна</w:t>
      </w:r>
      <w:r w:rsidR="003E1C18">
        <w:t xml:space="preserve"> –</w:t>
      </w:r>
      <w:r>
        <w:t xml:space="preserve"> к.м.н., доцент кафедры онкологии и паллиативной медицины им. академика А.И.</w:t>
      </w:r>
      <w:r w:rsidR="003E1C18">
        <w:t xml:space="preserve"> </w:t>
      </w:r>
      <w:r>
        <w:t>Савицкого ФГБОУ ДПО РМАНПО Минздрава России, член Российского общества онкогематологов</w:t>
      </w:r>
    </w:p>
    <w:p w14:paraId="68092D02" w14:textId="780F6D04" w:rsidR="00C960A4" w:rsidRDefault="00C960A4" w:rsidP="00A72B1B">
      <w:pPr>
        <w:pStyle w:val="afd"/>
        <w:numPr>
          <w:ilvl w:val="4"/>
          <w:numId w:val="10"/>
        </w:numPr>
        <w:ind w:left="720"/>
      </w:pPr>
      <w:r>
        <w:t xml:space="preserve">Нестерова Екатерина Сергеевна </w:t>
      </w:r>
      <w:r w:rsidR="003E1C18">
        <w:t>–</w:t>
      </w:r>
      <w:r>
        <w:t xml:space="preserve"> к.м.н., научный сотрудник, врач-гематолог отделенпия интенсивной высокодозной химиотерапии гемобластозов с дневным и круглосуточным стационаром, ФГБУ «НМИЦ гематологии» Минздрава России, член Национального гематологического общества</w:t>
      </w:r>
    </w:p>
    <w:p w14:paraId="43108F4D" w14:textId="02D62A1E" w:rsidR="00C960A4" w:rsidRDefault="00C960A4" w:rsidP="00A72B1B">
      <w:pPr>
        <w:pStyle w:val="afd"/>
        <w:numPr>
          <w:ilvl w:val="4"/>
          <w:numId w:val="10"/>
        </w:numPr>
        <w:ind w:left="720"/>
      </w:pPr>
      <w:r>
        <w:t>Османов Евгений Александрович –</w:t>
      </w:r>
      <w:r w:rsidR="003E1C18">
        <w:t xml:space="preserve"> </w:t>
      </w:r>
      <w:r>
        <w:t>д.м.н., профессор, зав. отделом гематологии и трансплантации костного мозга ФГБУ «НМИЦ онкологии им. Н.Н. Блохина» Минздрава России, профессор кафедры онкологии ФГАОУ ВО Первый МГМУ имени И.М. Сеченова Минздрава России, член правления Российского общества онкогематологов.</w:t>
      </w:r>
    </w:p>
    <w:p w14:paraId="6D565430" w14:textId="3A8A319F" w:rsidR="00C960A4" w:rsidRDefault="00C960A4" w:rsidP="00A72B1B">
      <w:pPr>
        <w:pStyle w:val="afd"/>
        <w:numPr>
          <w:ilvl w:val="4"/>
          <w:numId w:val="10"/>
        </w:numPr>
        <w:ind w:left="720"/>
      </w:pPr>
      <w:r>
        <w:t>Кравченко Сергей Кириллович – к.м.н., доцент, зав. отделением интенсивной высокодозной химиотерапиис круглосуточным и дневным стационаром ФГБУ «НМИЦ гематологии» Минздрава России, член Национального гематологического общества</w:t>
      </w:r>
    </w:p>
    <w:p w14:paraId="23E89FC3" w14:textId="17304D7F" w:rsidR="00C960A4" w:rsidRDefault="00C960A4" w:rsidP="00A72B1B">
      <w:pPr>
        <w:pStyle w:val="afd"/>
        <w:numPr>
          <w:ilvl w:val="4"/>
          <w:numId w:val="10"/>
        </w:numPr>
        <w:ind w:left="720"/>
      </w:pPr>
      <w:r>
        <w:t>Фалалеева Наталья Александровна – д.м.н., зав. отделением противоопухолевого лекарственного лечения МРНЦ им. А.Ф. Цыба – филиал ФГБУ «НМИЦ радиологии» Минздрава России, член Ассоциации онкологов России и Российской Ассоциации терапевтических радиационных онкологов.</w:t>
      </w:r>
    </w:p>
    <w:p w14:paraId="2E45CC17" w14:textId="7A90052C" w:rsidR="00C960A4" w:rsidRDefault="00C960A4" w:rsidP="00A72B1B">
      <w:pPr>
        <w:pStyle w:val="afd"/>
        <w:numPr>
          <w:ilvl w:val="4"/>
          <w:numId w:val="10"/>
        </w:numPr>
        <w:ind w:left="720"/>
      </w:pPr>
      <w:r>
        <w:t>Стефанов Дмитрий Николаевич – научный сотрудник, зав. научно-организационным отделом, ФГБУ «НМИЦ ДГОИ им. Дмитрия Рогачева» Минздрава России, член Российского общества онкогематологов</w:t>
      </w:r>
    </w:p>
    <w:p w14:paraId="46B35670" w14:textId="7A0A2729" w:rsidR="00C960A4" w:rsidRDefault="00C960A4" w:rsidP="00A72B1B">
      <w:pPr>
        <w:pStyle w:val="afd"/>
        <w:numPr>
          <w:ilvl w:val="4"/>
          <w:numId w:val="10"/>
        </w:numPr>
        <w:ind w:left="720"/>
      </w:pPr>
      <w:r>
        <w:lastRenderedPageBreak/>
        <w:t>Байков Вадим Валентинович – д.м.н., профессор кафедры патологической анатомии, заведующий лабораторией патоморфологии НИИ детской онкологии, гематологии и трансплантологии им. Р.М. Горбачевой Первого Санкт-Петербургского государственного медицинского университета им. акад. И.П. Павлова Минздрава России, член президиума Российского общества патологоанатомов, член правления Российского общества онкогематологов.</w:t>
      </w:r>
    </w:p>
    <w:p w14:paraId="6907D67C" w14:textId="42A2C912" w:rsidR="00C960A4" w:rsidRDefault="00C960A4" w:rsidP="00A72B1B">
      <w:pPr>
        <w:pStyle w:val="afd"/>
        <w:numPr>
          <w:ilvl w:val="4"/>
          <w:numId w:val="10"/>
        </w:numPr>
        <w:ind w:left="720"/>
      </w:pPr>
      <w:r>
        <w:t>Ковригина Алла Михайловна – д.б.н., профессор кафедры патологической анатомии, цитологии и молекулярной патологии Института повышения квалификации ФМБА РФ, заведующая патологоанатомическим отделением «НМИЦ гематологии» Минздрава России, член президиума Российского общества патологоанатомов, член правления Российского общества онкогематологов.</w:t>
      </w:r>
    </w:p>
    <w:p w14:paraId="6CBC3E0B" w14:textId="6C5EF871" w:rsidR="00C960A4" w:rsidRDefault="00C960A4" w:rsidP="00A72B1B">
      <w:pPr>
        <w:pStyle w:val="afd"/>
        <w:numPr>
          <w:ilvl w:val="4"/>
          <w:numId w:val="10"/>
        </w:numPr>
        <w:ind w:left="720"/>
      </w:pPr>
      <w:r>
        <w:t>Криволапов Юрий Александрович – д.м.н., профессор, зав. патологоанатомическим отделением клинической молекулярной морфологии клиники им. Э.Э. Эйхвальда ФГБОУ СЗГМУ им. И.И. Мечникова Минздрава России, член панели патологов Европейской сети исследования лимфом, член Европейской рабочей группы исследования костного мозга, член президиума Российского общества патологоанатомов</w:t>
      </w:r>
    </w:p>
    <w:p w14:paraId="0CA51486" w14:textId="478ED3BC" w:rsidR="00C960A4" w:rsidRDefault="00C960A4" w:rsidP="00A72B1B">
      <w:pPr>
        <w:pStyle w:val="afd"/>
        <w:numPr>
          <w:ilvl w:val="4"/>
          <w:numId w:val="10"/>
        </w:numPr>
        <w:ind w:left="720"/>
      </w:pPr>
      <w:r>
        <w:t>Коновалов Дмитрий Михайлович – к.м.н., зав. патологанатомическим отделением ФГБУ «НМИЦ ДГОИ им. Дмитрия Рогачева» Минздрава России, член президиума Российского общества патологоанатомов</w:t>
      </w:r>
    </w:p>
    <w:p w14:paraId="4F03C463" w14:textId="77777777" w:rsidR="003E1C18" w:rsidRDefault="003E1C18" w:rsidP="00A72B1B">
      <w:pPr>
        <w:pStyle w:val="afd"/>
        <w:numPr>
          <w:ilvl w:val="4"/>
          <w:numId w:val="10"/>
        </w:numPr>
        <w:ind w:left="720"/>
      </w:pPr>
      <w:r>
        <w:t xml:space="preserve">Трофимова Оксана Петровна – д.м.н., профессор кафедры онкологии и паллиативной медицины им.А.И.Савицкого ФГБОУ ДПО РМА НПО МЗ РФ </w:t>
      </w:r>
    </w:p>
    <w:p w14:paraId="6F1C1B58" w14:textId="77777777" w:rsidR="003E1C18" w:rsidRDefault="003E1C18" w:rsidP="00A72B1B">
      <w:pPr>
        <w:pStyle w:val="afd"/>
        <w:numPr>
          <w:ilvl w:val="4"/>
          <w:numId w:val="10"/>
        </w:numPr>
        <w:ind w:left="720"/>
      </w:pPr>
      <w:r>
        <w:t>Сотников Владимир Михайлович – д.м.н., заведующий отделом «Методический аккредитационно-симуляционный центр по специальности «Радиотерапия» ФГБУ РНЦРР МЗ РФ</w:t>
      </w:r>
    </w:p>
    <w:p w14:paraId="7B437B66" w14:textId="52B242BC" w:rsidR="003E1C18" w:rsidRDefault="003E1C18" w:rsidP="00A72B1B">
      <w:pPr>
        <w:pStyle w:val="afd"/>
        <w:numPr>
          <w:ilvl w:val="4"/>
          <w:numId w:val="10"/>
        </w:numPr>
        <w:ind w:left="720"/>
      </w:pPr>
      <w:r>
        <w:t>Виноградова Юлия Николаевна – д.м.н., доцент, руководитель отдела лучевых и комбинированных методов лечения ФГБУ РНЦРХТ им. ак. А. М. Гранова Минздрава России</w:t>
      </w:r>
    </w:p>
    <w:p w14:paraId="1B9BD337" w14:textId="56DAACE5" w:rsidR="003E1C18" w:rsidRDefault="003E1C18" w:rsidP="00A72B1B">
      <w:pPr>
        <w:pStyle w:val="afd"/>
        <w:numPr>
          <w:ilvl w:val="4"/>
          <w:numId w:val="10"/>
        </w:numPr>
        <w:ind w:left="720"/>
      </w:pPr>
      <w:r>
        <w:t>Ильин Николай Васильевич – д.м.н., проф., главный научный сотрудник отдела фундаментальных методов исследования ФГБУ РНЦРХТ им. ак. А. М. Гранова</w:t>
      </w:r>
    </w:p>
    <w:p w14:paraId="3A1D61C7" w14:textId="77777777" w:rsidR="00B104EF" w:rsidRPr="00C81573" w:rsidRDefault="00B104EF" w:rsidP="003E1C18">
      <w:pPr>
        <w:ind w:firstLine="0"/>
      </w:pPr>
    </w:p>
    <w:p w14:paraId="7E79CE56" w14:textId="4C8DC790" w:rsidR="00F05351" w:rsidRDefault="00B104EF" w:rsidP="00F05351">
      <w:r w:rsidRPr="00C81573">
        <w:t>Конфликт интересов:</w:t>
      </w:r>
      <w:bookmarkStart w:id="104" w:name="__RefHeading___doc_a2"/>
      <w:bookmarkStart w:id="105" w:name="_Toc11747752"/>
      <w:r w:rsidR="003E1C18">
        <w:t xml:space="preserve"> отсутствует</w:t>
      </w:r>
    </w:p>
    <w:p w14:paraId="368BAC33" w14:textId="77777777" w:rsidR="00F05351" w:rsidRDefault="00F05351" w:rsidP="00F05351"/>
    <w:p w14:paraId="79CF1BB7" w14:textId="21EDB028" w:rsidR="000414F6" w:rsidRPr="00C81573" w:rsidRDefault="00CB71DA" w:rsidP="00F05351">
      <w:pPr>
        <w:pStyle w:val="afff1"/>
      </w:pPr>
      <w:bookmarkStart w:id="106" w:name="_Toc103332117"/>
      <w:r w:rsidRPr="00C81573">
        <w:lastRenderedPageBreak/>
        <w:t>Приложение А2. Методология разработки клинических рекомендаций</w:t>
      </w:r>
      <w:bookmarkEnd w:id="104"/>
      <w:bookmarkEnd w:id="105"/>
      <w:bookmarkEnd w:id="106"/>
    </w:p>
    <w:p w14:paraId="2379C94F" w14:textId="77777777" w:rsidR="00275A41" w:rsidRPr="00C81573" w:rsidRDefault="00CB71DA" w:rsidP="00F756F0">
      <w:pPr>
        <w:pStyle w:val="aff7"/>
        <w:divId w:val="1333020968"/>
      </w:pPr>
      <w:r w:rsidRPr="00C81573">
        <w:rPr>
          <w:rStyle w:val="aff9"/>
          <w:u w:val="single"/>
        </w:rPr>
        <w:t>Целевая аудитория данных клинических рекомендаций:</w:t>
      </w:r>
    </w:p>
    <w:p w14:paraId="19C78A99" w14:textId="6E3DA81C" w:rsidR="003E1C18" w:rsidRDefault="003E1C18" w:rsidP="003E1C18">
      <w:pPr>
        <w:divId w:val="1333020968"/>
      </w:pPr>
      <w:r>
        <w:t>1. Врачи-гематологи.</w:t>
      </w:r>
    </w:p>
    <w:p w14:paraId="171CDAAA" w14:textId="77777777" w:rsidR="003E1C18" w:rsidRDefault="003E1C18" w:rsidP="003E1C18">
      <w:pPr>
        <w:divId w:val="1333020968"/>
      </w:pPr>
      <w:r>
        <w:t>2. Врачи-онкологи.</w:t>
      </w:r>
    </w:p>
    <w:p w14:paraId="3B411236" w14:textId="5CB5DC98" w:rsidR="003E1C18" w:rsidRDefault="003E1C18" w:rsidP="003E1C18">
      <w:pPr>
        <w:divId w:val="1333020968"/>
      </w:pPr>
      <w:r>
        <w:t>4. Врачи-радиологи.</w:t>
      </w:r>
    </w:p>
    <w:p w14:paraId="4A6472C4" w14:textId="77777777" w:rsidR="003E1C18" w:rsidRDefault="003E1C18" w:rsidP="003E1C18">
      <w:pPr>
        <w:divId w:val="1333020968"/>
      </w:pPr>
      <w:r>
        <w:t>5. Студенты медицинских вузов.</w:t>
      </w:r>
    </w:p>
    <w:p w14:paraId="2571B396" w14:textId="1D59D185" w:rsidR="00B104EF" w:rsidRPr="00C81573" w:rsidRDefault="00B104EF" w:rsidP="00F756F0">
      <w:pPr>
        <w:pStyle w:val="aff7"/>
        <w:divId w:val="1333020968"/>
      </w:pPr>
    </w:p>
    <w:p w14:paraId="16033D5D" w14:textId="77777777" w:rsidR="00A91645" w:rsidRPr="00C81573" w:rsidRDefault="00A91645" w:rsidP="00A91645">
      <w:pPr>
        <w:divId w:val="1333020968"/>
      </w:pPr>
      <w:bookmarkStart w:id="107" w:name="_Ref515967586"/>
      <w:r w:rsidRPr="00C81573">
        <w:rPr>
          <w:b/>
        </w:rPr>
        <w:t xml:space="preserve">Таблица </w:t>
      </w:r>
      <w:r w:rsidR="005653DE" w:rsidRPr="00C81573">
        <w:rPr>
          <w:b/>
        </w:rPr>
        <w:fldChar w:fldCharType="begin"/>
      </w:r>
      <w:r w:rsidRPr="00C81573">
        <w:rPr>
          <w:b/>
        </w:rPr>
        <w:instrText xml:space="preserve"> SEQ Таблица \* ARABIC </w:instrText>
      </w:r>
      <w:r w:rsidR="005653DE" w:rsidRPr="00C81573">
        <w:rPr>
          <w:b/>
        </w:rPr>
        <w:fldChar w:fldCharType="separate"/>
      </w:r>
      <w:r w:rsidRPr="00C81573">
        <w:rPr>
          <w:b/>
          <w:noProof/>
        </w:rPr>
        <w:t>1</w:t>
      </w:r>
      <w:r w:rsidR="005653DE" w:rsidRPr="00C81573">
        <w:rPr>
          <w:b/>
        </w:rPr>
        <w:fldChar w:fldCharType="end"/>
      </w:r>
      <w:bookmarkEnd w:id="107"/>
      <w:r w:rsidRPr="00C81573">
        <w:rPr>
          <w:b/>
        </w:rPr>
        <w:t>.</w:t>
      </w:r>
      <w:r w:rsidRPr="00C81573">
        <w:t>Шкала оценки уровней достоверности доказательств (УДД)для методов диагностики</w:t>
      </w:r>
      <w:r w:rsidR="005C7877" w:rsidRPr="00C81573">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7"/>
      </w:tblGrid>
      <w:tr w:rsidR="00A91645" w:rsidRPr="00C81573" w14:paraId="7F6A1B26" w14:textId="77777777" w:rsidTr="00563D3D">
        <w:trPr>
          <w:divId w:val="1333020968"/>
          <w:trHeight w:val="58"/>
        </w:trPr>
        <w:tc>
          <w:tcPr>
            <w:tcW w:w="427" w:type="pct"/>
          </w:tcPr>
          <w:p w14:paraId="1555D149" w14:textId="77777777" w:rsidR="00A91645" w:rsidRPr="00C81573" w:rsidRDefault="00A91645" w:rsidP="00563D3D">
            <w:pPr>
              <w:spacing w:line="276" w:lineRule="auto"/>
              <w:ind w:firstLine="0"/>
              <w:jc w:val="center"/>
              <w:rPr>
                <w:b/>
                <w:color w:val="000000"/>
                <w:szCs w:val="24"/>
              </w:rPr>
            </w:pPr>
            <w:r w:rsidRPr="00C81573">
              <w:rPr>
                <w:b/>
                <w:color w:val="000000"/>
                <w:szCs w:val="24"/>
              </w:rPr>
              <w:t>УДД</w:t>
            </w:r>
          </w:p>
        </w:tc>
        <w:tc>
          <w:tcPr>
            <w:tcW w:w="4573" w:type="pct"/>
          </w:tcPr>
          <w:p w14:paraId="184A8F59" w14:textId="77777777" w:rsidR="00A91645" w:rsidRPr="00C81573" w:rsidRDefault="00A91645" w:rsidP="00563D3D">
            <w:pPr>
              <w:spacing w:line="276" w:lineRule="auto"/>
              <w:ind w:firstLine="0"/>
              <w:jc w:val="center"/>
              <w:rPr>
                <w:b/>
                <w:color w:val="000000"/>
                <w:szCs w:val="24"/>
              </w:rPr>
            </w:pPr>
            <w:r w:rsidRPr="00C81573">
              <w:rPr>
                <w:b/>
                <w:color w:val="000000"/>
                <w:szCs w:val="24"/>
              </w:rPr>
              <w:t>Расшифровка</w:t>
            </w:r>
          </w:p>
        </w:tc>
      </w:tr>
      <w:tr w:rsidR="00A91645" w:rsidRPr="00C81573" w14:paraId="6B1BA5A2" w14:textId="77777777" w:rsidTr="00563D3D">
        <w:trPr>
          <w:divId w:val="1333020968"/>
        </w:trPr>
        <w:tc>
          <w:tcPr>
            <w:tcW w:w="427" w:type="pct"/>
          </w:tcPr>
          <w:p w14:paraId="24A08E7F" w14:textId="77777777" w:rsidR="00A91645" w:rsidRPr="00C81573" w:rsidRDefault="00A91645" w:rsidP="00563D3D">
            <w:pPr>
              <w:spacing w:line="276" w:lineRule="auto"/>
              <w:ind w:firstLine="0"/>
              <w:jc w:val="center"/>
              <w:rPr>
                <w:color w:val="000000"/>
                <w:szCs w:val="24"/>
              </w:rPr>
            </w:pPr>
            <w:r w:rsidRPr="00C81573">
              <w:rPr>
                <w:color w:val="000000"/>
                <w:szCs w:val="24"/>
              </w:rPr>
              <w:t>1</w:t>
            </w:r>
          </w:p>
        </w:tc>
        <w:tc>
          <w:tcPr>
            <w:tcW w:w="4573" w:type="pct"/>
          </w:tcPr>
          <w:p w14:paraId="3E876432" w14:textId="77777777" w:rsidR="00A91645" w:rsidRPr="00C81573" w:rsidRDefault="00A91645" w:rsidP="00563D3D">
            <w:pPr>
              <w:spacing w:line="276" w:lineRule="auto"/>
              <w:ind w:firstLine="0"/>
              <w:rPr>
                <w:color w:val="000000"/>
                <w:szCs w:val="24"/>
              </w:rPr>
            </w:pPr>
            <w:r w:rsidRPr="00C81573">
              <w:rPr>
                <w:color w:val="000000"/>
                <w:szCs w:val="24"/>
              </w:rPr>
              <w:t>Систематические обзоры исследований с контролем референсным методом</w:t>
            </w:r>
            <w:r w:rsidRPr="00C81573">
              <w:rPr>
                <w:szCs w:val="24"/>
              </w:rPr>
              <w:t xml:space="preserve"> или систематический обзор </w:t>
            </w:r>
            <w:r w:rsidR="005C7877" w:rsidRPr="00C81573">
              <w:rPr>
                <w:szCs w:val="24"/>
              </w:rPr>
              <w:t>рандомизированных клинических исследований с применением мета-анализа</w:t>
            </w:r>
          </w:p>
        </w:tc>
      </w:tr>
      <w:tr w:rsidR="00A91645" w:rsidRPr="00C81573" w14:paraId="44979E41" w14:textId="77777777" w:rsidTr="00563D3D">
        <w:trPr>
          <w:divId w:val="1333020968"/>
        </w:trPr>
        <w:tc>
          <w:tcPr>
            <w:tcW w:w="427" w:type="pct"/>
          </w:tcPr>
          <w:p w14:paraId="1EAE1F08" w14:textId="77777777" w:rsidR="00A91645" w:rsidRPr="00C81573" w:rsidRDefault="00A91645" w:rsidP="00563D3D">
            <w:pPr>
              <w:spacing w:line="276" w:lineRule="auto"/>
              <w:ind w:firstLine="0"/>
              <w:jc w:val="center"/>
              <w:rPr>
                <w:color w:val="000000"/>
                <w:szCs w:val="24"/>
              </w:rPr>
            </w:pPr>
            <w:r w:rsidRPr="00C81573">
              <w:rPr>
                <w:color w:val="000000"/>
                <w:szCs w:val="24"/>
              </w:rPr>
              <w:t>2</w:t>
            </w:r>
          </w:p>
        </w:tc>
        <w:tc>
          <w:tcPr>
            <w:tcW w:w="4573" w:type="pct"/>
          </w:tcPr>
          <w:p w14:paraId="18E92E08" w14:textId="77777777" w:rsidR="00A91645" w:rsidRPr="00C81573" w:rsidRDefault="00A91645" w:rsidP="00563D3D">
            <w:pPr>
              <w:spacing w:line="276" w:lineRule="auto"/>
              <w:ind w:firstLine="0"/>
              <w:rPr>
                <w:color w:val="000000"/>
                <w:szCs w:val="24"/>
              </w:rPr>
            </w:pPr>
            <w:r w:rsidRPr="00C81573">
              <w:rPr>
                <w:color w:val="000000"/>
                <w:szCs w:val="24"/>
              </w:rPr>
              <w:t>Отдельные исследования с контролем референсным методом</w:t>
            </w:r>
            <w:r w:rsidR="005C7877" w:rsidRPr="00C81573">
              <w:rPr>
                <w:color w:val="000000"/>
                <w:szCs w:val="24"/>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C81573" w14:paraId="6E89AE95" w14:textId="77777777" w:rsidTr="00563D3D">
        <w:trPr>
          <w:divId w:val="1333020968"/>
        </w:trPr>
        <w:tc>
          <w:tcPr>
            <w:tcW w:w="427" w:type="pct"/>
          </w:tcPr>
          <w:p w14:paraId="079F0A0B" w14:textId="77777777" w:rsidR="00A91645" w:rsidRPr="00C81573" w:rsidRDefault="00A91645" w:rsidP="00563D3D">
            <w:pPr>
              <w:spacing w:line="276" w:lineRule="auto"/>
              <w:ind w:firstLine="0"/>
              <w:jc w:val="center"/>
              <w:rPr>
                <w:color w:val="000000"/>
                <w:szCs w:val="24"/>
              </w:rPr>
            </w:pPr>
            <w:r w:rsidRPr="00C81573">
              <w:rPr>
                <w:color w:val="000000"/>
                <w:szCs w:val="24"/>
              </w:rPr>
              <w:t>3</w:t>
            </w:r>
          </w:p>
        </w:tc>
        <w:tc>
          <w:tcPr>
            <w:tcW w:w="4573" w:type="pct"/>
          </w:tcPr>
          <w:p w14:paraId="7B510715" w14:textId="77777777" w:rsidR="00A91645" w:rsidRPr="00C81573" w:rsidRDefault="00A91645" w:rsidP="00563D3D">
            <w:pPr>
              <w:spacing w:line="276" w:lineRule="auto"/>
              <w:ind w:firstLine="0"/>
              <w:rPr>
                <w:color w:val="000000"/>
                <w:szCs w:val="24"/>
              </w:rPr>
            </w:pPr>
            <w:r w:rsidRPr="00C81573">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sidRPr="00C81573">
              <w:rPr>
                <w:color w:val="000000"/>
                <w:szCs w:val="24"/>
              </w:rPr>
              <w:t xml:space="preserve"> или нерандомизированные сравнительные исследования, в том числе когортные исследования</w:t>
            </w:r>
          </w:p>
        </w:tc>
      </w:tr>
      <w:tr w:rsidR="00A91645" w:rsidRPr="00C81573" w14:paraId="57EAFB70" w14:textId="77777777" w:rsidTr="00563D3D">
        <w:trPr>
          <w:divId w:val="1333020968"/>
        </w:trPr>
        <w:tc>
          <w:tcPr>
            <w:tcW w:w="427" w:type="pct"/>
          </w:tcPr>
          <w:p w14:paraId="32FB7102" w14:textId="77777777" w:rsidR="00A91645" w:rsidRPr="00C81573" w:rsidRDefault="00A91645" w:rsidP="00563D3D">
            <w:pPr>
              <w:spacing w:line="276" w:lineRule="auto"/>
              <w:ind w:firstLine="0"/>
              <w:jc w:val="center"/>
              <w:rPr>
                <w:color w:val="000000"/>
                <w:szCs w:val="24"/>
              </w:rPr>
            </w:pPr>
            <w:r w:rsidRPr="00C81573">
              <w:rPr>
                <w:color w:val="000000"/>
                <w:szCs w:val="24"/>
              </w:rPr>
              <w:t>4</w:t>
            </w:r>
          </w:p>
        </w:tc>
        <w:tc>
          <w:tcPr>
            <w:tcW w:w="4573" w:type="pct"/>
          </w:tcPr>
          <w:p w14:paraId="732B1C56" w14:textId="77777777" w:rsidR="00A91645" w:rsidRPr="00C81573" w:rsidRDefault="00A91645" w:rsidP="00563D3D">
            <w:pPr>
              <w:spacing w:line="276" w:lineRule="auto"/>
              <w:ind w:firstLine="0"/>
              <w:rPr>
                <w:color w:val="000000"/>
                <w:szCs w:val="24"/>
              </w:rPr>
            </w:pPr>
            <w:r w:rsidRPr="00C81573">
              <w:rPr>
                <w:color w:val="000000"/>
                <w:szCs w:val="24"/>
              </w:rPr>
              <w:t>Несравнительные исследования, описание клинического случая</w:t>
            </w:r>
          </w:p>
        </w:tc>
      </w:tr>
      <w:tr w:rsidR="00A91645" w:rsidRPr="00C81573" w14:paraId="5433F2D6" w14:textId="77777777" w:rsidTr="00563D3D">
        <w:trPr>
          <w:divId w:val="1333020968"/>
        </w:trPr>
        <w:tc>
          <w:tcPr>
            <w:tcW w:w="427" w:type="pct"/>
          </w:tcPr>
          <w:p w14:paraId="6CBCDC9D" w14:textId="77777777" w:rsidR="00A91645" w:rsidRPr="00C81573" w:rsidRDefault="00A91645" w:rsidP="00563D3D">
            <w:pPr>
              <w:spacing w:line="276" w:lineRule="auto"/>
              <w:ind w:firstLine="0"/>
              <w:jc w:val="center"/>
              <w:rPr>
                <w:color w:val="000000"/>
                <w:szCs w:val="24"/>
              </w:rPr>
            </w:pPr>
            <w:r w:rsidRPr="00C81573">
              <w:rPr>
                <w:color w:val="000000"/>
                <w:szCs w:val="24"/>
              </w:rPr>
              <w:t>5</w:t>
            </w:r>
          </w:p>
        </w:tc>
        <w:tc>
          <w:tcPr>
            <w:tcW w:w="4573" w:type="pct"/>
          </w:tcPr>
          <w:p w14:paraId="24686694" w14:textId="77777777" w:rsidR="00A91645" w:rsidRPr="00C81573" w:rsidRDefault="00A91645" w:rsidP="00563D3D">
            <w:pPr>
              <w:spacing w:line="276" w:lineRule="auto"/>
              <w:ind w:firstLine="0"/>
              <w:rPr>
                <w:color w:val="000000"/>
                <w:szCs w:val="24"/>
              </w:rPr>
            </w:pPr>
            <w:r w:rsidRPr="00C81573">
              <w:rPr>
                <w:color w:val="000000"/>
                <w:szCs w:val="24"/>
              </w:rPr>
              <w:t>Имеется лишь обоснование механизма действия или мнение экспертов</w:t>
            </w:r>
          </w:p>
        </w:tc>
      </w:tr>
    </w:tbl>
    <w:p w14:paraId="67F7E8FC" w14:textId="77777777" w:rsidR="00A91645" w:rsidRPr="00C81573" w:rsidRDefault="00A91645" w:rsidP="00F756F0">
      <w:pPr>
        <w:pStyle w:val="aff7"/>
        <w:divId w:val="1333020968"/>
        <w:rPr>
          <w:rStyle w:val="aff9"/>
        </w:rPr>
      </w:pPr>
    </w:p>
    <w:p w14:paraId="2CB2054F" w14:textId="77777777" w:rsidR="005C7877" w:rsidRPr="00C81573" w:rsidRDefault="00A91645" w:rsidP="005C7877">
      <w:pPr>
        <w:divId w:val="1333020968"/>
      </w:pPr>
      <w:bookmarkStart w:id="108" w:name="_Ref515967623"/>
      <w:r w:rsidRPr="00C81573">
        <w:rPr>
          <w:b/>
        </w:rPr>
        <w:t xml:space="preserve">Таблица </w:t>
      </w:r>
      <w:r w:rsidR="005653DE" w:rsidRPr="00C81573">
        <w:rPr>
          <w:b/>
        </w:rPr>
        <w:fldChar w:fldCharType="begin"/>
      </w:r>
      <w:r w:rsidRPr="00C81573">
        <w:rPr>
          <w:b/>
        </w:rPr>
        <w:instrText xml:space="preserve"> SEQ Таблица \* ARABIC </w:instrText>
      </w:r>
      <w:r w:rsidR="005653DE" w:rsidRPr="00C81573">
        <w:rPr>
          <w:b/>
        </w:rPr>
        <w:fldChar w:fldCharType="separate"/>
      </w:r>
      <w:r w:rsidRPr="00C81573">
        <w:rPr>
          <w:b/>
          <w:noProof/>
        </w:rPr>
        <w:t>2</w:t>
      </w:r>
      <w:r w:rsidR="005653DE" w:rsidRPr="00C81573">
        <w:rPr>
          <w:b/>
        </w:rPr>
        <w:fldChar w:fldCharType="end"/>
      </w:r>
      <w:bookmarkEnd w:id="108"/>
      <w:r w:rsidRPr="00C81573">
        <w:rPr>
          <w:b/>
        </w:rPr>
        <w:t>.</w:t>
      </w:r>
      <w:r w:rsidR="005C7877" w:rsidRPr="00C81573">
        <w:t xml:space="preserve">Шкала оценки уровней достоверности доказательств (УДД)для методов профилактики, лечения и реабилитации (профилактических, </w:t>
      </w:r>
      <w:r w:rsidR="009C0364" w:rsidRPr="00C81573">
        <w:t>лечебных, реабилитационных</w:t>
      </w:r>
      <w:r w:rsidR="005C7877" w:rsidRPr="00C81573">
        <w:t xml:space="preserve"> вмешательств</w:t>
      </w:r>
      <w:r w:rsidR="009C0364" w:rsidRPr="00C81573">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0"/>
      </w:tblGrid>
      <w:tr w:rsidR="005C7877" w:rsidRPr="00C81573" w14:paraId="627284E9" w14:textId="77777777" w:rsidTr="00563D3D">
        <w:trPr>
          <w:divId w:val="1333020968"/>
        </w:trPr>
        <w:tc>
          <w:tcPr>
            <w:tcW w:w="360" w:type="pct"/>
          </w:tcPr>
          <w:p w14:paraId="4482618B" w14:textId="77777777" w:rsidR="005C7877" w:rsidRPr="00C81573" w:rsidRDefault="005C7877" w:rsidP="00563D3D">
            <w:pPr>
              <w:spacing w:line="240" w:lineRule="auto"/>
              <w:ind w:firstLine="0"/>
              <w:jc w:val="center"/>
              <w:rPr>
                <w:b/>
                <w:color w:val="000000"/>
                <w:szCs w:val="24"/>
              </w:rPr>
            </w:pPr>
            <w:r w:rsidRPr="00C81573">
              <w:rPr>
                <w:b/>
                <w:color w:val="000000"/>
                <w:szCs w:val="24"/>
              </w:rPr>
              <w:t>УДД</w:t>
            </w:r>
          </w:p>
        </w:tc>
        <w:tc>
          <w:tcPr>
            <w:tcW w:w="4640" w:type="pct"/>
          </w:tcPr>
          <w:p w14:paraId="58E4F407" w14:textId="77777777" w:rsidR="005C7877" w:rsidRPr="00C81573" w:rsidRDefault="009C0364" w:rsidP="00563D3D">
            <w:pPr>
              <w:spacing w:line="240" w:lineRule="auto"/>
              <w:ind w:firstLine="0"/>
              <w:jc w:val="center"/>
              <w:rPr>
                <w:b/>
                <w:color w:val="000000"/>
                <w:szCs w:val="24"/>
              </w:rPr>
            </w:pPr>
            <w:r w:rsidRPr="00C81573">
              <w:rPr>
                <w:b/>
                <w:color w:val="000000"/>
                <w:szCs w:val="24"/>
              </w:rPr>
              <w:t xml:space="preserve">Расшифровка </w:t>
            </w:r>
          </w:p>
        </w:tc>
      </w:tr>
      <w:tr w:rsidR="005C7877" w:rsidRPr="00C81573" w14:paraId="7489A0B6" w14:textId="77777777" w:rsidTr="00563D3D">
        <w:trPr>
          <w:divId w:val="1333020968"/>
        </w:trPr>
        <w:tc>
          <w:tcPr>
            <w:tcW w:w="360" w:type="pct"/>
          </w:tcPr>
          <w:p w14:paraId="5E61CCB6" w14:textId="77777777" w:rsidR="005C7877" w:rsidRPr="00C81573" w:rsidRDefault="005C7877" w:rsidP="00563D3D">
            <w:pPr>
              <w:spacing w:line="240" w:lineRule="auto"/>
              <w:ind w:firstLine="0"/>
              <w:jc w:val="center"/>
              <w:rPr>
                <w:color w:val="000000"/>
                <w:szCs w:val="24"/>
              </w:rPr>
            </w:pPr>
            <w:r w:rsidRPr="00C81573">
              <w:rPr>
                <w:color w:val="000000"/>
                <w:szCs w:val="24"/>
              </w:rPr>
              <w:t>1</w:t>
            </w:r>
          </w:p>
        </w:tc>
        <w:tc>
          <w:tcPr>
            <w:tcW w:w="4640" w:type="pct"/>
          </w:tcPr>
          <w:p w14:paraId="68F75BCC" w14:textId="77777777" w:rsidR="005C7877" w:rsidRPr="00C81573" w:rsidRDefault="005C7877" w:rsidP="00563D3D">
            <w:pPr>
              <w:spacing w:line="240" w:lineRule="auto"/>
              <w:ind w:firstLine="0"/>
              <w:rPr>
                <w:color w:val="000000"/>
                <w:szCs w:val="24"/>
              </w:rPr>
            </w:pPr>
            <w:r w:rsidRPr="00C81573">
              <w:rPr>
                <w:color w:val="000000"/>
                <w:szCs w:val="24"/>
              </w:rPr>
              <w:t>Систематический обзор РКИ с применением мета-анализа</w:t>
            </w:r>
          </w:p>
        </w:tc>
      </w:tr>
      <w:tr w:rsidR="005C7877" w:rsidRPr="00C81573" w14:paraId="3D772048" w14:textId="77777777" w:rsidTr="00563D3D">
        <w:trPr>
          <w:divId w:val="1333020968"/>
        </w:trPr>
        <w:tc>
          <w:tcPr>
            <w:tcW w:w="360" w:type="pct"/>
          </w:tcPr>
          <w:p w14:paraId="5EE74CC4" w14:textId="77777777" w:rsidR="005C7877" w:rsidRPr="00C81573" w:rsidRDefault="005C7877" w:rsidP="00563D3D">
            <w:pPr>
              <w:spacing w:line="240" w:lineRule="auto"/>
              <w:ind w:firstLine="0"/>
              <w:jc w:val="center"/>
              <w:rPr>
                <w:color w:val="000000"/>
                <w:szCs w:val="24"/>
                <w:lang w:val="en-US"/>
              </w:rPr>
            </w:pPr>
            <w:r w:rsidRPr="00C81573">
              <w:rPr>
                <w:color w:val="000000"/>
                <w:szCs w:val="24"/>
              </w:rPr>
              <w:t>2</w:t>
            </w:r>
          </w:p>
        </w:tc>
        <w:tc>
          <w:tcPr>
            <w:tcW w:w="4640" w:type="pct"/>
          </w:tcPr>
          <w:p w14:paraId="6A78F5B5" w14:textId="77777777" w:rsidR="005C7877" w:rsidRPr="00C81573" w:rsidRDefault="005C7877" w:rsidP="00563D3D">
            <w:pPr>
              <w:spacing w:line="240" w:lineRule="auto"/>
              <w:ind w:firstLine="0"/>
              <w:rPr>
                <w:color w:val="000000"/>
                <w:szCs w:val="24"/>
              </w:rPr>
            </w:pPr>
            <w:r w:rsidRPr="00C81573">
              <w:rPr>
                <w:color w:val="000000"/>
                <w:szCs w:val="24"/>
              </w:rPr>
              <w:t xml:space="preserve">Отдельные РКИ и систематические обзоры исследований любого </w:t>
            </w:r>
            <w:r w:rsidR="009C0364" w:rsidRPr="00C81573">
              <w:rPr>
                <w:color w:val="000000"/>
                <w:szCs w:val="24"/>
              </w:rPr>
              <w:t xml:space="preserve">дизайна, за исключением РКИ, </w:t>
            </w:r>
            <w:r w:rsidRPr="00C81573">
              <w:rPr>
                <w:color w:val="000000"/>
                <w:szCs w:val="24"/>
              </w:rPr>
              <w:t>с применением мета-анализа</w:t>
            </w:r>
          </w:p>
        </w:tc>
      </w:tr>
      <w:tr w:rsidR="005C7877" w:rsidRPr="00C81573" w14:paraId="23807690" w14:textId="77777777" w:rsidTr="00563D3D">
        <w:trPr>
          <w:divId w:val="1333020968"/>
        </w:trPr>
        <w:tc>
          <w:tcPr>
            <w:tcW w:w="360" w:type="pct"/>
          </w:tcPr>
          <w:p w14:paraId="1E1E49D8" w14:textId="77777777" w:rsidR="005C7877" w:rsidRPr="00C81573" w:rsidRDefault="005C7877" w:rsidP="00563D3D">
            <w:pPr>
              <w:spacing w:line="240" w:lineRule="auto"/>
              <w:ind w:firstLine="0"/>
              <w:jc w:val="center"/>
              <w:rPr>
                <w:color w:val="000000"/>
                <w:szCs w:val="24"/>
              </w:rPr>
            </w:pPr>
            <w:r w:rsidRPr="00C81573">
              <w:rPr>
                <w:color w:val="000000"/>
                <w:szCs w:val="24"/>
              </w:rPr>
              <w:t>3</w:t>
            </w:r>
          </w:p>
        </w:tc>
        <w:tc>
          <w:tcPr>
            <w:tcW w:w="4640" w:type="pct"/>
          </w:tcPr>
          <w:p w14:paraId="0B03953A" w14:textId="77777777" w:rsidR="005C7877" w:rsidRPr="00C81573" w:rsidRDefault="005C7877" w:rsidP="00563D3D">
            <w:pPr>
              <w:spacing w:line="240" w:lineRule="auto"/>
              <w:ind w:firstLine="0"/>
              <w:rPr>
                <w:color w:val="000000"/>
                <w:szCs w:val="24"/>
              </w:rPr>
            </w:pPr>
            <w:r w:rsidRPr="00C81573">
              <w:rPr>
                <w:color w:val="000000"/>
                <w:szCs w:val="24"/>
              </w:rPr>
              <w:t>Нерандомизированные сравнительные исследования, в т.ч. когортные исследования</w:t>
            </w:r>
          </w:p>
        </w:tc>
      </w:tr>
      <w:tr w:rsidR="005C7877" w:rsidRPr="00C81573" w14:paraId="7ECA8EC7" w14:textId="77777777" w:rsidTr="00563D3D">
        <w:trPr>
          <w:divId w:val="1333020968"/>
        </w:trPr>
        <w:tc>
          <w:tcPr>
            <w:tcW w:w="360" w:type="pct"/>
          </w:tcPr>
          <w:p w14:paraId="12513766" w14:textId="77777777" w:rsidR="005C7877" w:rsidRPr="00C81573" w:rsidRDefault="005C7877" w:rsidP="00563D3D">
            <w:pPr>
              <w:spacing w:line="240" w:lineRule="auto"/>
              <w:ind w:firstLine="0"/>
              <w:jc w:val="center"/>
              <w:rPr>
                <w:color w:val="000000"/>
                <w:szCs w:val="24"/>
              </w:rPr>
            </w:pPr>
            <w:r w:rsidRPr="00C81573">
              <w:rPr>
                <w:color w:val="000000"/>
                <w:szCs w:val="24"/>
              </w:rPr>
              <w:t>4</w:t>
            </w:r>
          </w:p>
        </w:tc>
        <w:tc>
          <w:tcPr>
            <w:tcW w:w="4640" w:type="pct"/>
          </w:tcPr>
          <w:p w14:paraId="50C709AA" w14:textId="77777777" w:rsidR="005C7877" w:rsidRPr="00C81573" w:rsidRDefault="005C7877" w:rsidP="00563D3D">
            <w:pPr>
              <w:spacing w:line="240" w:lineRule="auto"/>
              <w:ind w:firstLine="0"/>
              <w:rPr>
                <w:color w:val="000000"/>
                <w:szCs w:val="24"/>
              </w:rPr>
            </w:pPr>
            <w:r w:rsidRPr="00C81573">
              <w:rPr>
                <w:color w:val="000000"/>
                <w:szCs w:val="24"/>
              </w:rPr>
              <w:t>Несравнительные исследования, описание клинического случая или серии случаев, исследования «случай-контроль»</w:t>
            </w:r>
          </w:p>
        </w:tc>
      </w:tr>
      <w:tr w:rsidR="005C7877" w:rsidRPr="00C81573" w14:paraId="596A93E5" w14:textId="77777777" w:rsidTr="00563D3D">
        <w:trPr>
          <w:divId w:val="1333020968"/>
        </w:trPr>
        <w:tc>
          <w:tcPr>
            <w:tcW w:w="360" w:type="pct"/>
          </w:tcPr>
          <w:p w14:paraId="3BD46832" w14:textId="77777777" w:rsidR="005C7877" w:rsidRPr="00C81573" w:rsidRDefault="005C7877" w:rsidP="00563D3D">
            <w:pPr>
              <w:spacing w:line="240" w:lineRule="auto"/>
              <w:ind w:firstLine="0"/>
              <w:jc w:val="center"/>
              <w:rPr>
                <w:color w:val="000000"/>
                <w:szCs w:val="24"/>
              </w:rPr>
            </w:pPr>
            <w:r w:rsidRPr="00C81573">
              <w:rPr>
                <w:color w:val="000000"/>
                <w:szCs w:val="24"/>
              </w:rPr>
              <w:t>5</w:t>
            </w:r>
          </w:p>
        </w:tc>
        <w:tc>
          <w:tcPr>
            <w:tcW w:w="4640" w:type="pct"/>
          </w:tcPr>
          <w:p w14:paraId="5EAE2266" w14:textId="77777777" w:rsidR="005C7877" w:rsidRPr="00C81573" w:rsidRDefault="005C7877" w:rsidP="00563D3D">
            <w:pPr>
              <w:spacing w:line="240" w:lineRule="auto"/>
              <w:ind w:firstLine="0"/>
              <w:rPr>
                <w:color w:val="000000"/>
                <w:szCs w:val="24"/>
              </w:rPr>
            </w:pPr>
            <w:r w:rsidRPr="00C81573">
              <w:rPr>
                <w:color w:val="000000"/>
                <w:szCs w:val="24"/>
              </w:rPr>
              <w:t>Имеется лишь обоснование механизма действия вмешательства (доклинические исследования) или мнение экспертов</w:t>
            </w:r>
          </w:p>
        </w:tc>
      </w:tr>
    </w:tbl>
    <w:p w14:paraId="68B8A728" w14:textId="77777777" w:rsidR="005C7877" w:rsidRPr="00C81573" w:rsidRDefault="005C7877" w:rsidP="005C7877">
      <w:pPr>
        <w:pStyle w:val="aff7"/>
        <w:divId w:val="1333020968"/>
        <w:rPr>
          <w:rStyle w:val="aff9"/>
        </w:rPr>
      </w:pPr>
    </w:p>
    <w:p w14:paraId="0EF1AA1D" w14:textId="77777777" w:rsidR="009C0364" w:rsidRPr="00C81573" w:rsidRDefault="009C0364" w:rsidP="009C0364">
      <w:pPr>
        <w:divId w:val="1333020968"/>
      </w:pPr>
      <w:bookmarkStart w:id="109" w:name="_Ref515967732"/>
      <w:r w:rsidRPr="00C81573">
        <w:rPr>
          <w:b/>
        </w:rPr>
        <w:lastRenderedPageBreak/>
        <w:t xml:space="preserve">Таблица </w:t>
      </w:r>
      <w:bookmarkEnd w:id="109"/>
      <w:r w:rsidRPr="00C81573">
        <w:rPr>
          <w:b/>
        </w:rPr>
        <w:t>3.</w:t>
      </w:r>
      <w:r w:rsidRPr="00C81573">
        <w:t>Шкала оценки уровней убедительности рекомендаций(УУР)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4"/>
      </w:tblGrid>
      <w:tr w:rsidR="009C0364" w:rsidRPr="00C81573" w14:paraId="33F1FD49" w14:textId="77777777" w:rsidTr="00563D3D">
        <w:trPr>
          <w:divId w:val="1333020968"/>
        </w:trPr>
        <w:tc>
          <w:tcPr>
            <w:tcW w:w="712" w:type="pct"/>
          </w:tcPr>
          <w:p w14:paraId="6817C252" w14:textId="77777777" w:rsidR="009C0364" w:rsidRPr="00C81573" w:rsidRDefault="009C0364" w:rsidP="00563D3D">
            <w:pPr>
              <w:spacing w:line="240" w:lineRule="auto"/>
              <w:ind w:firstLine="0"/>
              <w:jc w:val="center"/>
              <w:rPr>
                <w:b/>
                <w:color w:val="000000"/>
                <w:szCs w:val="24"/>
              </w:rPr>
            </w:pPr>
            <w:r w:rsidRPr="00C81573">
              <w:rPr>
                <w:b/>
                <w:color w:val="000000"/>
                <w:szCs w:val="24"/>
              </w:rPr>
              <w:t>УУР</w:t>
            </w:r>
          </w:p>
        </w:tc>
        <w:tc>
          <w:tcPr>
            <w:tcW w:w="4288" w:type="pct"/>
          </w:tcPr>
          <w:p w14:paraId="7286AEEF" w14:textId="77777777" w:rsidR="009C0364" w:rsidRPr="00C81573" w:rsidRDefault="009C0364" w:rsidP="00563D3D">
            <w:pPr>
              <w:spacing w:line="240" w:lineRule="auto"/>
              <w:ind w:firstLine="0"/>
              <w:jc w:val="center"/>
              <w:rPr>
                <w:b/>
                <w:color w:val="000000"/>
                <w:szCs w:val="24"/>
              </w:rPr>
            </w:pPr>
            <w:r w:rsidRPr="00C81573">
              <w:rPr>
                <w:b/>
                <w:color w:val="000000"/>
                <w:szCs w:val="24"/>
              </w:rPr>
              <w:t>Расшифровка</w:t>
            </w:r>
          </w:p>
        </w:tc>
      </w:tr>
      <w:tr w:rsidR="009C0364" w:rsidRPr="00C81573" w14:paraId="4FAF8644" w14:textId="77777777" w:rsidTr="00563D3D">
        <w:trPr>
          <w:divId w:val="1333020968"/>
          <w:trHeight w:val="1060"/>
        </w:trPr>
        <w:tc>
          <w:tcPr>
            <w:tcW w:w="712" w:type="pct"/>
          </w:tcPr>
          <w:p w14:paraId="658EBA1A" w14:textId="77777777" w:rsidR="009C0364" w:rsidRPr="00C81573" w:rsidRDefault="009C0364" w:rsidP="00563D3D">
            <w:pPr>
              <w:spacing w:line="240" w:lineRule="auto"/>
              <w:ind w:firstLine="0"/>
              <w:jc w:val="center"/>
              <w:rPr>
                <w:color w:val="000000"/>
                <w:szCs w:val="24"/>
              </w:rPr>
            </w:pPr>
            <w:r w:rsidRPr="00C81573">
              <w:rPr>
                <w:color w:val="000000"/>
                <w:szCs w:val="24"/>
                <w:lang w:val="en-US"/>
              </w:rPr>
              <w:t>A</w:t>
            </w:r>
          </w:p>
        </w:tc>
        <w:tc>
          <w:tcPr>
            <w:tcW w:w="4288" w:type="pct"/>
          </w:tcPr>
          <w:p w14:paraId="2F865675" w14:textId="77777777" w:rsidR="009C0364" w:rsidRPr="00C81573" w:rsidRDefault="009C0364" w:rsidP="00563D3D">
            <w:pPr>
              <w:spacing w:line="240" w:lineRule="auto"/>
              <w:ind w:firstLine="0"/>
              <w:rPr>
                <w:color w:val="000000"/>
                <w:szCs w:val="24"/>
              </w:rPr>
            </w:pPr>
            <w:r w:rsidRPr="00C81573">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C81573" w14:paraId="66AB16C1" w14:textId="77777777" w:rsidTr="00563D3D">
        <w:trPr>
          <w:divId w:val="1333020968"/>
          <w:trHeight w:val="558"/>
        </w:trPr>
        <w:tc>
          <w:tcPr>
            <w:tcW w:w="712" w:type="pct"/>
          </w:tcPr>
          <w:p w14:paraId="1BBECEA6" w14:textId="77777777" w:rsidR="009C0364" w:rsidRPr="00C81573" w:rsidRDefault="009C0364" w:rsidP="00563D3D">
            <w:pPr>
              <w:spacing w:line="240" w:lineRule="auto"/>
              <w:ind w:firstLine="0"/>
              <w:jc w:val="center"/>
              <w:rPr>
                <w:color w:val="000000"/>
                <w:szCs w:val="24"/>
              </w:rPr>
            </w:pPr>
            <w:r w:rsidRPr="00C81573">
              <w:rPr>
                <w:color w:val="000000"/>
                <w:szCs w:val="24"/>
              </w:rPr>
              <w:t>B</w:t>
            </w:r>
          </w:p>
        </w:tc>
        <w:tc>
          <w:tcPr>
            <w:tcW w:w="4288" w:type="pct"/>
          </w:tcPr>
          <w:p w14:paraId="020A7805" w14:textId="77777777" w:rsidR="009C0364" w:rsidRPr="00C81573" w:rsidRDefault="009C0364" w:rsidP="00563D3D">
            <w:pPr>
              <w:spacing w:line="240" w:lineRule="auto"/>
              <w:ind w:firstLine="0"/>
              <w:rPr>
                <w:color w:val="000000"/>
                <w:szCs w:val="24"/>
              </w:rPr>
            </w:pPr>
            <w:r w:rsidRPr="00C81573">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C81573" w14:paraId="47367363" w14:textId="77777777" w:rsidTr="00563D3D">
        <w:trPr>
          <w:divId w:val="1333020968"/>
          <w:trHeight w:val="798"/>
        </w:trPr>
        <w:tc>
          <w:tcPr>
            <w:tcW w:w="712" w:type="pct"/>
          </w:tcPr>
          <w:p w14:paraId="4C94DA22" w14:textId="77777777" w:rsidR="009C0364" w:rsidRPr="00C81573" w:rsidRDefault="009C0364" w:rsidP="00563D3D">
            <w:pPr>
              <w:spacing w:line="240" w:lineRule="auto"/>
              <w:ind w:firstLine="0"/>
              <w:jc w:val="center"/>
              <w:rPr>
                <w:color w:val="000000"/>
                <w:szCs w:val="24"/>
              </w:rPr>
            </w:pPr>
            <w:r w:rsidRPr="00C81573">
              <w:rPr>
                <w:color w:val="000000"/>
                <w:szCs w:val="24"/>
              </w:rPr>
              <w:t>C</w:t>
            </w:r>
          </w:p>
        </w:tc>
        <w:tc>
          <w:tcPr>
            <w:tcW w:w="4288" w:type="pct"/>
          </w:tcPr>
          <w:p w14:paraId="05812A0A" w14:textId="77777777" w:rsidR="009C0364" w:rsidRPr="00C81573" w:rsidRDefault="009C0364" w:rsidP="00563D3D">
            <w:pPr>
              <w:spacing w:line="240" w:lineRule="auto"/>
              <w:ind w:firstLine="0"/>
              <w:rPr>
                <w:color w:val="000000"/>
                <w:szCs w:val="24"/>
              </w:rPr>
            </w:pPr>
            <w:r w:rsidRPr="00C81573">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0EF567D2" w14:textId="77777777" w:rsidR="001D24E4" w:rsidRPr="00C81573" w:rsidRDefault="001D24E4" w:rsidP="00F756F0">
      <w:pPr>
        <w:pStyle w:val="aff7"/>
        <w:divId w:val="1333020968"/>
        <w:rPr>
          <w:rStyle w:val="aff9"/>
        </w:rPr>
      </w:pPr>
    </w:p>
    <w:p w14:paraId="779CA85F" w14:textId="77777777" w:rsidR="00275A41" w:rsidRPr="00C81573" w:rsidRDefault="00CB71DA" w:rsidP="00F756F0">
      <w:pPr>
        <w:pStyle w:val="aff7"/>
        <w:divId w:val="1333020968"/>
        <w:rPr>
          <w:rFonts w:eastAsia="Times New Roman"/>
        </w:rPr>
      </w:pPr>
      <w:r w:rsidRPr="00C81573">
        <w:rPr>
          <w:rStyle w:val="aff9"/>
        </w:rPr>
        <w:t>Порядок обновления клинических рекомендаций.</w:t>
      </w:r>
    </w:p>
    <w:p w14:paraId="5156E9DB" w14:textId="77777777" w:rsidR="00F05351" w:rsidRDefault="00CB71DA" w:rsidP="00F05351">
      <w:r w:rsidRPr="00C81573">
        <w:t xml:space="preserve">Механизм обновления клинических рекомендаций предусматривает их систематическую актуализацию – не реже чем один раз в три </w:t>
      </w:r>
      <w:r w:rsidR="00221384" w:rsidRPr="00C81573">
        <w:t xml:space="preserve">года,а также </w:t>
      </w:r>
      <w:r w:rsidRPr="00C81573">
        <w:t xml:space="preserve">при появлении </w:t>
      </w:r>
      <w:r w:rsidR="00221384" w:rsidRPr="00C81573">
        <w:t>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bookmarkStart w:id="110" w:name="__RefHeading___doc_a3"/>
      <w:bookmarkStart w:id="111" w:name="_Toc11747753"/>
    </w:p>
    <w:p w14:paraId="225C9373" w14:textId="77777777" w:rsidR="00F05351" w:rsidRDefault="00F05351" w:rsidP="00F05351"/>
    <w:p w14:paraId="65F4D525" w14:textId="0E565DE3" w:rsidR="000414F6" w:rsidRPr="00C81573" w:rsidRDefault="00CB71DA" w:rsidP="00F05351">
      <w:pPr>
        <w:pStyle w:val="afff1"/>
      </w:pPr>
      <w:bookmarkStart w:id="112" w:name="_Toc103332118"/>
      <w:r w:rsidRPr="00C81573">
        <w:lastRenderedPageBreak/>
        <w:t xml:space="preserve">Приложение А3. </w:t>
      </w:r>
      <w:bookmarkEnd w:id="110"/>
      <w:r w:rsidR="009C0364" w:rsidRPr="00C81573">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rsidRPr="00C81573">
        <w:t>,</w:t>
      </w:r>
      <w:r w:rsidR="009C0364" w:rsidRPr="00C81573">
        <w:t xml:space="preserve"> инструкции по прим</w:t>
      </w:r>
      <w:r w:rsidR="003527A8" w:rsidRPr="00C81573">
        <w:t>енению лекарственного препарата</w:t>
      </w:r>
      <w:bookmarkEnd w:id="111"/>
      <w:bookmarkEnd w:id="112"/>
    </w:p>
    <w:p w14:paraId="45F24736" w14:textId="7C95E7E9" w:rsidR="00413554" w:rsidRDefault="00413554" w:rsidP="00413554">
      <w:pPr>
        <w:pStyle w:val="2"/>
      </w:pPr>
      <w:bookmarkStart w:id="113" w:name="_Toc35277475"/>
      <w:bookmarkStart w:id="114" w:name="_Toc103332119"/>
      <w:r>
        <w:t>Приложение А3.1. Режимы лекарственного лечения ЛМЗ</w:t>
      </w:r>
      <w:bookmarkEnd w:id="113"/>
      <w:bookmarkEnd w:id="114"/>
    </w:p>
    <w:p w14:paraId="7AA2AC1E" w14:textId="77777777" w:rsidR="00413554" w:rsidRPr="006641A3" w:rsidRDefault="00413554" w:rsidP="00413554">
      <w:pPr>
        <w:pStyle w:val="affff"/>
        <w:spacing w:before="100" w:after="100" w:line="360" w:lineRule="auto"/>
        <w:rPr>
          <w:i/>
          <w:iCs/>
        </w:rPr>
      </w:pPr>
      <w:r w:rsidRPr="006641A3">
        <w:rPr>
          <w:i/>
          <w:iCs/>
        </w:rPr>
        <w:t>При проведении химиотерапии необходимо контролировать вес пациента и производить пересчет доз химиопрепаратов при изменении веса.</w:t>
      </w:r>
    </w:p>
    <w:p w14:paraId="4DB2025E" w14:textId="0685BC38" w:rsidR="00413554" w:rsidRPr="006641A3" w:rsidRDefault="00413554" w:rsidP="00413554">
      <w:pPr>
        <w:rPr>
          <w:rFonts w:eastAsia="Times New Roman"/>
          <w:b/>
          <w:szCs w:val="24"/>
          <w:lang w:eastAsia="ru-RU"/>
        </w:rPr>
      </w:pPr>
      <w:r w:rsidRPr="006641A3">
        <w:rPr>
          <w:rFonts w:eastAsia="Times New Roman"/>
          <w:b/>
          <w:szCs w:val="24"/>
          <w:lang w:eastAsia="ru-RU"/>
        </w:rPr>
        <w:t>Монотерапия</w:t>
      </w:r>
      <w:r>
        <w:rPr>
          <w:rFonts w:eastAsia="Times New Roman"/>
          <w:b/>
          <w:szCs w:val="24"/>
          <w:lang w:eastAsia="ru-RU"/>
        </w:rPr>
        <w:t xml:space="preserve"> </w:t>
      </w:r>
      <w:r w:rsidRPr="006641A3">
        <w:rPr>
          <w:rFonts w:eastAsia="Times New Roman"/>
          <w:b/>
          <w:szCs w:val="24"/>
          <w:lang w:eastAsia="ru-RU"/>
        </w:rPr>
        <w:t>ритуксимабом**</w:t>
      </w:r>
      <w:r w:rsidRPr="006641A3">
        <w:fldChar w:fldCharType="begin" w:fldLock="1"/>
      </w:r>
      <w:r w:rsidR="007D1DD6">
        <w:instrText>ADDIN CSL_CITATION {"citationItems":[{"id":"ITEM-1","itemData":{"DOI":"10.1016/S1470-2045(14)70027-0","ISSN":"14745488","abstract":"Background: Patients with advanced-stage, low-tumour-burden follicular lymphoma have conventionally undergone watchful waiting until disease progression. We assessed whether rituximab use could delay the need for chemotherapy or radiotherapy compared with watchful waiting and the effect of this strategy on quality of life (QoL). Methods: Asymptomatic patients (aged ≥18 years) with low-tumour-burden follicular lymphoma (grades 1, 2, and 3a) were randomly assigned centrally (1:1:1), by the minimisation approach stratified by institution, grade, stage, and age, to watchful waiting, rituximab 375 mg/m2 weekly for 4 weeks (rituximab induction), or rituximab induction followed by a maintenance schedule of 12 further infusions given at 2-monthly intervals for 2 years (maintenance rituximab). On Sept 30, 2007, recruitment into the rituximab induction group was closed and the study was amended to a two-arm study. The primary endpoints were time to start of new treatment and QoL at month 7 (ie, 6 months after completion of rituximab induction). All randomly assigned patients were included in the analysis of time to start of new treatment on an intention-to-treat basis. The main study is now completed and is in long-term follow-up. The study is registered with ClinicalTrials.gov, NCT00112931. Findings: Between Oct 15, 2004, and March 25, 2009, 379 patients from 118 centres in the UK, Australia, New Zealand, Turkey, and Poland were randomly assigned to watchful waiting or maintenance rituximab. 84 patients were recruited to the rituximab induction group before it was closed early. There was a significant difference in the time to start of new treatment, with 46% (95% CI 39-53) of patients in the watchful waiting group not needing treatment at 3 years compared with 88% (83-92) in the maintenance rituximab group (hazard ratio [HR] 0·21, 95% CI 0·14-0·31; p&lt;0·0001). 78% (95% CI 69-87) of patients in the rituximab induction group did not need treatment at 3 years, which was significantly more than in the watchful waiting group (HR 0·35, 95% CI 0·22-0·56; p&lt;0·0001), but no different compared with the maintenance rituximab group (0·75, 0·41-1·34; p=0·33). Compared with the watchful waiting group, patients in the maintenance rituximab group had significant improvements in the Mental Adjustment to Cancer scale score (p=0·0004), and Illness Coping Style score (p=0·0012) between baseline and month 7. Patients in the rituximab induction group did not show improvements in thei…","author":[{"dropping-particle":"","family":"Ardeshna","given":"Kirit M.","non-dropping-particle":"","parse-names":false,"suffix":""},{"dropping-particle":"","family":"Qian","given":"Wendi","non-dropping-particle":"","parse-names":false,"suffix":""},{"dropping-particle":"","family":"Smith","given":"Paul","non-dropping-particle":"","parse-names":false,"suffix":""},{"dropping-particle":"","family":"Braganca","given":"Nivette","non-dropping-particle":"","parse-names":false,"suffix":""},{"dropping-particle":"","family":"Lowry","given":"Lisa","non-dropping-particle":"","parse-names":false,"suffix":""},{"dropping-particle":"","family":"Patrick","given":"Pip","non-dropping-particle":"","parse-names":false,"suffix":""},{"dropping-particle":"","family":"Warden","given":"June","non-dropping-particle":"","parse-names":false,"suffix":""},{"dropping-particle":"","family":"Stevens","given":"Lindsey","non-dropping-particle":"","parse-names":false,"suffix":""},{"dropping-particle":"","family":"Pocock","given":"Christopher F.E.","non-dropping-particle":"","parse-names":false,"suffix":""},{"dropping-particle":"","family":"Miall","given":"Fiona","non-dropping-particle":"","parse-names":false,"suffix":""},{"dropping-particle":"","family":"Cunningham","given":"David","non-dropping-particle":"","parse-names":false,"suffix":""},{"dropping-particle":"","family":"Davies","given":"John","non-dropping-particle":"","parse-names":false,"suffix":""},{"dropping-particle":"","family":"Jack","given":"Andrew","non-dropping-particle":"","parse-names":false,"suffix":""},{"dropping-particle":"","family":"Stephens","given":"Richard","non-dropping-particle":"","parse-names":false,"suffix":""},{"dropping-particle":"","family":"Walewski","given":"Jan","non-dropping-particle":"","parse-names":false,"suffix":""},{"dropping-particle":"","family":"Ferhanoglu","given":"Burhan","non-dropping-particle":"","parse-names":false,"suffix":""},{"dropping-particle":"","family":"Bradstock","given":"Ken","non-dropping-particle":"","parse-names":false,"suffix":""},{"dropping-particle":"","family":"Linch","given":"David C.","non-dropping-particle":"","parse-names":false,"suffix":""}],"container-title":"The Lancet Oncology","id":"ITEM-1","issue":"4","issued":{"date-parts":[["2014","4"]]},"page":"424-435","publisher":"Lancet Publishing Group","title":"Rituximab versus a watch-and-wait approach in patients with advanced-stage, asymptomatic, non-bulky follicular lymphoma: An open-label randomised phase 3 trial","type":"article-journal","volume":"15"},"uris":["http://www.mendeley.com/documents/?uuid=72b023b1-677d-367d-89a9-3120408bebb8"]}],"mendeley":{"formattedCitation":"[30]","plainTextFormattedCitation":"[30]","previouslyFormattedCitation":"[30]"},"properties":{"noteIndex":0},"schema":"https://github.com/citation-style-language/schema/raw/master/csl-citation.json"}</w:instrText>
      </w:r>
      <w:r w:rsidRPr="006641A3">
        <w:fldChar w:fldCharType="separate"/>
      </w:r>
      <w:r w:rsidR="001B5B91" w:rsidRPr="001B5B91">
        <w:rPr>
          <w:noProof/>
        </w:rPr>
        <w:t>[30]</w:t>
      </w:r>
      <w:r w:rsidRPr="006641A3">
        <w:fldChar w:fldCharType="end"/>
      </w:r>
    </w:p>
    <w:p w14:paraId="4111B993" w14:textId="77777777" w:rsidR="00413554" w:rsidRPr="002740E5" w:rsidRDefault="00413554" w:rsidP="00A72B1B">
      <w:pPr>
        <w:numPr>
          <w:ilvl w:val="0"/>
          <w:numId w:val="24"/>
        </w:numPr>
        <w:contextualSpacing/>
        <w:rPr>
          <w:rFonts w:eastAsia="Times New Roman"/>
          <w:b/>
          <w:szCs w:val="24"/>
          <w:lang w:eastAsia="ru-RU"/>
        </w:rPr>
      </w:pPr>
      <w:r w:rsidRPr="006641A3">
        <w:rPr>
          <w:rFonts w:eastAsia="Times New Roman"/>
          <w:szCs w:val="24"/>
          <w:lang w:eastAsia="ru-RU"/>
        </w:rPr>
        <w:t>Ритуксимаб** 375 мг/м</w:t>
      </w:r>
      <w:r w:rsidRPr="006641A3">
        <w:rPr>
          <w:rFonts w:eastAsia="Times New Roman"/>
          <w:szCs w:val="24"/>
          <w:vertAlign w:val="superscript"/>
          <w:lang w:eastAsia="ru-RU"/>
        </w:rPr>
        <w:t>2</w:t>
      </w:r>
      <w:r w:rsidRPr="006641A3">
        <w:rPr>
          <w:rFonts w:eastAsia="Times New Roman"/>
          <w:szCs w:val="24"/>
          <w:lang w:eastAsia="ru-RU"/>
        </w:rPr>
        <w:t xml:space="preserve"> в/в кап., 1 раз в неделю в течение 4 недель</w:t>
      </w:r>
    </w:p>
    <w:p w14:paraId="600905AE" w14:textId="77777777" w:rsidR="00413554" w:rsidRDefault="00413554" w:rsidP="00413554">
      <w:pPr>
        <w:contextualSpacing/>
        <w:rPr>
          <w:rFonts w:eastAsia="Times New Roman"/>
          <w:szCs w:val="24"/>
          <w:lang w:eastAsia="ru-RU"/>
        </w:rPr>
      </w:pPr>
    </w:p>
    <w:p w14:paraId="552BD6C6" w14:textId="13F5F5E5" w:rsidR="00413554" w:rsidRPr="001B5B91" w:rsidRDefault="00413554" w:rsidP="00413554">
      <w:pPr>
        <w:pStyle w:val="afd"/>
        <w:ind w:firstLine="0"/>
        <w:rPr>
          <w:rFonts w:eastAsia="Times New Roman"/>
          <w:b/>
          <w:szCs w:val="24"/>
          <w:lang w:eastAsia="ru-RU"/>
        </w:rPr>
      </w:pPr>
      <w:r w:rsidRPr="00413554">
        <w:rPr>
          <w:rFonts w:eastAsia="Times New Roman"/>
          <w:b/>
          <w:szCs w:val="24"/>
          <w:lang w:val="en-US" w:eastAsia="ru-RU"/>
        </w:rPr>
        <w:t>R</w:t>
      </w:r>
      <w:r w:rsidRPr="00413554">
        <w:rPr>
          <w:rFonts w:eastAsia="Times New Roman"/>
          <w:b/>
          <w:szCs w:val="24"/>
          <w:lang w:eastAsia="ru-RU"/>
        </w:rPr>
        <w:t>-</w:t>
      </w:r>
      <w:r>
        <w:rPr>
          <w:rFonts w:eastAsia="Times New Roman"/>
          <w:b/>
          <w:szCs w:val="24"/>
          <w:lang w:eastAsia="ru-RU"/>
        </w:rPr>
        <w:t xml:space="preserve">хлорамбуцил** </w:t>
      </w:r>
      <w:r w:rsidR="001B5B91">
        <w:rPr>
          <w:rFonts w:eastAsia="Times New Roman"/>
          <w:b/>
          <w:szCs w:val="24"/>
          <w:lang w:eastAsia="ru-RU"/>
        </w:rPr>
        <w:fldChar w:fldCharType="begin" w:fldLock="1"/>
      </w:r>
      <w:r w:rsidR="004D13EB">
        <w:rPr>
          <w:rFonts w:eastAsia="Times New Roman"/>
          <w:b/>
          <w:szCs w:val="24"/>
          <w:lang w:eastAsia="ru-RU"/>
        </w:rPr>
        <w:instrText>ADDIN CSL_CITATION {"citationItems":[{"id":"ITEM-1","itemData":{"DOI":"10.1182/BLOOD.V114.22.3939.3939","ISSN":"0006-4971","abstract":"Abstract 3939Poster Board III-875The available clinical information on MALT lymphoma is mostly based on retrospective series. In 2003 the International Extranodal Lymphoma Study Group launched the IELSG-19 study to compare Chlorambucil alone versus the combination of Chlorambucil and Rituximab. Because of the excellent initial recruitment, a third arm with Rituximab alone was later introduced. The study is still ongoing and at the end of July 2009, 403 patients (pts) of the 450 planned have entered. The Italian Lymphoma Intergroup and the French GELA group were the main contributors to this study together with Cancer Research UK, the Catalan Hematology Group and the Oncology Institute of Southern Switzerland.All the MALT lymphoma pts with localized disease at any extranodal site who do not respond or are not suitable to local therapy, the H.pylori-negative gastric lymphomas or those who failed antibiotic therapy are eligible, as well as those with disseminated or multifocal MALT lymphoma. Histology review of all cases is underway.A planned interim analysis was performed in April 2009 on the first 320 pts, 169 men (53%) and 151 women (47%); 292 pts (91%) had no previous treatment. The treatment was completed in in 86% of the 320 analysed pts, in 64% without dose changes or time delay. The primary MALT lymphoma site was the stomach in 138 pts (43%);182 pts (57%) had a non-gastric presentation. The most common non-gastric sites were the lungs (N=42, 13%), the ocular adnexa (N=32; 10%), the intestine (N=29; 9%), the salivary glands (N=26; 8%), and the skin (N=21; 7%). In 95 pts (30%) the lymphoma involved more than 1 extranodal site. Lymph node involvement was present in 118 pts (37%); 181 pts (58%) had localized disease (Ann Arbor stage I-II) while 129 (42%) had advanced stage. The ECOG performance status was 0 in 230 pts (74%). According to the international prognostic index (IPI) 190 pts (59%) had a low risk, 68 (21%) a low-intermediate risk, 54 (17%) an intermediate-high risk, and only 8 (2.5%) a high risk score. B-symptoms were present in 33 pts (11%) and LDH levels were higher than normal in 31 (10%).The median age is 61 year (range, 26-81). At a median follow-up of 40 months, overall survival (OS), progression-free survival (PFS) and event-free survival (EFS) are 96%, 88%, and 62%, respectively.Among the main clinical characteristics, the presence of B-symptoms, elevated LDH, more than one extranodal site, advanced stage, poorer performance and unfav…","author":[{"dropping-particle":"","family":"Zucca","given":"Emanuele","non-dropping-particle":"","parse-names":false,"suffix":""},{"dropping-particle":"","family":"Conconi","given":"Annarita","non-dropping-particle":"","parse-names":false,"suffix":""},{"dropping-particle":"","family":"Martelli","given":"Maurizio","non-dropping-particle":"","parse-names":false,"suffix":""},{"dropping-particle":"","family":"Thieblemont","given":"Catherine","non-dropping-particle":"","parse-names":false,"suffix":""},{"dropping-particle":"","family":"Johnson","given":"Peter","non-dropping-particle":"","parse-names":false,"suffix":""},{"dropping-particle":"","family":"Guillermo","given":"Armando Lopez","non-dropping-particle":"","parse-names":false,"suffix":""},{"dropping-particle":"","family":"Bouabdallah","given":"Reda","non-dropping-particle":"","parse-names":false,"suffix":""},{"dropping-particle":"","family":"Tucci","given":"Alessandra","non-dropping-particle":"","parse-names":false,"suffix":""},{"dropping-particle":"","family":"Vitolo","given":"Umberto","non-dropping-particle":"","parse-names":false,"suffix":""},{"dropping-particle":"","family":"Coiffier","given":"Bertrand","non-dropping-particle":"","parse-names":false,"suffix":""},{"dropping-particle":"","family":"Devizzi","given":"Liliana","non-dropping-particle":"","parse-names":false,"suffix":""},{"dropping-particle":"","family":"Jardin","given":"Fabrice","non-dropping-particle":"","parse-names":false,"suffix":""},{"dropping-particle":"","family":"Sebban","given":"Catherine","non-dropping-particle":"","parse-names":false,"suffix":""},{"dropping-particle":"","family":"Pinotti","given":"Graziella","non-dropping-particle":"","parse-names":false,"suffix":""},{"dropping-particle":"","family":"Morschhauser","given":"Franck","non-dropping-particle":"","parse-names":false,"suffix":""},{"dropping-particle":"","family":"Pettengell","given":"Ruth","non-dropping-particle":"","parse-names":false,"suffix":""},{"dropping-particle":"","family":"Bosly","given":"André","non-dropping-particle":"","parse-names":false,"suffix":""},{"dropping-particle":"","family":"Montserrat","given":"Emilio","non-dropping-particle":"","parse-names":false,"suffix":""},{"dropping-particle":"","family":"Bellei","given":"Monica","non-dropping-particle":"","parse-names":false,"suffix":""},{"dropping-particle":"","family":"Pileri","given":"Stefano A.","non-dropping-particle":"","parse-names":false,"suffix":""},{"dropping-particle":"","family":"Copie-Bergman","given":"Christiane","non-dropping-particle":"","parse-names":false,"suffix":""},{"dropping-particle":"","family":"Campo","given":"Elias","non-dropping-particle":"","parse-names":false,"suffix":""},{"dropping-particle":"","family":"Jack","given":"Andrew","non-dropping-particle":"","parse-names":false,"suffix":""},{"dropping-particle":"","family":"Mazzucchelli","given":"Luca","non-dropping-particle":"","parse-names":false,"suffix":""},{"dropping-particle":"","family":"Floriani","given":"Irene","non-dropping-particle":"","parse-names":false,"suffix":""},{"dropping-particle":"","family":"Garavaglia","given":"Daniela","non-dropping-particle":"","parse-names":false,"suffix":""},{"dropping-particle":"","family":"Torri","given":"Valter","non-dropping-particle":"","parse-names":false,"suffix":""},{"dropping-particle":"","family":"Cavalli","given":"Franco","non-dropping-particle":"","parse-names":false,"suffix":""},{"dropping-particle":"","family":"Martinelli","given":"Giovanni","non-dropping-particle":"","parse-names":false,"suffix":""}],"container-title":"Blood","id":"ITEM-1","issue":"22","issued":{"date-parts":[["2009","11","20"]]},"page":"3939-3939","publisher":"American Society of Hematology","title":"Interim Analysis of the IELSG-19 Randomised Study of Chlorambucil Alone Versus Chlorambucil Plus Rituximab Versus Rituximab Alone in Extranodal Marginal Zone Lymphomas of Mucosa-Associated Lymphoid Tissue (MALT lymphoma).","type":"article-journal","volume":"114"},"uris":["http://www.mendeley.com/documents/?uuid=46bd42d7-72d4-3f3a-b0a8-4ebdc42d5da5"]}],"mendeley":{"formattedCitation":"[74]","plainTextFormattedCitation":"[74]","previouslyFormattedCitation":"[74]"},"properties":{"noteIndex":0},"schema":"https://github.com/citation-style-language/schema/raw/master/csl-citation.json"}</w:instrText>
      </w:r>
      <w:r w:rsidR="001B5B91">
        <w:rPr>
          <w:rFonts w:eastAsia="Times New Roman"/>
          <w:b/>
          <w:szCs w:val="24"/>
          <w:lang w:eastAsia="ru-RU"/>
        </w:rPr>
        <w:fldChar w:fldCharType="separate"/>
      </w:r>
      <w:r w:rsidR="00EF3174" w:rsidRPr="00EF3174">
        <w:rPr>
          <w:rFonts w:eastAsia="Times New Roman"/>
          <w:noProof/>
          <w:szCs w:val="24"/>
          <w:lang w:eastAsia="ru-RU"/>
        </w:rPr>
        <w:t>[74]</w:t>
      </w:r>
      <w:r w:rsidR="001B5B91">
        <w:rPr>
          <w:rFonts w:eastAsia="Times New Roman"/>
          <w:b/>
          <w:szCs w:val="24"/>
          <w:lang w:eastAsia="ru-RU"/>
        </w:rPr>
        <w:fldChar w:fldCharType="end"/>
      </w:r>
    </w:p>
    <w:p w14:paraId="4B84B694" w14:textId="77777777" w:rsidR="00413554" w:rsidRPr="006641A3" w:rsidRDefault="00413554" w:rsidP="00A72B1B">
      <w:pPr>
        <w:numPr>
          <w:ilvl w:val="0"/>
          <w:numId w:val="24"/>
        </w:numPr>
        <w:contextualSpacing/>
        <w:rPr>
          <w:rFonts w:eastAsia="Times New Roman"/>
          <w:szCs w:val="24"/>
          <w:lang w:eastAsia="ru-RU"/>
        </w:rPr>
      </w:pPr>
      <w:r w:rsidRPr="006641A3">
        <w:rPr>
          <w:rFonts w:eastAsia="Times New Roman"/>
          <w:szCs w:val="24"/>
          <w:lang w:eastAsia="ru-RU"/>
        </w:rPr>
        <w:t>Ритуксимаб**</w:t>
      </w:r>
    </w:p>
    <w:p w14:paraId="3D5D36C4" w14:textId="77777777" w:rsidR="00413554" w:rsidRPr="006641A3" w:rsidRDefault="00413554" w:rsidP="00A72B1B">
      <w:pPr>
        <w:numPr>
          <w:ilvl w:val="1"/>
          <w:numId w:val="24"/>
        </w:numPr>
        <w:contextualSpacing/>
        <w:rPr>
          <w:rFonts w:eastAsia="Times New Roman"/>
          <w:szCs w:val="24"/>
          <w:lang w:eastAsia="ru-RU"/>
        </w:rPr>
      </w:pPr>
      <w:r w:rsidRPr="006641A3">
        <w:rPr>
          <w:rFonts w:eastAsia="Times New Roman"/>
          <w:szCs w:val="24"/>
          <w:lang w:eastAsia="ru-RU"/>
        </w:rPr>
        <w:t>375 мг/м</w:t>
      </w:r>
      <w:r w:rsidRPr="006641A3">
        <w:rPr>
          <w:rFonts w:eastAsia="Times New Roman"/>
          <w:szCs w:val="24"/>
          <w:vertAlign w:val="superscript"/>
          <w:lang w:eastAsia="ru-RU"/>
        </w:rPr>
        <w:t>2</w:t>
      </w:r>
      <w:r w:rsidRPr="006641A3">
        <w:rPr>
          <w:rFonts w:eastAsia="Times New Roman"/>
          <w:szCs w:val="24"/>
          <w:lang w:eastAsia="ru-RU"/>
        </w:rPr>
        <w:t xml:space="preserve"> в/в кап., день 0 или 1 все циклы курса</w:t>
      </w:r>
    </w:p>
    <w:p w14:paraId="3C0ABF5E" w14:textId="77777777" w:rsidR="00413554" w:rsidRPr="006641A3" w:rsidRDefault="00413554" w:rsidP="00413554">
      <w:pPr>
        <w:ind w:left="1080" w:firstLine="336"/>
        <w:contextualSpacing/>
        <w:rPr>
          <w:rFonts w:eastAsia="Times New Roman"/>
          <w:szCs w:val="24"/>
          <w:lang w:eastAsia="ru-RU"/>
        </w:rPr>
      </w:pPr>
      <w:r w:rsidRPr="006641A3">
        <w:rPr>
          <w:rFonts w:eastAsia="Times New Roman"/>
          <w:szCs w:val="24"/>
          <w:lang w:eastAsia="ru-RU"/>
        </w:rPr>
        <w:t>или</w:t>
      </w:r>
    </w:p>
    <w:p w14:paraId="0DDB5FB8" w14:textId="37A31C11" w:rsidR="00413554" w:rsidRPr="00413554" w:rsidRDefault="00413554" w:rsidP="00A72B1B">
      <w:pPr>
        <w:numPr>
          <w:ilvl w:val="1"/>
          <w:numId w:val="24"/>
        </w:numPr>
        <w:contextualSpacing/>
        <w:rPr>
          <w:rFonts w:eastAsia="Times New Roman"/>
          <w:szCs w:val="24"/>
          <w:lang w:eastAsia="ru-RU"/>
        </w:rPr>
      </w:pPr>
      <w:r w:rsidRPr="006641A3">
        <w:rPr>
          <w:rFonts w:eastAsia="Times New Roman"/>
          <w:szCs w:val="24"/>
          <w:lang w:eastAsia="ru-RU"/>
        </w:rPr>
        <w:t>375 мг/м</w:t>
      </w:r>
      <w:r w:rsidRPr="006641A3">
        <w:rPr>
          <w:rFonts w:eastAsia="Times New Roman"/>
          <w:szCs w:val="24"/>
          <w:vertAlign w:val="superscript"/>
          <w:lang w:eastAsia="ru-RU"/>
        </w:rPr>
        <w:t>2</w:t>
      </w:r>
      <w:r w:rsidRPr="006641A3">
        <w:rPr>
          <w:rFonts w:eastAsia="Times New Roman"/>
          <w:szCs w:val="24"/>
          <w:lang w:eastAsia="ru-RU"/>
        </w:rPr>
        <w:t xml:space="preserve"> в/в кап. 1 цикл,</w:t>
      </w:r>
      <w:r w:rsidRPr="006641A3">
        <w:rPr>
          <w:szCs w:val="24"/>
        </w:rPr>
        <w:t xml:space="preserve"> далее ритуксимаб** 1400 мг п/к,</w:t>
      </w:r>
      <w:r w:rsidRPr="006641A3">
        <w:rPr>
          <w:rFonts w:eastAsia="Times New Roman"/>
          <w:szCs w:val="24"/>
          <w:lang w:eastAsia="ru-RU"/>
        </w:rPr>
        <w:t xml:space="preserve"> день 0 или 1</w:t>
      </w:r>
      <w:r>
        <w:rPr>
          <w:rFonts w:eastAsia="Times New Roman"/>
          <w:szCs w:val="24"/>
          <w:lang w:eastAsia="ru-RU"/>
        </w:rPr>
        <w:fldChar w:fldCharType="begin" w:fldLock="1"/>
      </w:r>
      <w:r w:rsidR="004D13EB">
        <w:rPr>
          <w:rFonts w:eastAsia="Times New Roman"/>
          <w:szCs w:val="24"/>
          <w:lang w:eastAsia="ru-RU"/>
        </w:rPr>
        <w:instrText>ADDIN CSL_CITATION {"citationItems":[{"id":"ITEM-1","itemData":{"ISSN":"2150-0878","PMID":"31086689","abstract":"Rituximab and hyaluronidase human is a new subcutaneous formulation of rituximab that was recently approved by the US Food and Drug Administration for the treatment of adults with follicular lymphoma, diffuse large B-cell lymphoma, and chronic lymphocytic leukemia. With data to support noninferior pharmacokinetics, similar outcomes, and comparable adverse events, rituximab and hyaluronidase human may offer a suitable alternative to intravenous rituximab that could improve convenience for patients and better utilize health-care resources.","author":[{"dropping-particle":"","family":"Yelvington","given":"Bradley J","non-dropping-particle":"","parse-names":false,"suffix":""}],"container-title":"Journal of the advanced practitioner in oncology","id":"ITEM-1","issue":"5","issued":{"date-parts":[["2018"]]},"page":"530-534","publisher":"Harborside Press","title":"Subcutaneous Rituximab in Follicular Lymphoma, Chronic Lymphocytic Leukemia, and Diffuse Large B-Cell Lymphoma.","type":"article-journal","volume":"9"},"uris":["http://www.mendeley.com/documents/?uuid=fbb0b8f4-6b58-3a10-b7d6-af3854030be8"]},{"id":"ITEM-2","itemData":{"DOI":"10.1007/s12325-017-0610-z","ISSN":"18658652","abstract":"Abstract: Rituximab (MabThera®/Rituxan®), a chimeric murine/human monoclonal antibody that binds specifically to the transmembrane antigen CD20, was the first therapeutic antibody to enter clinical practice for the treatment of cancer. As monotherapy and in combination with chemotherapy, rituximab has been shown to prolong progression-free survival and, in some indications overall survival, in patients with various B-cell malignancies, while having a well-established and manageable safety profile and a wide therapeutic window. As a result, rituximab is considered to have revolutionized treatment practices for patients with B-cell malignancies. A subcutaneous (SC) formulation of rituximab has been developed, comprising the same monoclonal antibody as the originally marketed formulation [rituximab concentrate for solution for intravenous (IV) infusion], and has undergone a detailed, sequential clinical development program. This program demonstrated that, at fixed doses, rituximab SC achieves non-inferior serum trough concentrations in patients with non-Hodgkin lymphoma and chronic lymphocytic leukemia, with comparable efficacy and safety relative to the IV formulation. The added benefit of rituximab SC was demonstrated in dedicated studies showing that rituximab SC allows for simplified and shortened drug preparation and administration times resulting in a reduced treatment burden for patients as well as improved resource utilization (efficiency) at the treatment facility. The improved efficiency of delivering rituximab’s benefit to patients may broaden patient access to rituximab therapy in areas with low levels of healthcare resources, including IV-chair capacity constraints. This article is a companion paper to G. Salles, et al., which is also published in this issue. Funding: F. Hoffmann-La Roche Ltd.","author":[{"dropping-particle":"","family":"Davies","given":"Andrew","non-dropping-particle":"","parse-names":false,"suffix":""},{"dropping-particle":"","family":"Berge","given":"Claude","non-dropping-particle":"","parse-names":false,"suffix":""},{"dropping-particle":"","family":"Boehnke","given":"Axel","non-dropping-particle":"","parse-names":false,"suffix":""},{"dropping-particle":"","family":"Dadabhoy","given":"Anjum","non-dropping-particle":"","parse-names":false,"suffix":""},{"dropping-particle":"","family":"Lugtenburg","given":"Pieternella","non-dropping-particle":"","parse-names":false,"suffix":""},{"dropping-particle":"","family":"Rule","given":"Simon","non-dropping-particle":"","parse-names":false,"suffix":""},{"dropping-particle":"","family":"Rummel","given":"Mathias","non-dropping-particle":"","parse-names":false,"suffix":""},{"dropping-particle":"","family":"McIntyre","given":"Christine","non-dropping-particle":"","parse-names":false,"suffix":""},{"dropping-particle":"","family":"Smith","given":"Rodney","non-dropping-particle":"","parse-names":false,"suffix":""},{"dropping-particle":"","family":"Badoux","given":"Xavier","non-dropping-particle":"","parse-names":false,"suffix":""}],"container-title":"Advances in Therapy","id":"ITEM-2","issue":"10","issued":{"date-parts":[["2017","10","1"]]},"page":"2210-2231","publisher":"Springer Healthcare","title":"Subcutaneous Rituximab for the Treatment of B-Cell Hematologic Malignancies: A Review of the Scientific Rationale and Clinical Development","type":"article","volume":"34"},"uris":["http://www.mendeley.com/documents/?uuid=c91e99c4-7e72-3803-909e-84f3e662a6e0"]},{"id":"ITEM-3","itemData":{"DOI":"10.1111/bjh.16227","ISSN":"0007-1048","abstract":"Rituximab is a standard treatment for non-Hodgkin diffuse large B-cell (DLBCL) and follicular (FL) lymphomas. A subcutaneous formulation was developed to improve the resource use of intravenous rituximab, with comparable efficacy and safety profiles except for increased administration-related reactions (ARRs). MabRella was a phase IIIb trial to assess the safety of switching from intravenous to subcutaneous administration of rituximab during first-line induction/maintenance for DLBCL or FL, focusing on ARRs. Efficacy, satisfaction and quality of life were also assessed. Patients received subcutaneous rituximab plus standard induction chemotherapy for DLBCL or FL for 4–7 cycles, and/or every 2 months maintenance monotherapy for FL for 6–12 cycles. The study included 140 patients: DLBCL, n = 29; FL, n = 111. Ninety-five percent of patients experienced adverse events, reaching grade ≥3 in 38·6% and were serious in 30·0%. AARs occurred in 48·6%, mostly (84·9%) at the injection site, with only 2·1% of patients reaching grade 3. The end-of-induction complete/unconfirmed complete response rate was 69·6%. After a median follow-up of 33·5 months, median disease-/event-/progression-free and overall survivals were not attained. The Rituximab Administration Satisfaction Questionnaire showed improvements in overall satisfaction and the EuroQoL-5D a good quality-of-life perception at induction/maintenance end. Therefore, switching to subcutaneous rituximab showed no new safety issues and maintained efficacy with improved satisfaction and quality of life.","author":[{"dropping-particle":"","family":"García‐Muñoz","given":"Ricardo","non-dropping-particle":"","parse-names":false,"suffix":""},{"dropping-particle":"","family":"Quero","given":"Cristina","non-dropping-particle":"","parse-names":false,"suffix":""},{"dropping-particle":"","family":"Pérez‐Persona","given":"Ernesto","non-dropping-particle":"","parse-names":false,"suffix":""},{"dropping-particle":"","family":"Domingo‐García","given":"Abel","non-dropping-particle":"","parse-names":false,"suffix":""},{"dropping-particle":"","family":"Pérez‐López","given":"Cristina","non-dropping-particle":"","parse-names":false,"suffix":""},{"dropping-particle":"","family":"Villaescusa‐de‐la‐Rosa","given":"Teresa","non-dropping-particle":"","parse-names":false,"suffix":""},{"dropping-particle":"","family":"Martínez‐Castro","given":"Ana M.","non-dropping-particle":"","parse-names":false,"suffix":""},{"dropping-particle":"","family":"Arguiñano‐Pérez","given":"José M.","non-dropping-particle":"","parse-names":false,"suffix":""},{"dropping-particle":"","family":"Parra‐Cuadrado","given":"Juan F.","non-dropping-particle":"","parse-names":false,"suffix":""},{"dropping-particle":"","family":"Panizo","given":"Carlos","non-dropping-particle":"","parse-names":false,"suffix":""}],"container-title":"British Journal of Haematology","id":"ITEM-3","issue":"5","issued":{"date-parts":[["2020","3","1"]]},"page":"661-673","publisher":"Blackwell Publishing Ltd","title":"Safety of switching from intravenous to subcutaneous rituximab during first‐line treatment of patients with non‐Hodgkin lymphoma: the Spanish population of the MabRella study","type":"article-journal","volume":"188"},"uris":["http://www.mendeley.com/documents/?uuid=89ca4d25-771e-3d22-9da5-61e99fb5ec3e"]},{"id":"ITEM-4","itemData":{"DOI":"10.3747/co.24.3470","ISSN":"17187729","abstract":"Rituximab is widely used for the treatment of non-Hodgkin lymphoma, being a key component in most therapeutic regimens. Administration of the intravenous (IV) formulation is lengthy and places a significant burden on health care resources and patient quality of life. A subcutaneous (sc) formulation that provides a fixed dose of rituximab is being examined in a number of studies. Results indicate that the pharmacokinetics are noninferior and response rates are comparable to those obtained with the IV formulation. Moreover, the sc formulation is preferred by patients and health care providers and reduces administration and chair time. Additional advantages include a lesser potential for dosing errors, shorter preparation time, reduced drug wastage, and fewer infusion-related reactions. Despite the success of the sc formulation, correct administration is needed to reduce administration-related reactions. By using a careful procedure, the sc formulation can be given safely and effectively, potentially reducing the burden on health care resources and improving quality of life for patients.","author":[{"dropping-particle":"","family":"Macdonald","given":"David","non-dropping-particle":"","parse-names":false,"suffix":""},{"dropping-particle":"","family":"Crosbie","given":"T.","non-dropping-particle":"","parse-names":false,"suffix":""},{"dropping-particle":"","family":"Christofides","given":"A.","non-dropping-particle":"","parse-names":false,"suffix":""},{"dropping-particle":"","family":"Assaily","given":"W.","non-dropping-particle":"","parse-names":false,"suffix":""},{"dropping-particle":"","family":"Wiernikowski","given":"J.","non-dropping-particle":"","parse-names":false,"suffix":""}],"container-title":"Current Oncology","id":"ITEM-4","issue":"1","issued":{"date-parts":[["2017"]]},"page":"33-39","publisher":"Multimed Inc.","title":"A canadian perspective on the subcutaneous administration of rituximab in non-Hodgkin lymphoma","type":"article","volume":"24"},"uris":["http://www.mendeley.com/documents/?uuid=0dec225e-8a47-3680-ba4d-891955a938a1"]}],"mendeley":{"formattedCitation":"[75–78]","plainTextFormattedCitation":"[75–78]","previouslyFormattedCitation":"[75–78]"},"properties":{"noteIndex":0},"schema":"https://github.com/citation-style-language/schema/raw/master/csl-citation.json"}</w:instrText>
      </w:r>
      <w:r>
        <w:rPr>
          <w:rFonts w:eastAsia="Times New Roman"/>
          <w:szCs w:val="24"/>
          <w:lang w:eastAsia="ru-RU"/>
        </w:rPr>
        <w:fldChar w:fldCharType="separate"/>
      </w:r>
      <w:r w:rsidR="00EF3174" w:rsidRPr="00EF3174">
        <w:rPr>
          <w:rFonts w:eastAsia="Times New Roman"/>
          <w:noProof/>
          <w:szCs w:val="24"/>
          <w:lang w:eastAsia="ru-RU"/>
        </w:rPr>
        <w:t>[75–78]</w:t>
      </w:r>
      <w:r>
        <w:rPr>
          <w:rFonts w:eastAsia="Times New Roman"/>
          <w:szCs w:val="24"/>
          <w:lang w:eastAsia="ru-RU"/>
        </w:rPr>
        <w:fldChar w:fldCharType="end"/>
      </w:r>
      <w:r w:rsidRPr="00413554">
        <w:rPr>
          <w:rFonts w:eastAsia="Times New Roman"/>
          <w:szCs w:val="24"/>
          <w:lang w:eastAsia="ru-RU"/>
        </w:rPr>
        <w:t xml:space="preserve"> </w:t>
      </w:r>
    </w:p>
    <w:p w14:paraId="33F3DE00" w14:textId="42097313" w:rsidR="00413554" w:rsidRPr="00413554" w:rsidRDefault="00413554" w:rsidP="00A72B1B">
      <w:pPr>
        <w:numPr>
          <w:ilvl w:val="0"/>
          <w:numId w:val="24"/>
        </w:numPr>
        <w:contextualSpacing/>
        <w:rPr>
          <w:rFonts w:eastAsia="Times New Roman"/>
          <w:szCs w:val="24"/>
          <w:lang w:eastAsia="ru-RU"/>
        </w:rPr>
      </w:pPr>
      <w:r w:rsidRPr="00413554">
        <w:rPr>
          <w:rFonts w:eastAsia="Times New Roman"/>
          <w:szCs w:val="24"/>
          <w:lang w:eastAsia="ru-RU"/>
        </w:rPr>
        <w:t>Хлорамбуцил</w:t>
      </w:r>
      <w:r>
        <w:rPr>
          <w:rFonts w:eastAsia="Times New Roman"/>
          <w:szCs w:val="24"/>
          <w:lang w:eastAsia="ru-RU"/>
        </w:rPr>
        <w:t>**</w:t>
      </w:r>
      <w:r w:rsidRPr="00413554">
        <w:rPr>
          <w:rFonts w:eastAsia="Times New Roman"/>
          <w:szCs w:val="24"/>
          <w:lang w:eastAsia="ru-RU"/>
        </w:rPr>
        <w:t xml:space="preserve"> 10 мг/м внутрь, дни 1-7</w:t>
      </w:r>
    </w:p>
    <w:p w14:paraId="2D987CC5" w14:textId="77777777" w:rsidR="00413554" w:rsidRPr="002740E5" w:rsidRDefault="00413554" w:rsidP="00413554">
      <w:pPr>
        <w:shd w:val="clear" w:color="auto" w:fill="FFFFFF"/>
        <w:spacing w:line="240" w:lineRule="auto"/>
        <w:ind w:left="360" w:firstLine="0"/>
        <w:jc w:val="left"/>
        <w:rPr>
          <w:rFonts w:eastAsia="Times New Roman"/>
          <w:color w:val="000000"/>
          <w:szCs w:val="24"/>
          <w:lang w:eastAsia="ru-RU"/>
        </w:rPr>
      </w:pPr>
      <w:r w:rsidRPr="002740E5">
        <w:rPr>
          <w:rFonts w:eastAsia="Times New Roman"/>
          <w:color w:val="000000"/>
          <w:szCs w:val="24"/>
          <w:lang w:eastAsia="ru-RU"/>
        </w:rPr>
        <w:t>Лечение возобновляется на 29 день</w:t>
      </w:r>
    </w:p>
    <w:p w14:paraId="33E1B019" w14:textId="77777777" w:rsidR="00413554" w:rsidRPr="000E7A74" w:rsidRDefault="00413554" w:rsidP="00413554">
      <w:pPr>
        <w:pStyle w:val="afd"/>
        <w:rPr>
          <w:rFonts w:eastAsia="Times New Roman"/>
          <w:b/>
          <w:szCs w:val="24"/>
          <w:highlight w:val="yellow"/>
          <w:lang w:eastAsia="ru-RU"/>
        </w:rPr>
      </w:pPr>
    </w:p>
    <w:p w14:paraId="742D7BE1" w14:textId="6300E3F4" w:rsidR="00413554" w:rsidRPr="006641A3" w:rsidRDefault="00413554" w:rsidP="00413554">
      <w:pPr>
        <w:rPr>
          <w:rFonts w:eastAsia="Times New Roman"/>
          <w:szCs w:val="24"/>
          <w:lang w:eastAsia="ru-RU"/>
        </w:rPr>
      </w:pPr>
      <w:r w:rsidRPr="006641A3">
        <w:rPr>
          <w:rFonts w:eastAsia="Times New Roman"/>
          <w:b/>
          <w:szCs w:val="24"/>
          <w:lang w:val="en-US" w:eastAsia="ru-RU"/>
        </w:rPr>
        <w:t>R</w:t>
      </w:r>
      <w:r w:rsidRPr="006641A3">
        <w:rPr>
          <w:rFonts w:eastAsia="Times New Roman"/>
          <w:b/>
          <w:szCs w:val="24"/>
          <w:lang w:eastAsia="ru-RU"/>
        </w:rPr>
        <w:t>-</w:t>
      </w:r>
      <w:r w:rsidRPr="006641A3">
        <w:rPr>
          <w:rFonts w:eastAsia="Times New Roman"/>
          <w:b/>
          <w:szCs w:val="24"/>
          <w:lang w:val="en-US" w:eastAsia="ru-RU"/>
        </w:rPr>
        <w:t>CHOP</w:t>
      </w:r>
      <w:r w:rsidRPr="006641A3">
        <w:fldChar w:fldCharType="begin" w:fldLock="1"/>
      </w:r>
      <w:r w:rsidR="004D13EB">
        <w:instrText>ADDIN CSL_CITATION {"citationItems":[{"id":"ITEM-1","itemData":{"DOI":"10.1200/JCO.2017.76.8960","ISSN":"1527-7755","PMID":"29856692","abstract":"Purpose The GALLIUM study ( ClinicalTrials.gov identifier: NCT01332968) showed that obinutuzumab (GA101; G) significantly prolonged progression-free survival (PFS) in previously untreated patients with follicular lymphoma relative to rituximab (R) when combined with cyclophosphamide (C), doxorubicin, vincristine (V), and prednisone (P; CHOP); CVP; or bendamustine. This report focuses on the impact of chemotherapy backbone on efficacy and safety. Patients and Methods A total of 1,202 patients with previously untreated follicular lymphoma (grades 1 to 3a), advanced disease (stage III or IV, or stage II with tumor diameter ≥ 7 cm), Eastern Cooperative Oncology Group performance status 0 to 2, and requiring treatment were randomly assigned 1:1 to G 1,000 mg on days 1, 8, and 15 of cycle 1 and day 1 of subsequent cycles or R 375 mg/m2 on day 1 of each cycle, for six to eight cycles, depending on chemotherapy (allocated nonrandomly by center). Responding patients received G or R for 2 years or until disease progression. Results Baseline Follicular Lymphoma International Prognostic Index risk, bulky disease, and comorbidities differed by chemotherapy. After 41.1 months median follow-up, PFS (primary end point) was superior for G plus chemotherapy (overall hazard ratio [HR], 0.68; 95% CI, 0.54 to 0.87; P = .0016), with consistent results across chemotherapy backbones (bendamustine: HR, 0.63; 95% CI, 0.46 to 0.88; CHOP: HR, 0.72; 95% CI, 0.48 to 1.10; CVP: HR, 0.79; 95% CI, 0.42 to 1.47). Grade 3 to 5 adverse events, notably cytopenias, were most frequent with CHOP. Grade 3 to 5 infections and second neoplasms were most frequent with bendamustine, which was associated with marked and prolonged reductions in T-cell counts. Fatal events were more frequent in patients treated with bendamustine, possibly reflecting differences in patient risk profiles. Conclusion Improved PFS was observed for G plus chemotherapy for all three chemotherapy backbones. Safety profiles differed, although comparisons are confounded by nonrandom chemotherapy allocation.","author":[{"dropping-particle":"","family":"Hiddemann","given":"Wolfgang","non-dropping-particle":"","parse-names":false,"suffix":""},{"dropping-particle":"","family":"Barbui","given":"Anna Maria","non-dropping-particle":"","parse-names":false,"suffix":""},{"dropping-particle":"","family":"Canales","given":"Miguel A","non-dropping-particle":"","parse-names":false,"suffix":""},{"dropping-particle":"","family":"Cannell","given":"Paul K","non-dropping-particle":"","parse-names":false,"suffix":""},{"dropping-particle":"","family":"Collins","given":"Graham P","non-dropping-particle":"","parse-names":false,"suffix":""},{"dropping-particle":"","family":"Dürig","given":"Jan","non-dropping-particle":"","parse-names":false,"suffix":""},{"dropping-particle":"","family":"Forstpointner","given":"Roswitha","non-dropping-particle":"","parse-names":false,"suffix":""},{"dropping-particle":"","family":"Herold","given":"Michael","non-dropping-particle":"","parse-names":false,"suffix":""},{"dropping-particle":"","family":"Hertzberg","given":"Mark","non-dropping-particle":"","parse-names":false,"suffix":""},{"dropping-particle":"","family":"Klanova","given":"Magdalena","non-dropping-particle":"","parse-names":false,"suffix":""},{"dropping-particle":"","family":"Radford","given":"John","non-dropping-particle":"","parse-names":false,"suffix":""},{"dropping-particle":"","family":"Seymour","given":"John F","non-dropping-particle":"","parse-names":false,"suffix":""},{"dropping-particle":"","family":"Tobinai","given":"Kensei","non-dropping-particle":"","parse-names":false,"suffix":""},{"dropping-particle":"","family":"Trotman","given":"Judith","non-dropping-particle":"","parse-names":false,"suffix":""},{"dropping-particle":"","family":"Burciu","given":"Alis","non-dropping-particle":"","parse-names":false,"suffix":""},{"dropping-particle":"","family":"Fingerle-Rowson","given":"Günter","non-dropping-particle":"","parse-names":false,"suffix":""},{"dropping-particle":"","family":"Wolbers","given":"Marcel","non-dropping-particle":"","parse-names":false,"suffix":""},{"dropping-particle":"","family":"Nielsen","given":"Tina","non-dropping-particle":"","parse-names":false,"suffix":""},{"dropping-particle":"","family":"Marcus","given":"Robert E","non-dropping-particle":"","parse-names":false,"suffix":""}],"container-title":"Journal of clinical oncology : official journal of the American Society of Clinical Oncology","id":"ITEM-1","issue":"23","issued":{"date-parts":[["2018","8","10"]]},"page":"2395-2404","publisher":"American Society of Clinical Oncology","title":"Immunochemotherapy With Obinutuzumab or Rituximab for Previously Untreated Follicular Lymphoma in the GALLIUM Study: Influence of Chemotherapy on Efficacy and Safety.","type":"article-journal","volume":"36"},"uris":["http://www.mendeley.com/documents/?uuid=755f6e0c-6519-3840-a5da-b482a8356776"]}],"mendeley":{"formattedCitation":"[79]","plainTextFormattedCitation":"[79]","previouslyFormattedCitation":"[79]"},"properties":{"noteIndex":0},"schema":"https://github.com/citation-style-language/schema/raw/master/csl-citation.json"}</w:instrText>
      </w:r>
      <w:r w:rsidRPr="006641A3">
        <w:fldChar w:fldCharType="separate"/>
      </w:r>
      <w:r w:rsidR="00EF3174" w:rsidRPr="00EF3174">
        <w:rPr>
          <w:noProof/>
        </w:rPr>
        <w:t>[79]</w:t>
      </w:r>
      <w:r w:rsidRPr="006641A3">
        <w:fldChar w:fldCharType="end"/>
      </w:r>
    </w:p>
    <w:p w14:paraId="0FF66DEA" w14:textId="77777777" w:rsidR="00413554" w:rsidRPr="006641A3" w:rsidRDefault="00413554" w:rsidP="00A72B1B">
      <w:pPr>
        <w:numPr>
          <w:ilvl w:val="0"/>
          <w:numId w:val="22"/>
        </w:numPr>
        <w:contextualSpacing/>
        <w:rPr>
          <w:rFonts w:eastAsia="Times New Roman"/>
          <w:szCs w:val="24"/>
          <w:lang w:eastAsia="ru-RU"/>
        </w:rPr>
      </w:pPr>
      <w:r w:rsidRPr="006641A3">
        <w:rPr>
          <w:rFonts w:eastAsia="Times New Roman"/>
          <w:szCs w:val="24"/>
          <w:lang w:eastAsia="ru-RU"/>
        </w:rPr>
        <w:t>Ритуксимаб**</w:t>
      </w:r>
    </w:p>
    <w:p w14:paraId="7BE35131" w14:textId="77777777" w:rsidR="00413554" w:rsidRPr="006641A3" w:rsidRDefault="00413554" w:rsidP="00A72B1B">
      <w:pPr>
        <w:numPr>
          <w:ilvl w:val="1"/>
          <w:numId w:val="22"/>
        </w:numPr>
        <w:contextualSpacing/>
        <w:rPr>
          <w:rFonts w:eastAsia="Times New Roman"/>
          <w:szCs w:val="24"/>
          <w:lang w:eastAsia="ru-RU"/>
        </w:rPr>
      </w:pPr>
      <w:r w:rsidRPr="006641A3">
        <w:rPr>
          <w:rFonts w:eastAsia="Times New Roman"/>
          <w:szCs w:val="24"/>
          <w:lang w:eastAsia="ru-RU"/>
        </w:rPr>
        <w:t>375 мг/м</w:t>
      </w:r>
      <w:r w:rsidRPr="006641A3">
        <w:rPr>
          <w:rFonts w:eastAsia="Times New Roman"/>
          <w:szCs w:val="24"/>
          <w:vertAlign w:val="superscript"/>
          <w:lang w:eastAsia="ru-RU"/>
        </w:rPr>
        <w:t>2</w:t>
      </w:r>
      <w:r w:rsidRPr="006641A3">
        <w:rPr>
          <w:rFonts w:eastAsia="Times New Roman"/>
          <w:szCs w:val="24"/>
          <w:lang w:eastAsia="ru-RU"/>
        </w:rPr>
        <w:t xml:space="preserve"> в/в кап., день 0 или 1 все циклы курса</w:t>
      </w:r>
    </w:p>
    <w:p w14:paraId="5AAEC4ED" w14:textId="77777777" w:rsidR="00413554" w:rsidRPr="006641A3" w:rsidRDefault="00413554" w:rsidP="00413554">
      <w:pPr>
        <w:ind w:left="1080" w:firstLine="336"/>
        <w:contextualSpacing/>
        <w:rPr>
          <w:rFonts w:eastAsia="Times New Roman"/>
          <w:szCs w:val="24"/>
          <w:lang w:eastAsia="ru-RU"/>
        </w:rPr>
      </w:pPr>
      <w:r w:rsidRPr="006641A3">
        <w:rPr>
          <w:rFonts w:eastAsia="Times New Roman"/>
          <w:szCs w:val="24"/>
          <w:lang w:eastAsia="ru-RU"/>
        </w:rPr>
        <w:t>или</w:t>
      </w:r>
    </w:p>
    <w:p w14:paraId="7DC5A950" w14:textId="47117C37" w:rsidR="00413554" w:rsidRPr="006641A3" w:rsidRDefault="00413554" w:rsidP="00A72B1B">
      <w:pPr>
        <w:pStyle w:val="afd"/>
        <w:numPr>
          <w:ilvl w:val="1"/>
          <w:numId w:val="22"/>
        </w:numPr>
        <w:rPr>
          <w:rFonts w:eastAsia="Times New Roman"/>
          <w:szCs w:val="24"/>
          <w:lang w:eastAsia="ru-RU"/>
        </w:rPr>
      </w:pPr>
      <w:r w:rsidRPr="006641A3">
        <w:rPr>
          <w:rFonts w:eastAsia="Times New Roman"/>
          <w:szCs w:val="24"/>
          <w:lang w:eastAsia="ru-RU"/>
        </w:rPr>
        <w:t>375 мг/м</w:t>
      </w:r>
      <w:r w:rsidRPr="006641A3">
        <w:rPr>
          <w:rFonts w:eastAsia="Times New Roman"/>
          <w:szCs w:val="24"/>
          <w:vertAlign w:val="superscript"/>
          <w:lang w:eastAsia="ru-RU"/>
        </w:rPr>
        <w:t>2</w:t>
      </w:r>
      <w:r w:rsidRPr="006641A3">
        <w:rPr>
          <w:rFonts w:eastAsia="Times New Roman"/>
          <w:szCs w:val="24"/>
          <w:lang w:eastAsia="ru-RU"/>
        </w:rPr>
        <w:t xml:space="preserve"> в/в кап. 1 цикл,</w:t>
      </w:r>
      <w:r w:rsidRPr="006641A3">
        <w:rPr>
          <w:szCs w:val="24"/>
        </w:rPr>
        <w:t xml:space="preserve"> далее ритуксимаб** 1400 мг п/к,</w:t>
      </w:r>
      <w:r w:rsidRPr="006641A3">
        <w:rPr>
          <w:rFonts w:eastAsia="Times New Roman"/>
          <w:szCs w:val="24"/>
          <w:lang w:eastAsia="ru-RU"/>
        </w:rPr>
        <w:t xml:space="preserve"> день 0 или 1</w:t>
      </w:r>
      <w:r>
        <w:rPr>
          <w:rFonts w:eastAsia="Times New Roman"/>
          <w:szCs w:val="24"/>
          <w:lang w:eastAsia="ru-RU"/>
        </w:rPr>
        <w:fldChar w:fldCharType="begin" w:fldLock="1"/>
      </w:r>
      <w:r w:rsidR="004D13EB">
        <w:rPr>
          <w:rFonts w:eastAsia="Times New Roman"/>
          <w:szCs w:val="24"/>
          <w:lang w:eastAsia="ru-RU"/>
        </w:rPr>
        <w:instrText>ADDIN CSL_CITATION {"citationItems":[{"id":"ITEM-1","itemData":{"ISSN":"2150-0878","PMID":"31086689","abstract":"Rituximab and hyaluronidase human is a new subcutaneous formulation of rituximab that was recently approved by the US Food and Drug Administration for the treatment of adults with follicular lymphoma, diffuse large B-cell lymphoma, and chronic lymphocytic leukemia. With data to support noninferior pharmacokinetics, similar outcomes, and comparable adverse events, rituximab and hyaluronidase human may offer a suitable alternative to intravenous rituximab that could improve convenience for patients and better utilize health-care resources.","author":[{"dropping-particle":"","family":"Yelvington","given":"Bradley J","non-dropping-particle":"","parse-names":false,"suffix":""}],"container-title":"Journal of the advanced practitioner in oncology","id":"ITEM-1","issue":"5","issued":{"date-parts":[["2018"]]},"page":"530-534","publisher":"Harborside Press","title":"Subcutaneous Rituximab in Follicular Lymphoma, Chronic Lymphocytic Leukemia, and Diffuse Large B-Cell Lymphoma.","type":"article-journal","volume":"9"},"uris":["http://www.mendeley.com/documents/?uuid=fbb0b8f4-6b58-3a10-b7d6-af3854030be8"]},{"id":"ITEM-2","itemData":{"DOI":"10.1007/s12325-017-0610-z","ISSN":"18658652","abstract":"Abstract: Rituximab (MabThera®/Rituxan®), a chimeric murine/human monoclonal antibody that binds specifically to the transmembrane antigen CD20, was the first therapeutic antibody to enter clinical practice for the treatment of cancer. As monotherapy and in combination with chemotherapy, rituximab has been shown to prolong progression-free survival and, in some indications overall survival, in patients with various B-cell malignancies, while having a well-established and manageable safety profile and a wide therapeutic window. As a result, rituximab is considered to have revolutionized treatment practices for patients with B-cell malignancies. A subcutaneous (SC) formulation of rituximab has been developed, comprising the same monoclonal antibody as the originally marketed formulation [rituximab concentrate for solution for intravenous (IV) infusion], and has undergone a detailed, sequential clinical development program. This program demonstrated that, at fixed doses, rituximab SC achieves non-inferior serum trough concentrations in patients with non-Hodgkin lymphoma and chronic lymphocytic leukemia, with comparable efficacy and safety relative to the IV formulation. The added benefit of rituximab SC was demonstrated in dedicated studies showing that rituximab SC allows for simplified and shortened drug preparation and administration times resulting in a reduced treatment burden for patients as well as improved resource utilization (efficiency) at the treatment facility. The improved efficiency of delivering rituximab’s benefit to patients may broaden patient access to rituximab therapy in areas with low levels of healthcare resources, including IV-chair capacity constraints. This article is a companion paper to G. Salles, et al., which is also published in this issue. Funding: F. Hoffmann-La Roche Ltd.","author":[{"dropping-particle":"","family":"Davies","given":"Andrew","non-dropping-particle":"","parse-names":false,"suffix":""},{"dropping-particle":"","family":"Berge","given":"Claude","non-dropping-particle":"","parse-names":false,"suffix":""},{"dropping-particle":"","family":"Boehnke","given":"Axel","non-dropping-particle":"","parse-names":false,"suffix":""},{"dropping-particle":"","family":"Dadabhoy","given":"Anjum","non-dropping-particle":"","parse-names":false,"suffix":""},{"dropping-particle":"","family":"Lugtenburg","given":"Pieternella","non-dropping-particle":"","parse-names":false,"suffix":""},{"dropping-particle":"","family":"Rule","given":"Simon","non-dropping-particle":"","parse-names":false,"suffix":""},{"dropping-particle":"","family":"Rummel","given":"Mathias","non-dropping-particle":"","parse-names":false,"suffix":""},{"dropping-particle":"","family":"McIntyre","given":"Christine","non-dropping-particle":"","parse-names":false,"suffix":""},{"dropping-particle":"","family":"Smith","given":"Rodney","non-dropping-particle":"","parse-names":false,"suffix":""},{"dropping-particle":"","family":"Badoux","given":"Xavier","non-dropping-particle":"","parse-names":false,"suffix":""}],"container-title":"Advances in Therapy","id":"ITEM-2","issue":"10","issued":{"date-parts":[["2017","10","1"]]},"page":"2210-2231","publisher":"Springer Healthcare","title":"Subcutaneous Rituximab for the Treatment of B-Cell Hematologic Malignancies: A Review of the Scientific Rationale and Clinical Development","type":"article","volume":"34"},"uris":["http://www.mendeley.com/documents/?uuid=c91e99c4-7e72-3803-909e-84f3e662a6e0"]},{"id":"ITEM-3","itemData":{"DOI":"10.1111/bjh.16227","ISSN":"0007-1048","abstract":"Rituximab is a standard treatment for non-Hodgkin diffuse large B-cell (DLBCL) and follicular (FL) lymphomas. A subcutaneous formulation was developed to improve the resource use of intravenous rituximab, with comparable efficacy and safety profiles except for increased administration-related reactions (ARRs). MabRella was a phase IIIb trial to assess the safety of switching from intravenous to subcutaneous administration of rituximab during first-line induction/maintenance for DLBCL or FL, focusing on ARRs. Efficacy, satisfaction and quality of life were also assessed. Patients received subcutaneous rituximab plus standard induction chemotherapy for DLBCL or FL for 4–7 cycles, and/or every 2 months maintenance monotherapy for FL for 6–12 cycles. The study included 140 patients: DLBCL, n = 29; FL, n = 111. Ninety-five percent of patients experienced adverse events, reaching grade ≥3 in 38·6% and were serious in 30·0%. AARs occurred in 48·6%, mostly (84·9%) at the injection site, with only 2·1% of patients reaching grade 3. The end-of-induction complete/unconfirmed complete response rate was 69·6%. After a median follow-up of 33·5 months, median disease-/event-/progression-free and overall survivals were not attained. The Rituximab Administration Satisfaction Questionnaire showed improvements in overall satisfaction and the EuroQoL-5D a good quality-of-life perception at induction/maintenance end. Therefore, switching to subcutaneous rituximab showed no new safety issues and maintained efficacy with improved satisfaction and quality of life.","author":[{"dropping-particle":"","family":"García‐Muñoz","given":"Ricardo","non-dropping-particle":"","parse-names":false,"suffix":""},{"dropping-particle":"","family":"Quero","given":"Cristina","non-dropping-particle":"","parse-names":false,"suffix":""},{"dropping-particle":"","family":"Pérez‐Persona","given":"Ernesto","non-dropping-particle":"","parse-names":false,"suffix":""},{"dropping-particle":"","family":"Domingo‐García","given":"Abel","non-dropping-particle":"","parse-names":false,"suffix":""},{"dropping-particle":"","family":"Pérez‐López","given":"Cristina","non-dropping-particle":"","parse-names":false,"suffix":""},{"dropping-particle":"","family":"Villaescusa‐de‐la‐Rosa","given":"Teresa","non-dropping-particle":"","parse-names":false,"suffix":""},{"dropping-particle":"","family":"Martínez‐Castro","given":"Ana M.","non-dropping-particle":"","parse-names":false,"suffix":""},{"dropping-particle":"","family":"Arguiñano‐Pérez","given":"José M.","non-dropping-particle":"","parse-names":false,"suffix":""},{"dropping-particle":"","family":"Parra‐Cuadrado","given":"Juan F.","non-dropping-particle":"","parse-names":false,"suffix":""},{"dropping-particle":"","family":"Panizo","given":"Carlos","non-dropping-particle":"","parse-names":false,"suffix":""}],"container-title":"British Journal of Haematology","id":"ITEM-3","issue":"5","issued":{"date-parts":[["2020","3","1"]]},"page":"661-673","publisher":"Blackwell Publishing Ltd","title":"Safety of switching from intravenous to subcutaneous rituximab during first‐line treatment of patients with non‐Hodgkin lymphoma: the Spanish population of the MabRella study","type":"article-journal","volume":"188"},"uris":["http://www.mendeley.com/documents/?uuid=89ca4d25-771e-3d22-9da5-61e99fb5ec3e"]},{"id":"ITEM-4","itemData":{"DOI":"10.3747/co.24.3470","ISSN":"17187729","abstract":"Rituximab is widely used for the treatment of non-Hodgkin lymphoma, being a key component in most therapeutic regimens. Administration of the intravenous (IV) formulation is lengthy and places a significant burden on health care resources and patient quality of life. A subcutaneous (sc) formulation that provides a fixed dose of rituximab is being examined in a number of studies. Results indicate that the pharmacokinetics are noninferior and response rates are comparable to those obtained with the IV formulation. Moreover, the sc formulation is preferred by patients and health care providers and reduces administration and chair time. Additional advantages include a lesser potential for dosing errors, shorter preparation time, reduced drug wastage, and fewer infusion-related reactions. Despite the success of the sc formulation, correct administration is needed to reduce administration-related reactions. By using a careful procedure, the sc formulation can be given safely and effectively, potentially reducing the burden on health care resources and improving quality of life for patients.","author":[{"dropping-particle":"","family":"Macdonald","given":"David","non-dropping-particle":"","parse-names":false,"suffix":""},{"dropping-particle":"","family":"Crosbie","given":"T.","non-dropping-particle":"","parse-names":false,"suffix":""},{"dropping-particle":"","family":"Christofides","given":"A.","non-dropping-particle":"","parse-names":false,"suffix":""},{"dropping-particle":"","family":"Assaily","given":"W.","non-dropping-particle":"","parse-names":false,"suffix":""},{"dropping-particle":"","family":"Wiernikowski","given":"J.","non-dropping-particle":"","parse-names":false,"suffix":""}],"container-title":"Current Oncology","id":"ITEM-4","issue":"1","issued":{"date-parts":[["2017"]]},"page":"33-39","publisher":"Multimed Inc.","title":"A canadian perspective on the subcutaneous administration of rituximab in non-Hodgkin lymphoma","type":"article","volume":"24"},"uris":["http://www.mendeley.com/documents/?uuid=0dec225e-8a47-3680-ba4d-891955a938a1"]}],"mendeley":{"formattedCitation":"[75–78]","plainTextFormattedCitation":"[75–78]","previouslyFormattedCitation":"[75–78]"},"properties":{"noteIndex":0},"schema":"https://github.com/citation-style-language/schema/raw/master/csl-citation.json"}</w:instrText>
      </w:r>
      <w:r>
        <w:rPr>
          <w:rFonts w:eastAsia="Times New Roman"/>
          <w:szCs w:val="24"/>
          <w:lang w:eastAsia="ru-RU"/>
        </w:rPr>
        <w:fldChar w:fldCharType="separate"/>
      </w:r>
      <w:r w:rsidR="00EF3174" w:rsidRPr="00EF3174">
        <w:rPr>
          <w:rFonts w:eastAsia="Times New Roman"/>
          <w:noProof/>
          <w:szCs w:val="24"/>
          <w:lang w:eastAsia="ru-RU"/>
        </w:rPr>
        <w:t>[75–78]</w:t>
      </w:r>
      <w:r>
        <w:rPr>
          <w:rFonts w:eastAsia="Times New Roman"/>
          <w:szCs w:val="24"/>
          <w:lang w:eastAsia="ru-RU"/>
        </w:rPr>
        <w:fldChar w:fldCharType="end"/>
      </w:r>
    </w:p>
    <w:p w14:paraId="22FD4D83" w14:textId="77777777" w:rsidR="00413554" w:rsidRPr="006641A3" w:rsidRDefault="00413554" w:rsidP="00A72B1B">
      <w:pPr>
        <w:numPr>
          <w:ilvl w:val="0"/>
          <w:numId w:val="22"/>
        </w:numPr>
        <w:contextualSpacing/>
        <w:rPr>
          <w:rFonts w:eastAsia="Times New Roman"/>
          <w:szCs w:val="24"/>
          <w:lang w:eastAsia="ru-RU"/>
        </w:rPr>
      </w:pPr>
      <w:r w:rsidRPr="006641A3">
        <w:rPr>
          <w:rFonts w:eastAsia="Times New Roman"/>
          <w:szCs w:val="24"/>
          <w:lang w:eastAsia="ru-RU"/>
        </w:rPr>
        <w:t>Доксорубицин** 50 мг/м</w:t>
      </w:r>
      <w:r w:rsidRPr="006641A3">
        <w:rPr>
          <w:rFonts w:eastAsia="Times New Roman"/>
          <w:szCs w:val="24"/>
          <w:vertAlign w:val="superscript"/>
          <w:lang w:eastAsia="ru-RU"/>
        </w:rPr>
        <w:t>2</w:t>
      </w:r>
      <w:r w:rsidRPr="006641A3">
        <w:rPr>
          <w:rFonts w:eastAsia="Times New Roman"/>
          <w:szCs w:val="24"/>
          <w:lang w:eastAsia="ru-RU"/>
        </w:rPr>
        <w:t xml:space="preserve"> в/в кап., день 1</w:t>
      </w:r>
    </w:p>
    <w:p w14:paraId="6A936059" w14:textId="77777777" w:rsidR="00413554" w:rsidRPr="006641A3" w:rsidRDefault="00413554" w:rsidP="00A72B1B">
      <w:pPr>
        <w:numPr>
          <w:ilvl w:val="0"/>
          <w:numId w:val="22"/>
        </w:numPr>
        <w:contextualSpacing/>
        <w:rPr>
          <w:rFonts w:eastAsia="Times New Roman"/>
          <w:szCs w:val="24"/>
          <w:lang w:eastAsia="ru-RU"/>
        </w:rPr>
      </w:pPr>
      <w:r w:rsidRPr="006641A3">
        <w:rPr>
          <w:rFonts w:eastAsia="Times New Roman"/>
          <w:szCs w:val="24"/>
          <w:lang w:eastAsia="ru-RU"/>
        </w:rPr>
        <w:t>Циклофосфамид** 750 мг/м</w:t>
      </w:r>
      <w:r w:rsidRPr="006641A3">
        <w:rPr>
          <w:rFonts w:eastAsia="Times New Roman"/>
          <w:szCs w:val="24"/>
          <w:vertAlign w:val="superscript"/>
          <w:lang w:eastAsia="ru-RU"/>
        </w:rPr>
        <w:t>2</w:t>
      </w:r>
      <w:r w:rsidRPr="006641A3">
        <w:rPr>
          <w:rFonts w:eastAsia="Times New Roman"/>
          <w:szCs w:val="24"/>
          <w:lang w:eastAsia="ru-RU"/>
        </w:rPr>
        <w:t xml:space="preserve"> в/в кап., день 1</w:t>
      </w:r>
    </w:p>
    <w:p w14:paraId="32E4144B" w14:textId="77777777" w:rsidR="00413554" w:rsidRPr="006641A3" w:rsidRDefault="00413554" w:rsidP="00A72B1B">
      <w:pPr>
        <w:numPr>
          <w:ilvl w:val="0"/>
          <w:numId w:val="22"/>
        </w:numPr>
        <w:contextualSpacing/>
        <w:rPr>
          <w:rFonts w:eastAsia="Times New Roman"/>
          <w:szCs w:val="24"/>
          <w:lang w:eastAsia="ru-RU"/>
        </w:rPr>
      </w:pPr>
      <w:r w:rsidRPr="006641A3">
        <w:rPr>
          <w:rFonts w:eastAsia="Times New Roman"/>
          <w:szCs w:val="24"/>
          <w:lang w:eastAsia="ru-RU"/>
        </w:rPr>
        <w:t>#Винкристин** 1,4 мг/м</w:t>
      </w:r>
      <w:r w:rsidRPr="006641A3">
        <w:rPr>
          <w:rFonts w:eastAsia="Times New Roman"/>
          <w:szCs w:val="24"/>
          <w:vertAlign w:val="superscript"/>
          <w:lang w:eastAsia="ru-RU"/>
        </w:rPr>
        <w:t>2</w:t>
      </w:r>
      <w:r w:rsidRPr="006641A3">
        <w:rPr>
          <w:rFonts w:eastAsia="Times New Roman"/>
          <w:szCs w:val="24"/>
          <w:lang w:eastAsia="ru-RU"/>
        </w:rPr>
        <w:t xml:space="preserve"> (суммарно не более 2 мг) в/в, день 1</w:t>
      </w:r>
    </w:p>
    <w:p w14:paraId="72EB528A" w14:textId="6A15A039" w:rsidR="00413554" w:rsidRDefault="00413554" w:rsidP="00A72B1B">
      <w:pPr>
        <w:numPr>
          <w:ilvl w:val="0"/>
          <w:numId w:val="22"/>
        </w:numPr>
        <w:contextualSpacing/>
        <w:rPr>
          <w:rFonts w:eastAsia="Times New Roman"/>
          <w:szCs w:val="24"/>
          <w:lang w:eastAsia="ru-RU"/>
        </w:rPr>
      </w:pPr>
      <w:r w:rsidRPr="006641A3">
        <w:rPr>
          <w:rFonts w:eastAsia="Times New Roman"/>
          <w:szCs w:val="24"/>
          <w:lang w:eastAsia="ru-RU"/>
        </w:rPr>
        <w:t>Преднизолон** 100 мг внутрь, дни 1-5</w:t>
      </w:r>
    </w:p>
    <w:p w14:paraId="5AB09554" w14:textId="3894BDE4" w:rsidR="001B5B91" w:rsidRPr="006641A3" w:rsidRDefault="007D1DD6" w:rsidP="00A72B1B">
      <w:pPr>
        <w:numPr>
          <w:ilvl w:val="0"/>
          <w:numId w:val="22"/>
        </w:numPr>
        <w:contextualSpacing/>
        <w:rPr>
          <w:rFonts w:eastAsia="Times New Roman"/>
          <w:szCs w:val="24"/>
          <w:lang w:eastAsia="ru-RU"/>
        </w:rPr>
      </w:pPr>
      <w:r>
        <w:t>Ф</w:t>
      </w:r>
      <w:r w:rsidRPr="008A7E78">
        <w:t>илграстим 5</w:t>
      </w:r>
      <w:r>
        <w:t xml:space="preserve"> </w:t>
      </w:r>
      <w:r w:rsidRPr="008A7E78">
        <w:t xml:space="preserve">мкг/кг подкожно (п/к) через 24-72 часа после окончания введения химиопрепаратов и до восстановления нормального числа нейтрофилов после надира или пэгфилграстим в дозе 6 мг или эмпэгфилграстим в дозе 7,5 мг подкожно, однократно, не менее чем через 24 часа после окончания введения химиопрепаратов </w:t>
      </w:r>
      <w:r w:rsidRPr="00C7443B">
        <w:fldChar w:fldCharType="begin" w:fldLock="1"/>
      </w:r>
      <w:r w:rsidR="00D71DD0">
        <w:instrText>ADDIN CSL_CITATION {"citationItems":[{"id":"ITEM-1","itemData":{"id":"ITEM-1","issued":{"date-parts":[["2020"]]},"title":"Протоколы клинических рекомендаций поддерживающей терапии в онкологии. 4-е издание, переработанное и дополненное. Под редакцией академика РАН М.И.Давыдова","type":"book"},"uris":["http://www.mendeley.com/documents/?uuid=ae60aa19-40ba-4605-aba7-98ba41ea5977"]},{"id":"ITEM-2","itemData":{"DOI":"10.1186/1471-2407-11-404/TABLES/2","ISSN":"14712407","PMID":"21943360","abstract":"Background: Febrile neutropenia (FN) occurs following myelosuppressive chemotherapy and is associated with morbidity, mortality, costs, and chemotherapy reductions and delays. Granulocyte colony-stimulating factors (G-CSFs) stimulate neutrophil production and may reduce FN incidence when given prophylactically following chemotherapy.Methods: A systematic review and meta-analysis assessed the effectiveness of G-CSFs (pegfilgrastim, filgrastim or lenograstim) in reducing FN incidence in adults undergoing chemotherapy for solid tumours or lymphoma. G-CSFs were compared with no primary G-CSF prophylaxis and with one another. Nine databases were searched in December 2009. Meta-analysis used a random effects model due to heterogeneity.Results: Twenty studies compared primary G-CSF prophylaxis with no primary G-CSF prophylaxis: five studies of pegfilgrastim; ten of filgrastim; and five of lenograstim. All three G-CSFs significantly reduced FN incidence, with relative risks of 0.30 (95% CI: 0.14 to 0.65) for pegfilgrastim, 0.57 (95% CI: 0.48 to 0.69) for filgrastim, and 0.62 (95% CI: 0.44 to 0.88) for lenograstim. Overall, the relative risk of FN for any primary G-CSF prophylaxis versus no primary G-CSF prophylaxis was 0.51 (95% CI: 0.41 to 0.62). In terms of comparisons between different G-CSFs, five studies compared pegfilgrastim with filgrastim. FN incidence was significantly lower for pegfilgrastim than filgrastim, with a relative risk of 0.66 (95% CI: 0.44 to 0.98).Conclusions: Primary prophylaxis with G-CSFs significantly reduces FN incidence in adults undergoing chemotherapy for solid tumours or lymphoma. Pegfilgrastim reduces FN incidence to a significantly greater extent than filgrastim. © 2011 Cooper et al; licensee BioMed Central Ltd.","author":[{"dropping-particle":"","family":"Cooper","given":"Katy L.","non-dropping-particle":"","parse-names":false,"suffix":""},{"dropping-particle":"","family":"Madan","given":"Jason","non-dropping-particle":"","parse-names":false,"suffix":""},{"dropping-particle":"","family":"Whyte","given":"Sophie","non-dropping-particle":"","parse-names":false,"suffix":""},{"dropping-particle":"","family":"Stevenson","given":"Matt D.","non-dropping-particle":"","parse-names":false,"suffix":""},{"dropping-particle":"","family":"Akehurst","given":"Ron L.","non-dropping-particle":"","parse-names":false,"suffix":""}],"container-title":"BMC Cancer","id":"ITEM-2","issue":"1","issued":{"date-parts":[["2011","9","23"]]},"page":"1-11","publisher":"BioMed Central","title":"Granulocyte colony-stimulating factors for febrile neutropenia prophylaxis following chemotherapy: Systematic review and meta-analysis","type":"article-journal","volume":"11"},"uris":["http://www.mendeley.com/documents/?uuid=d96707b1-fbda-386f-8869-4db217556c08"]},{"id":"ITEM-3","itemData":{"DOI":"10.1016/J.EJCA.2010.10.013","ISSN":"0959-8049","PMID":"21095116","abstract":"&lt;h2&gt;Abstract&lt;/h2&gt;&lt;p&gt;Chemotherapy-induced neutropenia is a major risk factor for infection-related morbidity and mortality and also a significant dose-limiting toxicity in cancer treatment. Patients developing severe (grade 3/4) or febrile neutropenia (FN) during chemotherapy frequently receive dose reductions and/or delays to their chemotherapy. This may impact the success of treatment, particularly when treatment intent is either curative or to prolong survival.&lt;/p&gt;&lt;p&gt;In Europe, prophylactic treatment with granulocyte-colony stimulating factors (G-CSFs), such as filgrastim (including approved biosimilars), lenograstim or pegfilgrastim is available to reduce the risk of chemotherapy-induced neutropenia. However, the use of G-CSF prophylactic treatment varies widely in clinical practice, both in the timing of therapy and in the patients to whom it is offered. The need for generally applicable, European-focused guidelines led to the formation of a European Guidelines Working Party by the European Organisation for Research and Treatment of Cancer (EORTC) and the publication in 2006 of guidelines for the use of G-CSF in adult cancer patients at risk of chemotherapy-induced FN. A new systematic literature review has been undertaken to ensure that recommendations are current and provide guidance on clinical practice in Europe. We recommend that patient-related adverse risk factors, such as elderly age (</w:instrText>
      </w:r>
      <w:r w:rsidR="00D71DD0">
        <w:rPr>
          <w:rFonts w:ascii="Cambria Math" w:hAnsi="Cambria Math" w:cs="Cambria Math"/>
        </w:rPr>
        <w:instrText>⩾</w:instrText>
      </w:r>
      <w:r w:rsidR="00D71DD0">
        <w:instrText>65years) and neutrophil count be evaluated in the overall assessment of FN risk before administering each cycle of chemotherapy. It is important that after a previous episode of FN, patients receive prophylactic administration of G-CSF in subsequent cycles. We provide an expanded list of common chemotherapy regimens considered to have a high (</w:instrText>
      </w:r>
      <w:r w:rsidR="00D71DD0">
        <w:rPr>
          <w:rFonts w:ascii="Cambria Math" w:hAnsi="Cambria Math" w:cs="Cambria Math"/>
        </w:rPr>
        <w:instrText>⩾</w:instrText>
      </w:r>
      <w:r w:rsidR="00D71DD0">
        <w:instrText>20%) or intermediate (10–20%) risk of FN. Prophylactic G-CSF continues to be recommended in patients receiving a chemotherapy regimen with high risk of FN. When using a chemotherapy regimen associated with FN in 10–20% of patients, particular attention should be given to patient-related risk factors that may increase the overall risk of FN. In situations where dose-dense or dose-intense chemotherapy strategies have survival benefits, prophylactic G-CSF support is recommended. Similarly, if reductions in chemotherapy dose intensity or density are known to be associated with a poor prognosis, primary G-CSF prophylaxis may be used to maintain chemotherapy. Clinical evidence shows that filgrastim, lenograstim and pegfilgrast…","author":[{"dropping-particle":"","family":"Aapro","given":"M. S.","non-dropping-particle":"","parse-names":false,"suffix":""},{"dropping-particle":"","family":"Bohlius","given":"J.","non-dropping-particle":"","parse-names":false,"suffix":""},{"dropping-particle":"","family":"Cameron","given":"D. A.","non-dropping-particle":"","parse-names":false,"suffix":""},{"dropping-particle":"","family":"Lago","given":"Lissandra Dal","non-dropping-particle":"","parse-names":false,"suffix":""},{"dropping-particle":"","family":"Donnelly","given":"J. Peter","non-dropping-particle":"","parse-names":false,"suffix":""},{"dropping-particle":"","family":"Kearney","given":"N.","non-dropping-particle":"","parse-names":false,"suffix":""},{"dropping-particle":"","family":"Lyman","given":"G. H.","non-dropping-particle":"","parse-names":false,"suffix":""},{"dropping-particle":"","family":"Pettengell","given":"R.","non-dropping-particle":"","parse-names":false,"suffix":""},{"dropping-particle":"","family":"Tjan-Heijnen","given":"V. C.","non-dropping-particle":"","parse-names":false,"suffix":""},{"dropping-particle":"","family":"Walewski","given":"J.","non-dropping-particle":"","parse-names":false,"suffix":""},{"dropping-particle":"","family":"Weber","given":"Damien C.","non-dropping-particle":"","parse-names":false,"suffix":""},{"dropping-particle":"","family":"Zielinski","given":"C.","non-dropping-particle":"","parse-names":false,"suffix":""}],"container-title":"European Journal of Cancer","id":"ITEM-3","issue":"1","issued":{"date-parts":[["2011","1","1"]]},"page":"8-32","publisher":"Elsevier","title":"2010 update of EORTC guidelines for the use of granulocyte-colony stimulating factor to reduce the incidence of chemotherapy-induced febrile neutropenia in adult patients with lymphoproliferative disorders and solid tumours","type":"article-journal","volume":"47"},"uris":["http://www.mendeley.com/documents/?uuid=7c3e5c1f-319d-3686-93af-0f9cd435b468"]},{"id":"ITEM-4","itemData":{"DOI":"10.1007/S00520-017-3747-Z","ISSN":"1433-7339","PMID":"28551843","abstract":"Purpose: The incidence of and risk factors for febrile neutropenia (FN) in Japanese non-Hodgkin B-cell lymphoma (B-NHL) patients receiving rituximab, cyclophosphamide, doxorubicin, vincristine, and predonisolone (R-CHOP) chemotherapy are unknown. We conducted this study to address this issue. Methods: In this single-center, retrospective, observational study, 466 patients with B-NHL who completed an R-CHOP regimen within a 7-year period and who planned to undergo at least three cycles of this regimen were analyzed. The following FN-related factors were assessed: fever, infection, disease state, neutrophil count, and prophylactic interventions such as use of antibiotics and/or granulocyte colony-stimulating factor (G-CSF). We simulated the FN incidence and 95% confidence interval (CI) of patients without prophylaxis with G-CSF (cycle 1) using bootstrap sampling. Results: The incidence of FN was 9.1% (42 of 462) in cycle 1 and 12.3% (57 of 462 patients) throughout all cycles, with 73.7% (42/57) developing FN during cycle 1. Risk factors for FN among patients with B-NHL treated with R-CHOP were albumin &lt;35 g/L (p = 0.0047), relative dose intensity &lt;85% (p = 0.0007), and lack of prophylaxis with G-CSF (p = 0.0006) in cycle 1. In the simulation analysis, the estimated FN incidence in cycle 1 was 16.2% (95% CI [10.9–22.2]). Conclusions: At 9.1% in cycle 1 and 12.3% throughout all cycles, the incidence of FN was lower than previously reported, possibly reflecting the appropriate use of G-CSF in this clinical setting. For patients with risk factors, the prophylaxis with G-CSF may decrease the occurrence of FN.","author":[{"dropping-particle":"","family":"Yokoyama","given":"Masahiro","non-dropping-particle":"","parse-names":false,"suffix":""},{"dropping-particle":"","family":"Kusano","given":"Yoshiharu","non-dropping-particle":"","parse-names":false,"suffix":""},{"dropping-particle":"","family":"Takahashi","given":"Anna","non-dropping-particle":"","parse-names":false,"suffix":""},{"dropping-particle":"","family":"Inoue","given":"Norihito","non-dropping-particle":"","parse-names":false,"suffix":""},{"dropping-particle":"","family":"Ueda","given":"Kyoko","non-dropping-particle":"","parse-names":false,"suffix":""},{"dropping-particle":"","family":"Nishimura","given":"Noriko","non-dropping-particle":"","parse-names":false,"suffix":""},{"dropping-particle":"","family":"Mishima","given":"Yuko","non-dropping-particle":"","parse-names":false,"suffix":""},{"dropping-particle":"","family":"Terui","given":"Yasuhito","non-dropping-particle":"","parse-names":false,"suffix":""},{"dropping-particle":"","family":"Nukada","given":"Tomoyuki","non-dropping-particle":"","parse-names":false,"suffix":""},{"dropping-particle":"","family":"Nomura","given":"Takanobu","non-dropping-particle":"","parse-names":false,"suffix":""},{"dropping-particle":"","family":"Hatake","given":"Kiyohiko","non-dropping-particle":"","parse-names":false,"suffix":""}],"container-title":"Supportive care in cancer : official journal of the Multinational Association of Supportive Care in Cancer","id":"ITEM-4","issue":"11","issued":{"date-parts":[["2017","11","1"]]},"page":"3313-3320","publisher":"Support Care Cancer","title":"Incidence and risk factors of febrile neutropenia in patients with non-Hodgkin B-cell lymphoma receiving R-CHOP in a single center in Japan","type":"article-journal","volume":"25"},"uris":["http://www.mendeley.com/documents/?uuid=663de8df-f63f-397e-bac6-0fe82756c1f7"]}],"mendeley":{"formattedCitation":"[48–51]","plainTextFormattedCitation":"[48–51]","previouslyFormattedCitation":"[48–51]"},"properties":{"noteIndex":0},"schema":"https://github.com/citation-style-language/schema/raw/master/csl-citation.json"}</w:instrText>
      </w:r>
      <w:r w:rsidRPr="00C7443B">
        <w:fldChar w:fldCharType="separate"/>
      </w:r>
      <w:r w:rsidR="00F807AF" w:rsidRPr="00F807AF">
        <w:rPr>
          <w:noProof/>
        </w:rPr>
        <w:t>[48–51]</w:t>
      </w:r>
      <w:r w:rsidRPr="00C7443B">
        <w:fldChar w:fldCharType="end"/>
      </w:r>
    </w:p>
    <w:p w14:paraId="48CA7B68" w14:textId="77777777" w:rsidR="00413554" w:rsidRPr="006641A3" w:rsidRDefault="00413554" w:rsidP="00413554">
      <w:pPr>
        <w:ind w:left="360"/>
        <w:rPr>
          <w:rFonts w:eastAsia="Times New Roman"/>
          <w:szCs w:val="24"/>
          <w:lang w:eastAsia="ru-RU"/>
        </w:rPr>
      </w:pPr>
      <w:r w:rsidRPr="006641A3">
        <w:rPr>
          <w:rFonts w:eastAsia="Times New Roman"/>
          <w:szCs w:val="24"/>
          <w:lang w:eastAsia="ru-RU"/>
        </w:rPr>
        <w:lastRenderedPageBreak/>
        <w:t>Лечение возобновляется на 22 день</w:t>
      </w:r>
    </w:p>
    <w:p w14:paraId="0C5F6EFB" w14:textId="77777777" w:rsidR="00413554" w:rsidRPr="00321834" w:rsidRDefault="00413554" w:rsidP="00413554">
      <w:pPr>
        <w:ind w:left="1069" w:firstLine="0"/>
        <w:rPr>
          <w:rFonts w:eastAsia="Times New Roman"/>
          <w:szCs w:val="24"/>
          <w:lang w:eastAsia="ru-RU"/>
        </w:rPr>
      </w:pPr>
    </w:p>
    <w:p w14:paraId="4431484F" w14:textId="5AB461A1" w:rsidR="00413554" w:rsidRPr="006641A3" w:rsidRDefault="00413554" w:rsidP="00413554">
      <w:pPr>
        <w:rPr>
          <w:rFonts w:eastAsia="Times New Roman"/>
          <w:szCs w:val="24"/>
          <w:lang w:eastAsia="ru-RU"/>
        </w:rPr>
      </w:pPr>
      <w:r w:rsidRPr="006641A3">
        <w:rPr>
          <w:rFonts w:eastAsia="Times New Roman"/>
          <w:b/>
          <w:szCs w:val="24"/>
          <w:lang w:val="en-US" w:eastAsia="ru-RU"/>
        </w:rPr>
        <w:t>R</w:t>
      </w:r>
      <w:r w:rsidRPr="006641A3">
        <w:rPr>
          <w:rFonts w:eastAsia="Times New Roman"/>
          <w:b/>
          <w:szCs w:val="24"/>
          <w:lang w:eastAsia="ru-RU"/>
        </w:rPr>
        <w:t>-</w:t>
      </w:r>
      <w:r w:rsidRPr="006641A3">
        <w:rPr>
          <w:rFonts w:eastAsia="Times New Roman"/>
          <w:b/>
          <w:szCs w:val="24"/>
          <w:lang w:val="en-US" w:eastAsia="ru-RU"/>
        </w:rPr>
        <w:t>CVP</w:t>
      </w:r>
      <w:r w:rsidRPr="006641A3">
        <w:fldChar w:fldCharType="begin" w:fldLock="1"/>
      </w:r>
      <w:r w:rsidR="004D13EB">
        <w:instrText>ADDIN CSL_CITATION {"citationItems":[{"id":"ITEM-1","itemData":{"DOI":"10.1200/JCO.2017.76.8960","ISSN":"1527-7755","PMID":"29856692","abstract":"Purpose The GALLIUM study ( ClinicalTrials.gov identifier: NCT01332968) showed that obinutuzumab (GA101; G) significantly prolonged progression-free survival (PFS) in previously untreated patients with follicular lymphoma relative to rituximab (R) when combined with cyclophosphamide (C), doxorubicin, vincristine (V), and prednisone (P; CHOP); CVP; or bendamustine. This report focuses on the impact of chemotherapy backbone on efficacy and safety. Patients and Methods A total of 1,202 patients with previously untreated follicular lymphoma (grades 1 to 3a), advanced disease (stage III or IV, or stage II with tumor diameter ≥ 7 cm), Eastern Cooperative Oncology Group performance status 0 to 2, and requiring treatment were randomly assigned 1:1 to G 1,000 mg on days 1, 8, and 15 of cycle 1 and day 1 of subsequent cycles or R 375 mg/m2 on day 1 of each cycle, for six to eight cycles, depending on chemotherapy (allocated nonrandomly by center). Responding patients received G or R for 2 years or until disease progression. Results Baseline Follicular Lymphoma International Prognostic Index risk, bulky disease, and comorbidities differed by chemotherapy. After 41.1 months median follow-up, PFS (primary end point) was superior for G plus chemotherapy (overall hazard ratio [HR], 0.68; 95% CI, 0.54 to 0.87; P = .0016), with consistent results across chemotherapy backbones (bendamustine: HR, 0.63; 95% CI, 0.46 to 0.88; CHOP: HR, 0.72; 95% CI, 0.48 to 1.10; CVP: HR, 0.79; 95% CI, 0.42 to 1.47). Grade 3 to 5 adverse events, notably cytopenias, were most frequent with CHOP. Grade 3 to 5 infections and second neoplasms were most frequent with bendamustine, which was associated with marked and prolonged reductions in T-cell counts. Fatal events were more frequent in patients treated with bendamustine, possibly reflecting differences in patient risk profiles. Conclusion Improved PFS was observed for G plus chemotherapy for all three chemotherapy backbones. Safety profiles differed, although comparisons are confounded by nonrandom chemotherapy allocation.","author":[{"dropping-particle":"","family":"Hiddemann","given":"Wolfgang","non-dropping-particle":"","parse-names":false,"suffix":""},{"dropping-particle":"","family":"Barbui","given":"Anna Maria","non-dropping-particle":"","parse-names":false,"suffix":""},{"dropping-particle":"","family":"Canales","given":"Miguel A","non-dropping-particle":"","parse-names":false,"suffix":""},{"dropping-particle":"","family":"Cannell","given":"Paul K","non-dropping-particle":"","parse-names":false,"suffix":""},{"dropping-particle":"","family":"Collins","given":"Graham P","non-dropping-particle":"","parse-names":false,"suffix":""},{"dropping-particle":"","family":"Dürig","given":"Jan","non-dropping-particle":"","parse-names":false,"suffix":""},{"dropping-particle":"","family":"Forstpointner","given":"Roswitha","non-dropping-particle":"","parse-names":false,"suffix":""},{"dropping-particle":"","family":"Herold","given":"Michael","non-dropping-particle":"","parse-names":false,"suffix":""},{"dropping-particle":"","family":"Hertzberg","given":"Mark","non-dropping-particle":"","parse-names":false,"suffix":""},{"dropping-particle":"","family":"Klanova","given":"Magdalena","non-dropping-particle":"","parse-names":false,"suffix":""},{"dropping-particle":"","family":"Radford","given":"John","non-dropping-particle":"","parse-names":false,"suffix":""},{"dropping-particle":"","family":"Seymour","given":"John F","non-dropping-particle":"","parse-names":false,"suffix":""},{"dropping-particle":"","family":"Tobinai","given":"Kensei","non-dropping-particle":"","parse-names":false,"suffix":""},{"dropping-particle":"","family":"Trotman","given":"Judith","non-dropping-particle":"","parse-names":false,"suffix":""},{"dropping-particle":"","family":"Burciu","given":"Alis","non-dropping-particle":"","parse-names":false,"suffix":""},{"dropping-particle":"","family":"Fingerle-Rowson","given":"Günter","non-dropping-particle":"","parse-names":false,"suffix":""},{"dropping-particle":"","family":"Wolbers","given":"Marcel","non-dropping-particle":"","parse-names":false,"suffix":""},{"dropping-particle":"","family":"Nielsen","given":"Tina","non-dropping-particle":"","parse-names":false,"suffix":""},{"dropping-particle":"","family":"Marcus","given":"Robert E","non-dropping-particle":"","parse-names":false,"suffix":""}],"container-title":"Journal of clinical oncology : official journal of the American Society of Clinical Oncology","id":"ITEM-1","issue":"23","issued":{"date-parts":[["2018","8","10"]]},"page":"2395-2404","publisher":"American Society of Clinical Oncology","title":"Immunochemotherapy With Obinutuzumab or Rituximab for Previously Untreated Follicular Lymphoma in the GALLIUM Study: Influence of Chemotherapy on Efficacy and Safety.","type":"article-journal","volume":"36"},"uris":["http://www.mendeley.com/documents/?uuid=755f6e0c-6519-3840-a5da-b482a8356776"]}],"mendeley":{"formattedCitation":"[79]","plainTextFormattedCitation":"[79]","previouslyFormattedCitation":"[79]"},"properties":{"noteIndex":0},"schema":"https://github.com/citation-style-language/schema/raw/master/csl-citation.json"}</w:instrText>
      </w:r>
      <w:r w:rsidRPr="006641A3">
        <w:fldChar w:fldCharType="separate"/>
      </w:r>
      <w:r w:rsidR="00EF3174" w:rsidRPr="00EF3174">
        <w:rPr>
          <w:noProof/>
        </w:rPr>
        <w:t>[79]</w:t>
      </w:r>
      <w:r w:rsidRPr="006641A3">
        <w:fldChar w:fldCharType="end"/>
      </w:r>
    </w:p>
    <w:p w14:paraId="31AFD039" w14:textId="77777777" w:rsidR="00413554" w:rsidRPr="006641A3" w:rsidRDefault="00413554" w:rsidP="00A72B1B">
      <w:pPr>
        <w:numPr>
          <w:ilvl w:val="0"/>
          <w:numId w:val="22"/>
        </w:numPr>
        <w:contextualSpacing/>
        <w:rPr>
          <w:rFonts w:eastAsia="Times New Roman"/>
          <w:szCs w:val="24"/>
          <w:lang w:eastAsia="ru-RU"/>
        </w:rPr>
      </w:pPr>
      <w:r w:rsidRPr="006641A3">
        <w:rPr>
          <w:rFonts w:eastAsia="Times New Roman"/>
          <w:szCs w:val="24"/>
          <w:lang w:eastAsia="ru-RU"/>
        </w:rPr>
        <w:t>Ритуксимаб**</w:t>
      </w:r>
    </w:p>
    <w:p w14:paraId="40D3E629" w14:textId="77777777" w:rsidR="00413554" w:rsidRPr="006641A3" w:rsidRDefault="00413554" w:rsidP="00A72B1B">
      <w:pPr>
        <w:numPr>
          <w:ilvl w:val="1"/>
          <w:numId w:val="22"/>
        </w:numPr>
        <w:contextualSpacing/>
        <w:rPr>
          <w:rFonts w:eastAsia="Times New Roman"/>
          <w:szCs w:val="24"/>
          <w:lang w:eastAsia="ru-RU"/>
        </w:rPr>
      </w:pPr>
      <w:r w:rsidRPr="006641A3">
        <w:rPr>
          <w:rFonts w:eastAsia="Times New Roman"/>
          <w:szCs w:val="24"/>
          <w:lang w:eastAsia="ru-RU"/>
        </w:rPr>
        <w:t>375 мг/м</w:t>
      </w:r>
      <w:r w:rsidRPr="006641A3">
        <w:rPr>
          <w:rFonts w:eastAsia="Times New Roman"/>
          <w:szCs w:val="24"/>
          <w:vertAlign w:val="superscript"/>
          <w:lang w:eastAsia="ru-RU"/>
        </w:rPr>
        <w:t>2</w:t>
      </w:r>
      <w:r w:rsidRPr="006641A3">
        <w:rPr>
          <w:rFonts w:eastAsia="Times New Roman"/>
          <w:szCs w:val="24"/>
          <w:lang w:eastAsia="ru-RU"/>
        </w:rPr>
        <w:t xml:space="preserve"> в/в кап., день 0 или 1 все циклы курса</w:t>
      </w:r>
    </w:p>
    <w:p w14:paraId="1C31895D" w14:textId="77777777" w:rsidR="00413554" w:rsidRPr="006641A3" w:rsidRDefault="00413554" w:rsidP="00413554">
      <w:pPr>
        <w:ind w:left="1080" w:firstLine="336"/>
        <w:contextualSpacing/>
        <w:rPr>
          <w:rFonts w:eastAsia="Times New Roman"/>
          <w:szCs w:val="24"/>
          <w:lang w:eastAsia="ru-RU"/>
        </w:rPr>
      </w:pPr>
      <w:r w:rsidRPr="006641A3">
        <w:rPr>
          <w:rFonts w:eastAsia="Times New Roman"/>
          <w:szCs w:val="24"/>
          <w:lang w:eastAsia="ru-RU"/>
        </w:rPr>
        <w:t>или</w:t>
      </w:r>
    </w:p>
    <w:p w14:paraId="336F7FCA" w14:textId="4CDD6D09" w:rsidR="00413554" w:rsidRPr="006641A3" w:rsidRDefault="00413554" w:rsidP="00A72B1B">
      <w:pPr>
        <w:pStyle w:val="afd"/>
        <w:numPr>
          <w:ilvl w:val="1"/>
          <w:numId w:val="22"/>
        </w:numPr>
        <w:rPr>
          <w:rFonts w:eastAsia="Times New Roman"/>
          <w:szCs w:val="24"/>
          <w:lang w:eastAsia="ru-RU"/>
        </w:rPr>
      </w:pPr>
      <w:r w:rsidRPr="006641A3">
        <w:rPr>
          <w:rFonts w:eastAsia="Times New Roman"/>
          <w:szCs w:val="24"/>
          <w:lang w:eastAsia="ru-RU"/>
        </w:rPr>
        <w:t>375 мг/м</w:t>
      </w:r>
      <w:r w:rsidRPr="006641A3">
        <w:rPr>
          <w:rFonts w:eastAsia="Times New Roman"/>
          <w:szCs w:val="24"/>
          <w:vertAlign w:val="superscript"/>
          <w:lang w:eastAsia="ru-RU"/>
        </w:rPr>
        <w:t>2</w:t>
      </w:r>
      <w:r w:rsidRPr="006641A3">
        <w:rPr>
          <w:rFonts w:eastAsia="Times New Roman"/>
          <w:szCs w:val="24"/>
          <w:lang w:eastAsia="ru-RU"/>
        </w:rPr>
        <w:t xml:space="preserve"> в/в кап. 1 цикл,</w:t>
      </w:r>
      <w:r w:rsidRPr="006641A3">
        <w:rPr>
          <w:szCs w:val="24"/>
        </w:rPr>
        <w:t xml:space="preserve"> далее ритуксимаб** 1400 мг п/к,</w:t>
      </w:r>
      <w:r w:rsidRPr="006641A3">
        <w:rPr>
          <w:rFonts w:eastAsia="Times New Roman"/>
          <w:szCs w:val="24"/>
          <w:lang w:eastAsia="ru-RU"/>
        </w:rPr>
        <w:t xml:space="preserve"> день 0 или 1</w:t>
      </w:r>
      <w:r>
        <w:rPr>
          <w:rFonts w:eastAsia="Times New Roman"/>
          <w:szCs w:val="24"/>
          <w:lang w:eastAsia="ru-RU"/>
        </w:rPr>
        <w:fldChar w:fldCharType="begin" w:fldLock="1"/>
      </w:r>
      <w:r w:rsidR="004D13EB">
        <w:rPr>
          <w:rFonts w:eastAsia="Times New Roman"/>
          <w:szCs w:val="24"/>
          <w:lang w:eastAsia="ru-RU"/>
        </w:rPr>
        <w:instrText>ADDIN CSL_CITATION {"citationItems":[{"id":"ITEM-1","itemData":{"ISSN":"2150-0878","PMID":"31086689","abstract":"Rituximab and hyaluronidase human is a new subcutaneous formulation of rituximab that was recently approved by the US Food and Drug Administration for the treatment of adults with follicular lymphoma, diffuse large B-cell lymphoma, and chronic lymphocytic leukemia. With data to support noninferior pharmacokinetics, similar outcomes, and comparable adverse events, rituximab and hyaluronidase human may offer a suitable alternative to intravenous rituximab that could improve convenience for patients and better utilize health-care resources.","author":[{"dropping-particle":"","family":"Yelvington","given":"Bradley J","non-dropping-particle":"","parse-names":false,"suffix":""}],"container-title":"Journal of the advanced practitioner in oncology","id":"ITEM-1","issue":"5","issued":{"date-parts":[["2018"]]},"page":"530-534","publisher":"Harborside Press","title":"Subcutaneous Rituximab in Follicular Lymphoma, Chronic Lymphocytic Leukemia, and Diffuse Large B-Cell Lymphoma.","type":"article-journal","volume":"9"},"uris":["http://www.mendeley.com/documents/?uuid=fbb0b8f4-6b58-3a10-b7d6-af3854030be8"]},{"id":"ITEM-2","itemData":{"DOI":"10.1007/s12325-017-0610-z","ISSN":"18658652","abstract":"Abstract: Rituximab (MabThera®/Rituxan®), a chimeric murine/human monoclonal antibody that binds specifically to the transmembrane antigen CD20, was the first therapeutic antibody to enter clinical practice for the treatment of cancer. As monotherapy and in combination with chemotherapy, rituximab has been shown to prolong progression-free survival and, in some indications overall survival, in patients with various B-cell malignancies, while having a well-established and manageable safety profile and a wide therapeutic window. As a result, rituximab is considered to have revolutionized treatment practices for patients with B-cell malignancies. A subcutaneous (SC) formulation of rituximab has been developed, comprising the same monoclonal antibody as the originally marketed formulation [rituximab concentrate for solution for intravenous (IV) infusion], and has undergone a detailed, sequential clinical development program. This program demonstrated that, at fixed doses, rituximab SC achieves non-inferior serum trough concentrations in patients with non-Hodgkin lymphoma and chronic lymphocytic leukemia, with comparable efficacy and safety relative to the IV formulation. The added benefit of rituximab SC was demonstrated in dedicated studies showing that rituximab SC allows for simplified and shortened drug preparation and administration times resulting in a reduced treatment burden for patients as well as improved resource utilization (efficiency) at the treatment facility. The improved efficiency of delivering rituximab’s benefit to patients may broaden patient access to rituximab therapy in areas with low levels of healthcare resources, including IV-chair capacity constraints. This article is a companion paper to G. Salles, et al., which is also published in this issue. Funding: F. Hoffmann-La Roche Ltd.","author":[{"dropping-particle":"","family":"Davies","given":"Andrew","non-dropping-particle":"","parse-names":false,"suffix":""},{"dropping-particle":"","family":"Berge","given":"Claude","non-dropping-particle":"","parse-names":false,"suffix":""},{"dropping-particle":"","family":"Boehnke","given":"Axel","non-dropping-particle":"","parse-names":false,"suffix":""},{"dropping-particle":"","family":"Dadabhoy","given":"Anjum","non-dropping-particle":"","parse-names":false,"suffix":""},{"dropping-particle":"","family":"Lugtenburg","given":"Pieternella","non-dropping-particle":"","parse-names":false,"suffix":""},{"dropping-particle":"","family":"Rule","given":"Simon","non-dropping-particle":"","parse-names":false,"suffix":""},{"dropping-particle":"","family":"Rummel","given":"Mathias","non-dropping-particle":"","parse-names":false,"suffix":""},{"dropping-particle":"","family":"McIntyre","given":"Christine","non-dropping-particle":"","parse-names":false,"suffix":""},{"dropping-particle":"","family":"Smith","given":"Rodney","non-dropping-particle":"","parse-names":false,"suffix":""},{"dropping-particle":"","family":"Badoux","given":"Xavier","non-dropping-particle":"","parse-names":false,"suffix":""}],"container-title":"Advances in Therapy","id":"ITEM-2","issue":"10","issued":{"date-parts":[["2017","10","1"]]},"page":"2210-2231","publisher":"Springer Healthcare","title":"Subcutaneous Rituximab for the Treatment of B-Cell Hematologic Malignancies: A Review of the Scientific Rationale and Clinical Development","type":"article","volume":"34"},"uris":["http://www.mendeley.com/documents/?uuid=c91e99c4-7e72-3803-909e-84f3e662a6e0"]},{"id":"ITEM-3","itemData":{"DOI":"10.1111/bjh.16227","ISSN":"0007-1048","abstract":"Rituximab is a standard treatment for non-Hodgkin diffuse large B-cell (DLBCL) and follicular (FL) lymphomas. A subcutaneous formulation was developed to improve the resource use of intravenous rituximab, with comparable efficacy and safety profiles except for increased administration-related reactions (ARRs). MabRella was a phase IIIb trial to assess the safety of switching from intravenous to subcutaneous administration of rituximab during first-line induction/maintenance for DLBCL or FL, focusing on ARRs. Efficacy, satisfaction and quality of life were also assessed. Patients received subcutaneous rituximab plus standard induction chemotherapy for DLBCL or FL for 4–7 cycles, and/or every 2 months maintenance monotherapy for FL for 6–12 cycles. The study included 140 patients: DLBCL, n = 29; FL, n = 111. Ninety-five percent of patients experienced adverse events, reaching grade ≥3 in 38·6% and were serious in 30·0%. AARs occurred in 48·6%, mostly (84·9%) at the injection site, with only 2·1% of patients reaching grade 3. The end-of-induction complete/unconfirmed complete response rate was 69·6%. After a median follow-up of 33·5 months, median disease-/event-/progression-free and overall survivals were not attained. The Rituximab Administration Satisfaction Questionnaire showed improvements in overall satisfaction and the EuroQoL-5D a good quality-of-life perception at induction/maintenance end. Therefore, switching to subcutaneous rituximab showed no new safety issues and maintained efficacy with improved satisfaction and quality of life.","author":[{"dropping-particle":"","family":"García‐Muñoz","given":"Ricardo","non-dropping-particle":"","parse-names":false,"suffix":""},{"dropping-particle":"","family":"Quero","given":"Cristina","non-dropping-particle":"","parse-names":false,"suffix":""},{"dropping-particle":"","family":"Pérez‐Persona","given":"Ernesto","non-dropping-particle":"","parse-names":false,"suffix":""},{"dropping-particle":"","family":"Domingo‐García","given":"Abel","non-dropping-particle":"","parse-names":false,"suffix":""},{"dropping-particle":"","family":"Pérez‐López","given":"Cristina","non-dropping-particle":"","parse-names":false,"suffix":""},{"dropping-particle":"","family":"Villaescusa‐de‐la‐Rosa","given":"Teresa","non-dropping-particle":"","parse-names":false,"suffix":""},{"dropping-particle":"","family":"Martínez‐Castro","given":"Ana M.","non-dropping-particle":"","parse-names":false,"suffix":""},{"dropping-particle":"","family":"Arguiñano‐Pérez","given":"José M.","non-dropping-particle":"","parse-names":false,"suffix":""},{"dropping-particle":"","family":"Parra‐Cuadrado","given":"Juan F.","non-dropping-particle":"","parse-names":false,"suffix":""},{"dropping-particle":"","family":"Panizo","given":"Carlos","non-dropping-particle":"","parse-names":false,"suffix":""}],"container-title":"British Journal of Haematology","id":"ITEM-3","issue":"5","issued":{"date-parts":[["2020","3","1"]]},"page":"661-673","publisher":"Blackwell Publishing Ltd","title":"Safety of switching from intravenous to subcutaneous rituximab during first‐line treatment of patients with non‐Hodgkin lymphoma: the Spanish population of the MabRella study","type":"article-journal","volume":"188"},"uris":["http://www.mendeley.com/documents/?uuid=89ca4d25-771e-3d22-9da5-61e99fb5ec3e"]},{"id":"ITEM-4","itemData":{"DOI":"10.3747/co.24.3470","ISSN":"17187729","abstract":"Rituximab is widely used for the treatment of non-Hodgkin lymphoma, being a key component in most therapeutic regimens. Administration of the intravenous (IV) formulation is lengthy and places a significant burden on health care resources and patient quality of life. A subcutaneous (sc) formulation that provides a fixed dose of rituximab is being examined in a number of studies. Results indicate that the pharmacokinetics are noninferior and response rates are comparable to those obtained with the IV formulation. Moreover, the sc formulation is preferred by patients and health care providers and reduces administration and chair time. Additional advantages include a lesser potential for dosing errors, shorter preparation time, reduced drug wastage, and fewer infusion-related reactions. Despite the success of the sc formulation, correct administration is needed to reduce administration-related reactions. By using a careful procedure, the sc formulation can be given safely and effectively, potentially reducing the burden on health care resources and improving quality of life for patients.","author":[{"dropping-particle":"","family":"Macdonald","given":"David","non-dropping-particle":"","parse-names":false,"suffix":""},{"dropping-particle":"","family":"Crosbie","given":"T.","non-dropping-particle":"","parse-names":false,"suffix":""},{"dropping-particle":"","family":"Christofides","given":"A.","non-dropping-particle":"","parse-names":false,"suffix":""},{"dropping-particle":"","family":"Assaily","given":"W.","non-dropping-particle":"","parse-names":false,"suffix":""},{"dropping-particle":"","family":"Wiernikowski","given":"J.","non-dropping-particle":"","parse-names":false,"suffix":""}],"container-title":"Current Oncology","id":"ITEM-4","issue":"1","issued":{"date-parts":[["2017"]]},"page":"33-39","publisher":"Multimed Inc.","title":"A canadian perspective on the subcutaneous administration of rituximab in non-Hodgkin lymphoma","type":"article","volume":"24"},"uris":["http://www.mendeley.com/documents/?uuid=0dec225e-8a47-3680-ba4d-891955a938a1"]}],"mendeley":{"formattedCitation":"[75–78]","plainTextFormattedCitation":"[75–78]","previouslyFormattedCitation":"[75–78]"},"properties":{"noteIndex":0},"schema":"https://github.com/citation-style-language/schema/raw/master/csl-citation.json"}</w:instrText>
      </w:r>
      <w:r>
        <w:rPr>
          <w:rFonts w:eastAsia="Times New Roman"/>
          <w:szCs w:val="24"/>
          <w:lang w:eastAsia="ru-RU"/>
        </w:rPr>
        <w:fldChar w:fldCharType="separate"/>
      </w:r>
      <w:r w:rsidR="00EF3174" w:rsidRPr="00EF3174">
        <w:rPr>
          <w:rFonts w:eastAsia="Times New Roman"/>
          <w:noProof/>
          <w:szCs w:val="24"/>
          <w:lang w:eastAsia="ru-RU"/>
        </w:rPr>
        <w:t>[75–78]</w:t>
      </w:r>
      <w:r>
        <w:rPr>
          <w:rFonts w:eastAsia="Times New Roman"/>
          <w:szCs w:val="24"/>
          <w:lang w:eastAsia="ru-RU"/>
        </w:rPr>
        <w:fldChar w:fldCharType="end"/>
      </w:r>
    </w:p>
    <w:p w14:paraId="57863B67" w14:textId="77777777" w:rsidR="00413554" w:rsidRPr="006641A3" w:rsidRDefault="00413554" w:rsidP="00A72B1B">
      <w:pPr>
        <w:numPr>
          <w:ilvl w:val="0"/>
          <w:numId w:val="22"/>
        </w:numPr>
        <w:contextualSpacing/>
        <w:rPr>
          <w:rFonts w:eastAsia="Times New Roman"/>
          <w:szCs w:val="24"/>
          <w:lang w:eastAsia="ru-RU"/>
        </w:rPr>
      </w:pPr>
      <w:r w:rsidRPr="006641A3">
        <w:rPr>
          <w:rFonts w:eastAsia="Times New Roman"/>
          <w:szCs w:val="24"/>
          <w:lang w:eastAsia="ru-RU"/>
        </w:rPr>
        <w:t>Циклофосфамид** 750 мг/м</w:t>
      </w:r>
      <w:r w:rsidRPr="006641A3">
        <w:rPr>
          <w:rFonts w:eastAsia="Times New Roman"/>
          <w:szCs w:val="24"/>
          <w:vertAlign w:val="superscript"/>
          <w:lang w:eastAsia="ru-RU"/>
        </w:rPr>
        <w:t>2</w:t>
      </w:r>
      <w:r w:rsidRPr="006641A3">
        <w:rPr>
          <w:rFonts w:eastAsia="Times New Roman"/>
          <w:szCs w:val="24"/>
          <w:lang w:eastAsia="ru-RU"/>
        </w:rPr>
        <w:t xml:space="preserve"> в/в кап., день 1</w:t>
      </w:r>
    </w:p>
    <w:p w14:paraId="53A1C226" w14:textId="77777777" w:rsidR="00413554" w:rsidRPr="006641A3" w:rsidRDefault="00413554" w:rsidP="00A72B1B">
      <w:pPr>
        <w:numPr>
          <w:ilvl w:val="0"/>
          <w:numId w:val="22"/>
        </w:numPr>
        <w:contextualSpacing/>
        <w:rPr>
          <w:rFonts w:eastAsia="Times New Roman"/>
          <w:szCs w:val="24"/>
          <w:lang w:eastAsia="ru-RU"/>
        </w:rPr>
      </w:pPr>
      <w:r w:rsidRPr="006641A3">
        <w:rPr>
          <w:rFonts w:eastAsia="Times New Roman"/>
          <w:szCs w:val="24"/>
          <w:lang w:eastAsia="ru-RU"/>
        </w:rPr>
        <w:t>#Винкристин** 1,4 мг/м</w:t>
      </w:r>
      <w:r w:rsidRPr="006641A3">
        <w:rPr>
          <w:rFonts w:eastAsia="Times New Roman"/>
          <w:szCs w:val="24"/>
          <w:vertAlign w:val="superscript"/>
          <w:lang w:eastAsia="ru-RU"/>
        </w:rPr>
        <w:t>2</w:t>
      </w:r>
      <w:r w:rsidRPr="006641A3">
        <w:rPr>
          <w:rFonts w:eastAsia="Times New Roman"/>
          <w:szCs w:val="24"/>
          <w:lang w:eastAsia="ru-RU"/>
        </w:rPr>
        <w:t xml:space="preserve"> (суммарно не более 2 мг) в/в, день 1</w:t>
      </w:r>
    </w:p>
    <w:p w14:paraId="7FA1FC93" w14:textId="77777777" w:rsidR="00413554" w:rsidRPr="006641A3" w:rsidRDefault="00413554" w:rsidP="00A72B1B">
      <w:pPr>
        <w:numPr>
          <w:ilvl w:val="0"/>
          <w:numId w:val="22"/>
        </w:numPr>
        <w:contextualSpacing/>
        <w:rPr>
          <w:rFonts w:eastAsia="Times New Roman"/>
          <w:szCs w:val="24"/>
          <w:lang w:eastAsia="ru-RU"/>
        </w:rPr>
      </w:pPr>
      <w:r w:rsidRPr="006641A3">
        <w:rPr>
          <w:rFonts w:eastAsia="Times New Roman"/>
          <w:szCs w:val="24"/>
          <w:lang w:eastAsia="ru-RU"/>
        </w:rPr>
        <w:t xml:space="preserve">Преднизолон** </w:t>
      </w:r>
      <w:r w:rsidRPr="00C66693">
        <w:rPr>
          <w:rFonts w:eastAsia="Times New Roman"/>
          <w:szCs w:val="24"/>
          <w:lang w:eastAsia="ru-RU"/>
        </w:rPr>
        <w:t xml:space="preserve">100 </w:t>
      </w:r>
      <w:r w:rsidRPr="006641A3">
        <w:rPr>
          <w:rFonts w:eastAsia="Times New Roman"/>
          <w:szCs w:val="24"/>
          <w:lang w:eastAsia="ru-RU"/>
        </w:rPr>
        <w:t>мг внутрь, дни 1-5</w:t>
      </w:r>
    </w:p>
    <w:p w14:paraId="04638C44" w14:textId="77777777" w:rsidR="00413554" w:rsidRPr="006641A3" w:rsidRDefault="00413554" w:rsidP="00413554">
      <w:pPr>
        <w:ind w:left="360"/>
        <w:rPr>
          <w:rFonts w:eastAsia="Times New Roman"/>
          <w:szCs w:val="24"/>
          <w:lang w:eastAsia="ru-RU"/>
        </w:rPr>
      </w:pPr>
      <w:r w:rsidRPr="006641A3">
        <w:rPr>
          <w:rFonts w:eastAsia="Times New Roman"/>
          <w:szCs w:val="24"/>
          <w:lang w:eastAsia="ru-RU"/>
        </w:rPr>
        <w:t>Лечение возобновляется на 22 день</w:t>
      </w:r>
    </w:p>
    <w:p w14:paraId="7A08BFBA" w14:textId="77777777" w:rsidR="00413554" w:rsidRPr="006641A3" w:rsidRDefault="00413554" w:rsidP="00413554">
      <w:pPr>
        <w:ind w:left="360"/>
        <w:rPr>
          <w:rFonts w:eastAsia="Times New Roman"/>
          <w:szCs w:val="24"/>
          <w:lang w:eastAsia="ru-RU"/>
        </w:rPr>
      </w:pPr>
    </w:p>
    <w:p w14:paraId="3CB03729" w14:textId="397E8B80" w:rsidR="00413554" w:rsidRPr="006641A3" w:rsidRDefault="00413554" w:rsidP="00413554">
      <w:pPr>
        <w:rPr>
          <w:rFonts w:eastAsia="Times New Roman"/>
          <w:b/>
          <w:szCs w:val="24"/>
          <w:lang w:eastAsia="ru-RU"/>
        </w:rPr>
      </w:pPr>
      <w:r w:rsidRPr="006641A3">
        <w:rPr>
          <w:rFonts w:eastAsia="Times New Roman"/>
          <w:b/>
          <w:szCs w:val="24"/>
          <w:lang w:val="en-US" w:eastAsia="ru-RU"/>
        </w:rPr>
        <w:t>RB</w:t>
      </w:r>
      <w:r w:rsidRPr="006641A3">
        <w:rPr>
          <w:rFonts w:eastAsia="Times New Roman"/>
          <w:b/>
          <w:szCs w:val="24"/>
          <w:lang w:eastAsia="ru-RU"/>
        </w:rPr>
        <w:fldChar w:fldCharType="begin" w:fldLock="1"/>
      </w:r>
      <w:r w:rsidR="004D13EB">
        <w:rPr>
          <w:rFonts w:eastAsia="Times New Roman"/>
          <w:b/>
          <w:szCs w:val="24"/>
          <w:lang w:eastAsia="ru-RU"/>
        </w:rPr>
        <w:instrText>ADDIN CSL_CITATION {"citationItems":[{"id":"ITEM-1","itemData":{"DOI":"10.1182/blood-2013-11-531327","ISSN":"15280020","PMID":"24591201","abstract":"This randomized, noninferiority (NI), global, phase 3 study evaluated the efficacy and safety ofbendamustineplusrituximab(BR) vs a standard rituximab-chemotherapy regimen (rituximab plus cyclophosphamide, doxorubicin, vincristine, and prednisone [R-CHOP] or rituximab plus cyclophosphamide, vincristine, and prednisone [R-CVP]) for treatmentnaive patients with indolent non-Hodgkin's lymphoma or mantle cell lymphoma. Investigators preassigned the standard treatment regimen they considered most appropriate for each patient; patients were randomized to receive BR (n 5 224) or standard therapy (R-CHOP/R-CVP, n 5 223) for 6 cycles; 2 additional cycles were permitted at investigator discretion. Response was assessed by a blinded independent review committee. BR was noninferior to R-CHOP/R-CVP, as assessed by the primary end point of complete response rate (31% vs 25%, respectively; P 5 .0225 for NI [0.88 margin]). The overall response rates for BR and R-CHOP/R-CVP were 97% and 91%, respectively (P 5 .0102). Incidences of vomiting and drug-hypersensitivity reactions were significantly higher in patients treated with BR (P &lt; .05), and incidences of peripheral neuropathy/paresthesia and alopecia were significantly higher in patients treated with standard-therapy regimens (P &lt; .05). These data indicate BR is noninferior to standard therapy with regard to clinical response with an acceptable safety profile. © 2014 by The American Society of Hematology.","author":[{"dropping-particle":"","family":"Flinn","given":"Ian W.","non-dropping-particle":"","parse-names":false,"suffix":""},{"dropping-particle":"","family":"Jagt","given":"Richard","non-dropping-particle":"Van Der","parse-names":false,"suffix":""},{"dropping-particle":"","family":"Kahl","given":"Brad S.","non-dropping-particle":"","parse-names":false,"suffix":""},{"dropping-particle":"","family":"Wood","given":"Peter","non-dropping-particle":"","parse-names":false,"suffix":""},{"dropping-particle":"","family":"Hawkins","given":"Tim E.","non-dropping-particle":"","parse-names":false,"suffix":""},{"dropping-particle":"","family":"Macdonald","given":"David","non-dropping-particle":"","parse-names":false,"suffix":""},{"dropping-particle":"","family":"Hertzberg","given":"Mark","non-dropping-particle":"","parse-names":false,"suffix":""},{"dropping-particle":"","family":"Kwan","given":"Yiu-Lam Lam","non-dropping-particle":"","parse-names":false,"suffix":""},{"dropping-particle":"","family":"Simpson","given":"David","non-dropping-particle":"","parse-names":false,"suffix":""},{"dropping-particle":"","family":"Craig","given":"Michael","non-dropping-particle":"","parse-names":false,"suffix":""},{"dropping-particle":"","family":"Kolibaba","given":"Kathryn","non-dropping-particle":"","parse-names":false,"suffix":""},{"dropping-particle":"","family":"Issa","given":"Samar","non-dropping-particle":"","parse-names":false,"suffix":""},{"dropping-particle":"","family":"Clementi","given":"Regina","non-dropping-particle":"","parse-names":false,"suffix":""},{"dropping-particle":"","family":"Hallman","given":"Doreen M.","non-dropping-particle":"","parse-names":false,"suffix":""},{"dropping-particle":"","family":"Munteanu","given":"Mihaela","non-dropping-particle":"","parse-names":false,"suffix":""},{"dropping-particle":"","family":"Chen","given":"Ling","non-dropping-particle":"","parse-names":false,"suffix":""},{"dropping-particle":"","family":"Burke","given":"John M.","non-dropping-particle":"","parse-names":false,"suffix":""}],"container-title":"Blood","id":"ITEM-1","issue":"19","issued":{"date-parts":[["2014","5","8"]]},"page":"2944–2952","publisher":"American Society of Hematology","title":"Randomized trial of bendamustine-rituximab or R-CHOP/R-CVP in first-line treatment of indolent NHL or MCL: the BRIGHT study","type":"article-journal","volume":"123"},"uris":["http://www.mendeley.com/documents/?uuid=3d088858-0169-4e8a-96c2-ebbd5e1d21a5"]}],"mendeley":{"formattedCitation":"[80]","plainTextFormattedCitation":"[80]","previouslyFormattedCitation":"[80]"},"properties":{"noteIndex":0},"schema":"https://github.com/citation-style-language/schema/raw/master/csl-citation.json"}</w:instrText>
      </w:r>
      <w:r w:rsidRPr="006641A3">
        <w:rPr>
          <w:rFonts w:eastAsia="Times New Roman"/>
          <w:b/>
          <w:szCs w:val="24"/>
          <w:lang w:eastAsia="ru-RU"/>
        </w:rPr>
        <w:fldChar w:fldCharType="separate"/>
      </w:r>
      <w:r w:rsidR="00EF3174" w:rsidRPr="00EF3174">
        <w:rPr>
          <w:rFonts w:eastAsia="Times New Roman"/>
          <w:noProof/>
          <w:szCs w:val="24"/>
          <w:lang w:eastAsia="ru-RU"/>
        </w:rPr>
        <w:t>[80]</w:t>
      </w:r>
      <w:r w:rsidRPr="006641A3">
        <w:rPr>
          <w:rFonts w:eastAsia="Times New Roman"/>
          <w:b/>
          <w:szCs w:val="24"/>
          <w:lang w:eastAsia="ru-RU"/>
        </w:rPr>
        <w:fldChar w:fldCharType="end"/>
      </w:r>
    </w:p>
    <w:p w14:paraId="4F40EBA5" w14:textId="77777777" w:rsidR="00413554" w:rsidRPr="006641A3" w:rsidRDefault="00413554" w:rsidP="00A72B1B">
      <w:pPr>
        <w:numPr>
          <w:ilvl w:val="0"/>
          <w:numId w:val="23"/>
        </w:numPr>
        <w:contextualSpacing/>
        <w:rPr>
          <w:rFonts w:eastAsia="Times New Roman"/>
          <w:szCs w:val="24"/>
          <w:lang w:eastAsia="ru-RU"/>
        </w:rPr>
      </w:pPr>
      <w:r w:rsidRPr="006641A3">
        <w:rPr>
          <w:rFonts w:eastAsia="Times New Roman"/>
          <w:szCs w:val="24"/>
          <w:lang w:eastAsia="ru-RU"/>
        </w:rPr>
        <w:t>Ритуксимаб**</w:t>
      </w:r>
    </w:p>
    <w:p w14:paraId="089D0B49" w14:textId="77777777" w:rsidR="00413554" w:rsidRPr="006641A3" w:rsidRDefault="00413554" w:rsidP="00A72B1B">
      <w:pPr>
        <w:numPr>
          <w:ilvl w:val="1"/>
          <w:numId w:val="23"/>
        </w:numPr>
        <w:contextualSpacing/>
        <w:rPr>
          <w:rFonts w:eastAsia="Times New Roman"/>
          <w:szCs w:val="24"/>
          <w:lang w:eastAsia="ru-RU"/>
        </w:rPr>
      </w:pPr>
      <w:r w:rsidRPr="006641A3">
        <w:rPr>
          <w:rFonts w:eastAsia="Times New Roman"/>
          <w:szCs w:val="24"/>
          <w:lang w:eastAsia="ru-RU"/>
        </w:rPr>
        <w:t>375 мг/м</w:t>
      </w:r>
      <w:r w:rsidRPr="006641A3">
        <w:rPr>
          <w:rFonts w:eastAsia="Times New Roman"/>
          <w:szCs w:val="24"/>
          <w:vertAlign w:val="superscript"/>
          <w:lang w:eastAsia="ru-RU"/>
        </w:rPr>
        <w:t>2</w:t>
      </w:r>
      <w:r w:rsidRPr="006641A3">
        <w:rPr>
          <w:rFonts w:eastAsia="Times New Roman"/>
          <w:szCs w:val="24"/>
          <w:lang w:eastAsia="ru-RU"/>
        </w:rPr>
        <w:t xml:space="preserve"> в/в кап., день 0 или 1 все циклы курса</w:t>
      </w:r>
    </w:p>
    <w:p w14:paraId="0BC6AA0B" w14:textId="77777777" w:rsidR="00413554" w:rsidRPr="006641A3" w:rsidRDefault="00413554" w:rsidP="00413554">
      <w:pPr>
        <w:ind w:left="1080" w:firstLine="336"/>
        <w:contextualSpacing/>
        <w:rPr>
          <w:rFonts w:eastAsia="Times New Roman"/>
          <w:szCs w:val="24"/>
          <w:lang w:eastAsia="ru-RU"/>
        </w:rPr>
      </w:pPr>
      <w:r w:rsidRPr="006641A3">
        <w:rPr>
          <w:rFonts w:eastAsia="Times New Roman"/>
          <w:szCs w:val="24"/>
          <w:lang w:eastAsia="ru-RU"/>
        </w:rPr>
        <w:t>или</w:t>
      </w:r>
    </w:p>
    <w:p w14:paraId="5F761626" w14:textId="50FF475B" w:rsidR="00413554" w:rsidRPr="006641A3" w:rsidRDefault="00413554" w:rsidP="00A72B1B">
      <w:pPr>
        <w:numPr>
          <w:ilvl w:val="1"/>
          <w:numId w:val="23"/>
        </w:numPr>
        <w:contextualSpacing/>
        <w:rPr>
          <w:rFonts w:eastAsia="Times New Roman"/>
          <w:szCs w:val="24"/>
          <w:lang w:eastAsia="ru-RU"/>
        </w:rPr>
      </w:pPr>
      <w:r w:rsidRPr="006641A3">
        <w:rPr>
          <w:rFonts w:eastAsia="Times New Roman"/>
          <w:szCs w:val="24"/>
          <w:lang w:eastAsia="ru-RU"/>
        </w:rPr>
        <w:t>375 мг/м</w:t>
      </w:r>
      <w:r w:rsidRPr="006641A3">
        <w:rPr>
          <w:rFonts w:eastAsia="Times New Roman"/>
          <w:szCs w:val="24"/>
          <w:vertAlign w:val="superscript"/>
          <w:lang w:eastAsia="ru-RU"/>
        </w:rPr>
        <w:t>2</w:t>
      </w:r>
      <w:r w:rsidRPr="006641A3">
        <w:rPr>
          <w:rFonts w:eastAsia="Times New Roman"/>
          <w:szCs w:val="24"/>
          <w:lang w:eastAsia="ru-RU"/>
        </w:rPr>
        <w:t xml:space="preserve"> в/в кап. 1 цикл,</w:t>
      </w:r>
      <w:r w:rsidRPr="006641A3">
        <w:rPr>
          <w:szCs w:val="24"/>
        </w:rPr>
        <w:t xml:space="preserve"> далее ритуксимаб** 1400 мг п/к,</w:t>
      </w:r>
      <w:r w:rsidRPr="006641A3">
        <w:rPr>
          <w:rFonts w:eastAsia="Times New Roman"/>
          <w:szCs w:val="24"/>
          <w:lang w:eastAsia="ru-RU"/>
        </w:rPr>
        <w:t xml:space="preserve"> день 0 или 1</w:t>
      </w:r>
      <w:r>
        <w:rPr>
          <w:rFonts w:eastAsia="Times New Roman"/>
          <w:szCs w:val="24"/>
          <w:lang w:eastAsia="ru-RU"/>
        </w:rPr>
        <w:fldChar w:fldCharType="begin" w:fldLock="1"/>
      </w:r>
      <w:r w:rsidR="004D13EB">
        <w:rPr>
          <w:rFonts w:eastAsia="Times New Roman"/>
          <w:szCs w:val="24"/>
          <w:lang w:eastAsia="ru-RU"/>
        </w:rPr>
        <w:instrText>ADDIN CSL_CITATION {"citationItems":[{"id":"ITEM-1","itemData":{"ISSN":"2150-0878","PMID":"31086689","abstract":"Rituximab and hyaluronidase human is a new subcutaneous formulation of rituximab that was recently approved by the US Food and Drug Administration for the treatment of adults with follicular lymphoma, diffuse large B-cell lymphoma, and chronic lymphocytic leukemia. With data to support noninferior pharmacokinetics, similar outcomes, and comparable adverse events, rituximab and hyaluronidase human may offer a suitable alternative to intravenous rituximab that could improve convenience for patients and better utilize health-care resources.","author":[{"dropping-particle":"","family":"Yelvington","given":"Bradley J","non-dropping-particle":"","parse-names":false,"suffix":""}],"container-title":"Journal of the advanced practitioner in oncology","id":"ITEM-1","issue":"5","issued":{"date-parts":[["2018"]]},"page":"530-534","publisher":"Harborside Press","title":"Subcutaneous Rituximab in Follicular Lymphoma, Chronic Lymphocytic Leukemia, and Diffuse Large B-Cell Lymphoma.","type":"article-journal","volume":"9"},"uris":["http://www.mendeley.com/documents/?uuid=fbb0b8f4-6b58-3a10-b7d6-af3854030be8"]},{"id":"ITEM-2","itemData":{"DOI":"10.1007/s12325-017-0610-z","ISSN":"18658652","abstract":"Abstract: Rituximab (MabThera®/Rituxan®), a chimeric murine/human monoclonal antibody that binds specifically to the transmembrane antigen CD20, was the first therapeutic antibody to enter clinical practice for the treatment of cancer. As monotherapy and in combination with chemotherapy, rituximab has been shown to prolong progression-free survival and, in some indications overall survival, in patients with various B-cell malignancies, while having a well-established and manageable safety profile and a wide therapeutic window. As a result, rituximab is considered to have revolutionized treatment practices for patients with B-cell malignancies. A subcutaneous (SC) formulation of rituximab has been developed, comprising the same monoclonal antibody as the originally marketed formulation [rituximab concentrate for solution for intravenous (IV) infusion], and has undergone a detailed, sequential clinical development program. This program demonstrated that, at fixed doses, rituximab SC achieves non-inferior serum trough concentrations in patients with non-Hodgkin lymphoma and chronic lymphocytic leukemia, with comparable efficacy and safety relative to the IV formulation. The added benefit of rituximab SC was demonstrated in dedicated studies showing that rituximab SC allows for simplified and shortened drug preparation and administration times resulting in a reduced treatment burden for patients as well as improved resource utilization (efficiency) at the treatment facility. The improved efficiency of delivering rituximab’s benefit to patients may broaden patient access to rituximab therapy in areas with low levels of healthcare resources, including IV-chair capacity constraints. This article is a companion paper to G. Salles, et al., which is also published in this issue. Funding: F. Hoffmann-La Roche Ltd.","author":[{"dropping-particle":"","family":"Davies","given":"Andrew","non-dropping-particle":"","parse-names":false,"suffix":""},{"dropping-particle":"","family":"Berge","given":"Claude","non-dropping-particle":"","parse-names":false,"suffix":""},{"dropping-particle":"","family":"Boehnke","given":"Axel","non-dropping-particle":"","parse-names":false,"suffix":""},{"dropping-particle":"","family":"Dadabhoy","given":"Anjum","non-dropping-particle":"","parse-names":false,"suffix":""},{"dropping-particle":"","family":"Lugtenburg","given":"Pieternella","non-dropping-particle":"","parse-names":false,"suffix":""},{"dropping-particle":"","family":"Rule","given":"Simon","non-dropping-particle":"","parse-names":false,"suffix":""},{"dropping-particle":"","family":"Rummel","given":"Mathias","non-dropping-particle":"","parse-names":false,"suffix":""},{"dropping-particle":"","family":"McIntyre","given":"Christine","non-dropping-particle":"","parse-names":false,"suffix":""},{"dropping-particle":"","family":"Smith","given":"Rodney","non-dropping-particle":"","parse-names":false,"suffix":""},{"dropping-particle":"","family":"Badoux","given":"Xavier","non-dropping-particle":"","parse-names":false,"suffix":""}],"container-title":"Advances in Therapy","id":"ITEM-2","issue":"10","issued":{"date-parts":[["2017","10","1"]]},"page":"2210-2231","publisher":"Springer Healthcare","title":"Subcutaneous Rituximab for the Treatment of B-Cell Hematologic Malignancies: A Review of the Scientific Rationale and Clinical Development","type":"article","volume":"34"},"uris":["http://www.mendeley.com/documents/?uuid=c91e99c4-7e72-3803-909e-84f3e662a6e0"]},{"id":"ITEM-3","itemData":{"DOI":"10.1111/bjh.16227","ISSN":"0007-1048","abstract":"Rituximab is a standard treatment for non-Hodgkin diffuse large B-cell (DLBCL) and follicular (FL) lymphomas. A subcutaneous formulation was developed to improve the resource use of intravenous rituximab, with comparable efficacy and safety profiles except for increased administration-related reactions (ARRs). MabRella was a phase IIIb trial to assess the safety of switching from intravenous to subcutaneous administration of rituximab during first-line induction/maintenance for DLBCL or FL, focusing on ARRs. Efficacy, satisfaction and quality of life were also assessed. Patients received subcutaneous rituximab plus standard induction chemotherapy for DLBCL or FL for 4–7 cycles, and/or every 2 months maintenance monotherapy for FL for 6–12 cycles. The study included 140 patients: DLBCL, n = 29; FL, n = 111. Ninety-five percent of patients experienced adverse events, reaching grade ≥3 in 38·6% and were serious in 30·0%. AARs occurred in 48·6%, mostly (84·9%) at the injection site, with only 2·1% of patients reaching grade 3. The end-of-induction complete/unconfirmed complete response rate was 69·6%. After a median follow-up of 33·5 months, median disease-/event-/progression-free and overall survivals were not attained. The Rituximab Administration Satisfaction Questionnaire showed improvements in overall satisfaction and the EuroQoL-5D a good quality-of-life perception at induction/maintenance end. Therefore, switching to subcutaneous rituximab showed no new safety issues and maintained efficacy with improved satisfaction and quality of life.","author":[{"dropping-particle":"","family":"García‐Muñoz","given":"Ricardo","non-dropping-particle":"","parse-names":false,"suffix":""},{"dropping-particle":"","family":"Quero","given":"Cristina","non-dropping-particle":"","parse-names":false,"suffix":""},{"dropping-particle":"","family":"Pérez‐Persona","given":"Ernesto","non-dropping-particle":"","parse-names":false,"suffix":""},{"dropping-particle":"","family":"Domingo‐García","given":"Abel","non-dropping-particle":"","parse-names":false,"suffix":""},{"dropping-particle":"","family":"Pérez‐López","given":"Cristina","non-dropping-particle":"","parse-names":false,"suffix":""},{"dropping-particle":"","family":"Villaescusa‐de‐la‐Rosa","given":"Teresa","non-dropping-particle":"","parse-names":false,"suffix":""},{"dropping-particle":"","family":"Martínez‐Castro","given":"Ana M.","non-dropping-particle":"","parse-names":false,"suffix":""},{"dropping-particle":"","family":"Arguiñano‐Pérez","given":"José M.","non-dropping-particle":"","parse-names":false,"suffix":""},{"dropping-particle":"","family":"Parra‐Cuadrado","given":"Juan F.","non-dropping-particle":"","parse-names":false,"suffix":""},{"dropping-particle":"","family":"Panizo","given":"Carlos","non-dropping-particle":"","parse-names":false,"suffix":""}],"container-title":"British Journal of Haematology","id":"ITEM-3","issue":"5","issued":{"date-parts":[["2020","3","1"]]},"page":"661-673","publisher":"Blackwell Publishing Ltd","title":"Safety of switching from intravenous to subcutaneous rituximab during first‐line treatment of patients with non‐Hodgkin lymphoma: the Spanish population of the MabRella study","type":"article-journal","volume":"188"},"uris":["http://www.mendeley.com/documents/?uuid=89ca4d25-771e-3d22-9da5-61e99fb5ec3e"]},{"id":"ITEM-4","itemData":{"DOI":"10.3747/co.24.3470","ISSN":"17187729","abstract":"Rituximab is widely used for the treatment of non-Hodgkin lymphoma, being a key component in most therapeutic regimens. Administration of the intravenous (IV) formulation is lengthy and places a significant burden on health care resources and patient quality of life. A subcutaneous (sc) formulation that provides a fixed dose of rituximab is being examined in a number of studies. Results indicate that the pharmacokinetics are noninferior and response rates are comparable to those obtained with the IV formulation. Moreover, the sc formulation is preferred by patients and health care providers and reduces administration and chair time. Additional advantages include a lesser potential for dosing errors, shorter preparation time, reduced drug wastage, and fewer infusion-related reactions. Despite the success of the sc formulation, correct administration is needed to reduce administration-related reactions. By using a careful procedure, the sc formulation can be given safely and effectively, potentially reducing the burden on health care resources and improving quality of life for patients.","author":[{"dropping-particle":"","family":"Macdonald","given":"David","non-dropping-particle":"","parse-names":false,"suffix":""},{"dropping-particle":"","family":"Crosbie","given":"T.","non-dropping-particle":"","parse-names":false,"suffix":""},{"dropping-particle":"","family":"Christofides","given":"A.","non-dropping-particle":"","parse-names":false,"suffix":""},{"dropping-particle":"","family":"Assaily","given":"W.","non-dropping-particle":"","parse-names":false,"suffix":""},{"dropping-particle":"","family":"Wiernikowski","given":"J.","non-dropping-particle":"","parse-names":false,"suffix":""}],"container-title":"Current Oncology","id":"ITEM-4","issue":"1","issued":{"date-parts":[["2017"]]},"page":"33-39","publisher":"Multimed Inc.","title":"A canadian perspective on the subcutaneous administration of rituximab in non-Hodgkin lymphoma","type":"article","volume":"24"},"uris":["http://www.mendeley.com/documents/?uuid=0dec225e-8a47-3680-ba4d-891955a938a1"]}],"mendeley":{"formattedCitation":"[75–78]","plainTextFormattedCitation":"[75–78]","previouslyFormattedCitation":"[75–78]"},"properties":{"noteIndex":0},"schema":"https://github.com/citation-style-language/schema/raw/master/csl-citation.json"}</w:instrText>
      </w:r>
      <w:r>
        <w:rPr>
          <w:rFonts w:eastAsia="Times New Roman"/>
          <w:szCs w:val="24"/>
          <w:lang w:eastAsia="ru-RU"/>
        </w:rPr>
        <w:fldChar w:fldCharType="separate"/>
      </w:r>
      <w:r w:rsidR="00EF3174" w:rsidRPr="00EF3174">
        <w:rPr>
          <w:rFonts w:eastAsia="Times New Roman"/>
          <w:noProof/>
          <w:szCs w:val="24"/>
          <w:lang w:eastAsia="ru-RU"/>
        </w:rPr>
        <w:t>[75–78]</w:t>
      </w:r>
      <w:r>
        <w:rPr>
          <w:rFonts w:eastAsia="Times New Roman"/>
          <w:szCs w:val="24"/>
          <w:lang w:eastAsia="ru-RU"/>
        </w:rPr>
        <w:fldChar w:fldCharType="end"/>
      </w:r>
    </w:p>
    <w:p w14:paraId="503CABCF" w14:textId="77777777" w:rsidR="00413554" w:rsidRPr="006641A3" w:rsidRDefault="00413554" w:rsidP="00A72B1B">
      <w:pPr>
        <w:numPr>
          <w:ilvl w:val="0"/>
          <w:numId w:val="23"/>
        </w:numPr>
        <w:contextualSpacing/>
        <w:rPr>
          <w:rFonts w:eastAsia="Times New Roman"/>
          <w:szCs w:val="24"/>
          <w:lang w:eastAsia="ru-RU"/>
        </w:rPr>
      </w:pPr>
      <w:r w:rsidRPr="006641A3">
        <w:rPr>
          <w:rFonts w:eastAsia="Times New Roman"/>
          <w:szCs w:val="24"/>
          <w:lang w:eastAsia="ru-RU"/>
        </w:rPr>
        <w:t>#Бендамустин** 90 мг/м</w:t>
      </w:r>
      <w:r w:rsidRPr="006641A3">
        <w:rPr>
          <w:rFonts w:eastAsia="Times New Roman"/>
          <w:szCs w:val="24"/>
          <w:vertAlign w:val="superscript"/>
          <w:lang w:eastAsia="ru-RU"/>
        </w:rPr>
        <w:t>2</w:t>
      </w:r>
      <w:r w:rsidRPr="006641A3">
        <w:rPr>
          <w:rFonts w:eastAsia="Times New Roman"/>
          <w:szCs w:val="24"/>
          <w:lang w:eastAsia="ru-RU"/>
        </w:rPr>
        <w:t xml:space="preserve"> в/в кап., дни 1, 2</w:t>
      </w:r>
    </w:p>
    <w:p w14:paraId="429815A4" w14:textId="77777777" w:rsidR="00413554" w:rsidRPr="006641A3" w:rsidRDefault="00413554" w:rsidP="00413554">
      <w:pPr>
        <w:pStyle w:val="affff"/>
        <w:spacing w:beforeAutospacing="0" w:afterAutospacing="0" w:line="360" w:lineRule="auto"/>
        <w:ind w:firstLine="0"/>
      </w:pPr>
      <w:r w:rsidRPr="006641A3">
        <w:t>Лечение возобновляется на 22 день</w:t>
      </w:r>
    </w:p>
    <w:p w14:paraId="5F830E91" w14:textId="77777777" w:rsidR="00413554" w:rsidRPr="006641A3" w:rsidRDefault="00413554" w:rsidP="00413554">
      <w:pPr>
        <w:rPr>
          <w:rFonts w:eastAsia="Times New Roman"/>
          <w:b/>
          <w:szCs w:val="24"/>
          <w:lang w:eastAsia="ru-RU"/>
        </w:rPr>
      </w:pPr>
    </w:p>
    <w:p w14:paraId="41D2B049" w14:textId="221BA68E" w:rsidR="00413554" w:rsidRPr="006641A3" w:rsidRDefault="00413554" w:rsidP="00413554">
      <w:pPr>
        <w:rPr>
          <w:rFonts w:eastAsia="Times New Roman"/>
          <w:bCs/>
          <w:szCs w:val="24"/>
          <w:lang w:eastAsia="ru-RU"/>
        </w:rPr>
      </w:pPr>
      <w:r w:rsidRPr="006641A3">
        <w:rPr>
          <w:rFonts w:eastAsia="Times New Roman"/>
          <w:b/>
          <w:szCs w:val="24"/>
          <w:lang w:val="en-US" w:eastAsia="ru-RU"/>
        </w:rPr>
        <w:t>R</w:t>
      </w:r>
      <w:r w:rsidRPr="006641A3">
        <w:rPr>
          <w:rFonts w:eastAsia="Times New Roman"/>
          <w:b/>
          <w:szCs w:val="24"/>
          <w:lang w:eastAsia="ru-RU"/>
        </w:rPr>
        <w:t>2</w:t>
      </w:r>
      <w:r w:rsidRPr="006641A3">
        <w:fldChar w:fldCharType="begin" w:fldLock="1"/>
      </w:r>
      <w:r w:rsidR="004A6A9D">
        <w:instrText>ADDIN CSL_CITATION {"citationItems":[{"id":"ITEM-1","itemData":{"DOI":"10.1200/JCO.19.00010","ISSN":"15277755","abstract":"PURPOSE Patients with indolent non-Hodgkin lymphoma typically respond well to first-line immunochemotherapy. At relapse, single-agent rituximab is commonly administered. Data suggest the immunomodulatory agent lenalidomide could increase the activity of rituximab. METHODS A phase III, multicenter, randomized trial of lenalidomide plus rituximab versus placebo plus rituximab was conducted in patients with relapsed and/or refractory follicular or marginal zone lymphoma. Patients received lenalidomide or placebo for 12 cycles plus rituximab once per week for 4 weeks in cycle 1 and day 1 of cycles 2 through 5. The primary end point was progression-free survival per independent radiology review. RESULTS A total of 358 patients were randomly assigned to lenalidomide plus rituximab (n = 178) or placebo plus rituximab (n = 180). Infections (63% v 49%), neutropenia (58% v 23%), and cutaneous reactions (32% v 12%) were more common with lenalidomide plus rituximab. Grade 3 or 4 neutropenia (50% v 13%) and leukopenia (7% v 2%) were higher with lenalidomide plus rituximab; no other grade 3 or 4 adverse event differed by 5% or more between groups. Progression-free survival was significantly improved for lenalidomide plus rituximab versus placebo plus rituximab, with a hazard ratio of 0.46 (95% CI, 0.34 to 0.62; P &lt; .001) and median duration of 39.4 months (95% CI, 22.9 months to not reached) versus 14.1 months (95% CI, 11.4 to 16.7 months), respectively. CONCLUSION Lenalidomide improved efficacy of rituximab in patients with recurrent indolent lymphoma, with an acceptable safety profile.","author":[{"dropping-particle":"","family":"Leonard","given":"John P.","non-dropping-particle":"","parse-names":false,"suffix":""},{"dropping-particle":"","family":"Trneny","given":"Marek","non-dropping-particle":"","parse-names":false,"suffix":""},{"dropping-particle":"","family":"Izutsu","given":"Koji","non-dropping-particle":"","parse-names":false,"suffix":""},{"dropping-particle":"","family":"Fowler","given":"Nathan H.","non-dropping-particle":"","parse-names":false,"suffix":""},{"dropping-particle":"","family":"Hong","given":"Xiaonan","non-dropping-particle":"","parse-names":false,"suffix":""},{"dropping-particle":"","family":"Zhu","given":"Jun","non-dropping-particle":"","parse-names":false,"suffix":""},{"dropping-particle":"","family":"Zhang","given":"Huilai","non-dropping-particle":"","parse-names":false,"suffix":""},{"dropping-particle":"","family":"Offner","given":"Fritz","non-dropping-particle":"","parse-names":false,"suffix":""},{"dropping-particle":"","family":"Scheliga","given":"Adriana","non-dropping-particle":"","parse-names":false,"suffix":""},{"dropping-particle":"","family":"Nowakowski","given":"Grzegorz S.","non-dropping-particle":"","parse-names":false,"suffix":""},{"dropping-particle":"","family":"Pinto","given":"Antonio","non-dropping-particle":"","parse-names":false,"suffix":""},{"dropping-particle":"","family":"Re","given":"Francesca","non-dropping-particle":"","parse-names":false,"suffix":""},{"dropping-particle":"","family":"Fogliatto","given":"Laura Maria","non-dropping-particle":"","parse-names":false,"suffix":""},{"dropping-particle":"","family":"Scheinberg","given":"Phillip","non-dropping-particle":"","parse-names":false,"suffix":""},{"dropping-particle":"","family":"Flinn","given":"Ian W.","non-dropping-particle":"","parse-names":false,"suffix":""},{"dropping-particle":"","family":"Moreira","given":"Claudia","non-dropping-particle":"","parse-names":false,"suffix":""},{"dropping-particle":"","family":"Cabeçadas","given":"José","non-dropping-particle":"","parse-names":false,"suffix":""},{"dropping-particle":"","family":"Liu","given":"David","non-dropping-particle":"","parse-names":false,"suffix":""},{"dropping-particle":"","family":"Kalambakas","given":"Stacey","non-dropping-particle":"","parse-names":false,"suffix":""},{"dropping-particle":"","family":"Fustier","given":"Pierre","non-dropping-particle":"","parse-names":false,"suffix":""},{"dropping-particle":"","family":"Wu","given":"Chengqing","non-dropping-particle":"","parse-names":false,"suffix":""},{"dropping-particle":"","family":"Gribben","given":"John G.","non-dropping-particle":"","parse-names":false,"suffix":""}],"container-title":"Journal of Clinical Oncology","id":"ITEM-1","issue":"14","issued":{"date-parts":[["2019","5","10"]]},"page":"1188-1199","publisher":"American Society of Clinical Oncology","title":"AUGMENT: A Phase III study of lenalidomide plus rituximab versus placebo plus rituximab in relapsed or refractory indolent lymphoma","type":"paper-conference","volume":"37"},"uris":["http://www.mendeley.com/documents/?uuid=a19e166d-fdce-30f0-81ed-0b8781f8ba3e"]}],"mendeley":{"formattedCitation":"[35]","plainTextFormattedCitation":"[35]","previouslyFormattedCitation":"[35]"},"properties":{"noteIndex":0},"schema":"https://github.com/citation-style-language/schema/raw/master/csl-citation.json"}</w:instrText>
      </w:r>
      <w:r w:rsidRPr="006641A3">
        <w:fldChar w:fldCharType="separate"/>
      </w:r>
      <w:r w:rsidR="00DC3E15" w:rsidRPr="00DC3E15">
        <w:rPr>
          <w:noProof/>
        </w:rPr>
        <w:t>[35]</w:t>
      </w:r>
      <w:r w:rsidRPr="006641A3">
        <w:fldChar w:fldCharType="end"/>
      </w:r>
    </w:p>
    <w:p w14:paraId="4AC1B1AB" w14:textId="77777777" w:rsidR="00413554" w:rsidRPr="006641A3" w:rsidRDefault="00413554" w:rsidP="00A72B1B">
      <w:pPr>
        <w:numPr>
          <w:ilvl w:val="0"/>
          <w:numId w:val="22"/>
        </w:numPr>
        <w:contextualSpacing/>
        <w:rPr>
          <w:rFonts w:eastAsia="Times New Roman"/>
          <w:szCs w:val="24"/>
          <w:lang w:eastAsia="ru-RU"/>
        </w:rPr>
      </w:pPr>
      <w:r w:rsidRPr="006641A3">
        <w:rPr>
          <w:rFonts w:eastAsia="Times New Roman"/>
          <w:szCs w:val="24"/>
          <w:lang w:eastAsia="ru-RU"/>
        </w:rPr>
        <w:t>Ритуксимаб** 375 мг/м</w:t>
      </w:r>
      <w:r w:rsidRPr="006641A3">
        <w:rPr>
          <w:rFonts w:eastAsia="Times New Roman"/>
          <w:szCs w:val="24"/>
          <w:vertAlign w:val="superscript"/>
          <w:lang w:eastAsia="ru-RU"/>
        </w:rPr>
        <w:t>2</w:t>
      </w:r>
      <w:r w:rsidRPr="006641A3">
        <w:rPr>
          <w:rFonts w:eastAsia="Times New Roman"/>
          <w:szCs w:val="24"/>
          <w:lang w:eastAsia="ru-RU"/>
        </w:rPr>
        <w:t xml:space="preserve"> в/в кап., дни </w:t>
      </w:r>
      <w:r w:rsidRPr="006641A3">
        <w:rPr>
          <w:sz w:val="23"/>
          <w:szCs w:val="23"/>
        </w:rPr>
        <w:t>1, 8, 15, 22 первого цикла и в день 1 циклов 2-5</w:t>
      </w:r>
    </w:p>
    <w:p w14:paraId="03C9BC19" w14:textId="77777777" w:rsidR="00413554" w:rsidRPr="006641A3" w:rsidRDefault="00413554" w:rsidP="00A72B1B">
      <w:pPr>
        <w:numPr>
          <w:ilvl w:val="0"/>
          <w:numId w:val="22"/>
        </w:numPr>
        <w:contextualSpacing/>
        <w:rPr>
          <w:rFonts w:eastAsia="Times New Roman"/>
          <w:szCs w:val="24"/>
          <w:lang w:eastAsia="ru-RU"/>
        </w:rPr>
      </w:pPr>
      <w:r w:rsidRPr="006641A3">
        <w:t>#</w:t>
      </w:r>
      <w:r w:rsidRPr="006641A3">
        <w:rPr>
          <w:sz w:val="23"/>
          <w:szCs w:val="23"/>
        </w:rPr>
        <w:t>Леналидомид** 20 мг/день внутрь (при клиренсе креатинина 30-60 мл/мин – 10 мг/день), дни 1-21</w:t>
      </w:r>
    </w:p>
    <w:p w14:paraId="6D41CFCA" w14:textId="788E43AC" w:rsidR="00413554" w:rsidRDefault="00413554" w:rsidP="00413554">
      <w:pPr>
        <w:ind w:left="360" w:firstLine="0"/>
        <w:contextualSpacing/>
        <w:rPr>
          <w:sz w:val="23"/>
          <w:szCs w:val="23"/>
        </w:rPr>
      </w:pPr>
      <w:r w:rsidRPr="006641A3">
        <w:rPr>
          <w:sz w:val="23"/>
          <w:szCs w:val="23"/>
        </w:rPr>
        <w:t>Лечение возобновляется на 29 день. Суммарно проводится 12 циклов.</w:t>
      </w:r>
    </w:p>
    <w:p w14:paraId="04C70B8F" w14:textId="631319FB" w:rsidR="00D64039" w:rsidRDefault="00D64039" w:rsidP="00413554">
      <w:pPr>
        <w:ind w:left="360" w:firstLine="0"/>
        <w:contextualSpacing/>
        <w:rPr>
          <w:sz w:val="23"/>
          <w:szCs w:val="23"/>
        </w:rPr>
      </w:pPr>
    </w:p>
    <w:p w14:paraId="0574E8DD" w14:textId="0818C46B" w:rsidR="00D64039" w:rsidRPr="0060054C" w:rsidRDefault="00D64039" w:rsidP="00D64039">
      <w:pPr>
        <w:contextualSpacing/>
        <w:rPr>
          <w:rFonts w:eastAsia="Times New Roman"/>
          <w:b/>
          <w:lang w:eastAsia="ru-RU"/>
        </w:rPr>
      </w:pPr>
      <w:r w:rsidRPr="009600FA">
        <w:rPr>
          <w:rFonts w:eastAsia="Times New Roman"/>
          <w:b/>
          <w:lang w:eastAsia="ru-RU"/>
        </w:rPr>
        <w:t>Монотерапия ибрутинибом</w:t>
      </w:r>
      <w:r>
        <w:rPr>
          <w:rFonts w:eastAsia="Times New Roman"/>
          <w:b/>
          <w:lang w:eastAsia="ru-RU"/>
        </w:rPr>
        <w:t xml:space="preserve">** </w:t>
      </w:r>
      <w:r w:rsidR="0060054C">
        <w:rPr>
          <w:rFonts w:eastAsia="Times New Roman"/>
          <w:b/>
          <w:lang w:eastAsia="ru-RU"/>
        </w:rPr>
        <w:fldChar w:fldCharType="begin" w:fldLock="1"/>
      </w:r>
      <w:r w:rsidR="00321834">
        <w:rPr>
          <w:rFonts w:eastAsia="Times New Roman"/>
          <w:b/>
          <w:lang w:eastAsia="ru-RU"/>
        </w:rPr>
        <w:instrText>ADDIN CSL_CITATION {"citationItems":[{"id":"ITEM-1","itemData":{"DOI":"10.1182/blood-2016-10-747345","ISSN":"15280020","PMID":"28167659","abstract":"Marginal zone lymphoma (MZL) is a heterogeneous B-cell malignancy for which no standard treatment exists. MZL is frequently linked to chronic infection, which may induce B-cell receptor (BCR) signaling, resulting in aberrant B-cell survival and proliferation. We conducted a multicenter, open-label, phase 2 study to evaluate the efficacy and safety of ibrutinib in previously treated MZL. Patients with histologically confirmed MZL of all subtypes who received ≥1 prior therapy with an anti-CD20 antibody–containing regimen were treated with 560 mg ibrutinib orally once daily until progression or unacceptable toxicity. The primary end point was independent review committee–assessed overall response rate (ORR) by 2007 International Working Group criteria. Among 63 enrolled patients, median age was 66 years (range, 30-92). Median number of prior systemic therapies was 2 (range, 1-9), and 63% received ≥1 prior chemoimmunotherapy. In 60 evaluable patients, ORR was 48% (95% confidence interval [CI], 35-62). With median follow-up of 19.4 months, median duration of response was not reached (95% CI, 16.7 to not estimable), and median progression-free survival was 14.2 months (95% CI, 8.3 to not estimable). Grade ≥3 adverse events (AEs; &gt;5%) included anemia, pneumonia, and fatigue. Serious AEs of any grade occurred in 44%, with grade 3-4 pneumonia being the most common (8%). Rates of discontinuation and dose reductions due to AEs were 17% and 10%, respectively. Single-agent ibrutinib induced durable responses with a favorable benefit–risk profile in patients with previously treated MZL, confirming the role of BCR signaling in this malignancy. As the only approved therapy, ibrutinib provides a treatment option without chemotherapy for MZL. This study is registered at www.clinicaltrials.gov as #NCT01980628.","author":[{"dropping-particle":"","family":"Noy","given":"Ariela","non-dropping-particle":"","parse-names":false,"suffix":""},{"dropping-particle":"","family":"Vos","given":"Sven","non-dropping-particle":"De","parse-names":false,"suffix":""},{"dropping-particle":"","family":"Thieblemont","given":"Catherine","non-dropping-particle":"","parse-names":false,"suffix":""},{"dropping-particle":"","family":"Martin","given":"Peter","non-dropping-particle":"","parse-names":false,"suffix":""},{"dropping-particle":"","family":"Flowers","given":"Christopher R","non-dropping-particle":"","parse-names":false,"suffix":""},{"dropping-particle":"","family":"Morschhauser","given":"Franck","non-dropping-particle":"","parse-names":false,"suffix":""},{"dropping-particle":"","family":"Collins","given":"Graham P","non-dropping-particle":"","parse-names":false,"suffix":""},{"dropping-particle":"","family":"Ma","given":"Shuo","non-dropping-particle":"","parse-names":false,"suffix":""},{"dropping-particle":"","family":"Coleman","given":"Morton","non-dropping-particle":"","parse-names":false,"suffix":""},{"dropping-particle":"","family":"Peles","given":"Shachar","non-dropping-particle":"","parse-names":false,"suffix":""},{"dropping-particle":"","family":"Smith","given":"Stephen","non-dropping-particle":"","parse-names":false,"suffix":""},{"dropping-particle":"","family":"Barrientos","given":"Jacqueline C","non-dropping-particle":"","parse-names":false,"suffix":""},{"dropping-particle":"","family":"Smith","given":"Alina","non-dropping-particle":"","parse-names":false,"suffix":""},{"dropping-particle":"","family":"Munneke","given":"Brian","non-dropping-particle":"","parse-names":false,"suffix":""},{"dropping-particle":"","family":"Dimery","given":"Isaiah","non-dropping-particle":"","parse-names":false,"suffix":""},{"dropping-particle":"","family":"Beaupre","given":"Darrin M","non-dropping-particle":"","parse-names":false,"suffix":""},{"dropping-particle":"","family":"Chen","given":"Robert","non-dropping-particle":"","parse-names":false,"suffix":""}],"container-title":"Blood","id":"ITEM-1","issue":"16","issued":{"date-parts":[["2017"]]},"page":"2224-2232","title":"Targeting Bruton tyrosine kinase with ibrutinib in relapsed/refractory marginal zone lymphoma","type":"article-journal","volume":"129"},"uris":["http://www.mendeley.com/documents/?uuid=fa44bea9-3dbf-3f84-b4bc-51c0dfd08512"]}],"mendeley":{"formattedCitation":"[33]","plainTextFormattedCitation":"[33]","previouslyFormattedCitation":"[33]"},"properties":{"noteIndex":0},"schema":"https://github.com/citation-style-language/schema/raw/master/csl-citation.json"}</w:instrText>
      </w:r>
      <w:r w:rsidR="0060054C">
        <w:rPr>
          <w:rFonts w:eastAsia="Times New Roman"/>
          <w:b/>
          <w:lang w:eastAsia="ru-RU"/>
        </w:rPr>
        <w:fldChar w:fldCharType="separate"/>
      </w:r>
      <w:r w:rsidR="0060054C" w:rsidRPr="0060054C">
        <w:rPr>
          <w:rFonts w:eastAsia="Times New Roman"/>
          <w:noProof/>
          <w:lang w:eastAsia="ru-RU"/>
        </w:rPr>
        <w:t>[33]</w:t>
      </w:r>
      <w:r w:rsidR="0060054C">
        <w:rPr>
          <w:rFonts w:eastAsia="Times New Roman"/>
          <w:b/>
          <w:lang w:eastAsia="ru-RU"/>
        </w:rPr>
        <w:fldChar w:fldCharType="end"/>
      </w:r>
    </w:p>
    <w:p w14:paraId="6ED89264" w14:textId="5A5D250C" w:rsidR="00D64039" w:rsidRPr="00D64039" w:rsidRDefault="00D64039" w:rsidP="00A72B1B">
      <w:pPr>
        <w:numPr>
          <w:ilvl w:val="0"/>
          <w:numId w:val="22"/>
        </w:numPr>
        <w:contextualSpacing/>
        <w:rPr>
          <w:rFonts w:eastAsia="Times New Roman"/>
          <w:szCs w:val="24"/>
          <w:lang w:eastAsia="ru-RU"/>
        </w:rPr>
      </w:pPr>
      <w:r w:rsidRPr="00D64039">
        <w:rPr>
          <w:rFonts w:eastAsia="Times New Roman"/>
          <w:szCs w:val="24"/>
          <w:lang w:eastAsia="ru-RU"/>
        </w:rPr>
        <w:t>Ибрутиниб** – 560 мг/сут (4 капсулы) внутрь 1 раз в день до прогрессирования или развития непереносимой токсичности.</w:t>
      </w:r>
    </w:p>
    <w:p w14:paraId="3316E101" w14:textId="77777777" w:rsidR="00413554" w:rsidRDefault="00413554" w:rsidP="00413554">
      <w:pPr>
        <w:ind w:left="360" w:firstLine="0"/>
        <w:contextualSpacing/>
        <w:rPr>
          <w:sz w:val="23"/>
          <w:szCs w:val="23"/>
        </w:rPr>
      </w:pPr>
    </w:p>
    <w:p w14:paraId="0FC2BB08" w14:textId="77777777" w:rsidR="00413554" w:rsidRPr="006641A3" w:rsidRDefault="00413554" w:rsidP="00413554">
      <w:pPr>
        <w:pStyle w:val="2"/>
      </w:pPr>
      <w:bookmarkStart w:id="115" w:name="_Toc65868466"/>
      <w:bookmarkStart w:id="116" w:name="_Toc103332120"/>
      <w:r w:rsidRPr="006641A3">
        <w:t xml:space="preserve">Приложение А3.2. Значение маркеров вируса гепатита В при </w:t>
      </w:r>
      <w:bookmarkEnd w:id="115"/>
      <w:r>
        <w:t>ЛМЗ</w:t>
      </w:r>
      <w:bookmarkEnd w:id="116"/>
    </w:p>
    <w:p w14:paraId="3C8DE950" w14:textId="77777777" w:rsidR="00413554" w:rsidRPr="006641A3" w:rsidRDefault="00413554" w:rsidP="00413554">
      <w:r w:rsidRPr="006641A3">
        <w:t>Значение маркеров HBV-инфекции и предполагаемые действия представлены в табл. 3.2.1</w:t>
      </w:r>
    </w:p>
    <w:p w14:paraId="2B3C7FE0" w14:textId="77777777" w:rsidR="00413554" w:rsidRPr="006641A3" w:rsidRDefault="00413554" w:rsidP="00413554">
      <w:r w:rsidRPr="006641A3">
        <w:rPr>
          <w:b/>
        </w:rPr>
        <w:lastRenderedPageBreak/>
        <w:t xml:space="preserve">Таблица А3.2.1. </w:t>
      </w:r>
      <w:r w:rsidRPr="006641A3">
        <w:t>Значение маркеров вирусного гепатита B</w:t>
      </w:r>
    </w:p>
    <w:tbl>
      <w:tblPr>
        <w:tblW w:w="0" w:type="auto"/>
        <w:tblInd w:w="-25" w:type="dxa"/>
        <w:tblLayout w:type="fixed"/>
        <w:tblLook w:val="0000" w:firstRow="0" w:lastRow="0" w:firstColumn="0" w:lastColumn="0" w:noHBand="0" w:noVBand="0"/>
      </w:tblPr>
      <w:tblGrid>
        <w:gridCol w:w="2922"/>
        <w:gridCol w:w="730"/>
        <w:gridCol w:w="992"/>
        <w:gridCol w:w="880"/>
        <w:gridCol w:w="879"/>
        <w:gridCol w:w="2998"/>
      </w:tblGrid>
      <w:tr w:rsidR="00413554" w:rsidRPr="006641A3" w14:paraId="0CE16D48" w14:textId="77777777" w:rsidTr="000E7A74">
        <w:tc>
          <w:tcPr>
            <w:tcW w:w="2922" w:type="dxa"/>
            <w:tcBorders>
              <w:top w:val="single" w:sz="4" w:space="0" w:color="000000"/>
              <w:left w:val="single" w:sz="4" w:space="0" w:color="000000"/>
              <w:bottom w:val="single" w:sz="4" w:space="0" w:color="000000"/>
            </w:tcBorders>
            <w:shd w:val="clear" w:color="auto" w:fill="auto"/>
            <w:vAlign w:val="center"/>
          </w:tcPr>
          <w:p w14:paraId="4B0277BC" w14:textId="77777777" w:rsidR="00413554" w:rsidRPr="006641A3" w:rsidRDefault="00413554" w:rsidP="000E7A74">
            <w:pPr>
              <w:spacing w:line="240" w:lineRule="auto"/>
              <w:ind w:firstLine="0"/>
              <w:jc w:val="center"/>
            </w:pPr>
            <w:r w:rsidRPr="006641A3">
              <w:rPr>
                <w:b/>
                <w:szCs w:val="24"/>
              </w:rPr>
              <w:t>Расшифровка</w:t>
            </w:r>
          </w:p>
        </w:tc>
        <w:tc>
          <w:tcPr>
            <w:tcW w:w="730" w:type="dxa"/>
            <w:tcBorders>
              <w:top w:val="single" w:sz="4" w:space="0" w:color="000000"/>
              <w:left w:val="single" w:sz="4" w:space="0" w:color="000000"/>
              <w:bottom w:val="single" w:sz="4" w:space="0" w:color="000000"/>
            </w:tcBorders>
            <w:shd w:val="clear" w:color="auto" w:fill="auto"/>
            <w:vAlign w:val="center"/>
          </w:tcPr>
          <w:p w14:paraId="38B84C73" w14:textId="77777777" w:rsidR="00413554" w:rsidRPr="006641A3" w:rsidRDefault="00413554" w:rsidP="000E7A74">
            <w:pPr>
              <w:spacing w:line="240" w:lineRule="auto"/>
              <w:ind w:firstLine="0"/>
              <w:jc w:val="center"/>
            </w:pPr>
            <w:r w:rsidRPr="006641A3">
              <w:rPr>
                <w:b/>
                <w:szCs w:val="24"/>
              </w:rPr>
              <w:t>HBs-Ag</w:t>
            </w:r>
          </w:p>
        </w:tc>
        <w:tc>
          <w:tcPr>
            <w:tcW w:w="992" w:type="dxa"/>
            <w:tcBorders>
              <w:top w:val="single" w:sz="4" w:space="0" w:color="000000"/>
              <w:left w:val="single" w:sz="4" w:space="0" w:color="000000"/>
              <w:bottom w:val="single" w:sz="4" w:space="0" w:color="000000"/>
            </w:tcBorders>
            <w:shd w:val="clear" w:color="auto" w:fill="auto"/>
            <w:vAlign w:val="center"/>
          </w:tcPr>
          <w:p w14:paraId="1159B9DD" w14:textId="77777777" w:rsidR="00413554" w:rsidRPr="006641A3" w:rsidRDefault="00413554" w:rsidP="000E7A74">
            <w:pPr>
              <w:spacing w:line="240" w:lineRule="auto"/>
              <w:ind w:firstLine="0"/>
              <w:jc w:val="center"/>
            </w:pPr>
            <w:r w:rsidRPr="006641A3">
              <w:rPr>
                <w:b/>
                <w:szCs w:val="24"/>
              </w:rPr>
              <w:t>Анти-HBc</w:t>
            </w:r>
          </w:p>
        </w:tc>
        <w:tc>
          <w:tcPr>
            <w:tcW w:w="880" w:type="dxa"/>
            <w:tcBorders>
              <w:top w:val="single" w:sz="4" w:space="0" w:color="000000"/>
              <w:left w:val="single" w:sz="4" w:space="0" w:color="000000"/>
              <w:bottom w:val="single" w:sz="4" w:space="0" w:color="000000"/>
            </w:tcBorders>
            <w:shd w:val="clear" w:color="auto" w:fill="auto"/>
            <w:vAlign w:val="center"/>
          </w:tcPr>
          <w:p w14:paraId="3A3BFDD8" w14:textId="77777777" w:rsidR="00413554" w:rsidRPr="006641A3" w:rsidRDefault="00413554" w:rsidP="000E7A74">
            <w:pPr>
              <w:spacing w:line="240" w:lineRule="auto"/>
              <w:ind w:firstLine="0"/>
              <w:jc w:val="center"/>
            </w:pPr>
            <w:r w:rsidRPr="006641A3">
              <w:rPr>
                <w:b/>
                <w:szCs w:val="24"/>
              </w:rPr>
              <w:t>Анти-HBs</w:t>
            </w:r>
          </w:p>
        </w:tc>
        <w:tc>
          <w:tcPr>
            <w:tcW w:w="879" w:type="dxa"/>
            <w:tcBorders>
              <w:top w:val="single" w:sz="4" w:space="0" w:color="000000"/>
              <w:left w:val="single" w:sz="4" w:space="0" w:color="000000"/>
              <w:bottom w:val="single" w:sz="4" w:space="0" w:color="000000"/>
            </w:tcBorders>
            <w:shd w:val="clear" w:color="auto" w:fill="auto"/>
            <w:vAlign w:val="center"/>
          </w:tcPr>
          <w:p w14:paraId="2A8627E7" w14:textId="77777777" w:rsidR="00413554" w:rsidRPr="006641A3" w:rsidRDefault="00413554" w:rsidP="000E7A74">
            <w:pPr>
              <w:spacing w:line="240" w:lineRule="auto"/>
              <w:ind w:firstLine="0"/>
              <w:jc w:val="center"/>
            </w:pPr>
            <w:r w:rsidRPr="006641A3">
              <w:rPr>
                <w:b/>
                <w:szCs w:val="24"/>
              </w:rPr>
              <w:t>ДНК HBV</w:t>
            </w:r>
          </w:p>
        </w:tc>
        <w:tc>
          <w:tcPr>
            <w:tcW w:w="2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599FD" w14:textId="77777777" w:rsidR="00413554" w:rsidRPr="006641A3" w:rsidRDefault="00413554" w:rsidP="000E7A74">
            <w:pPr>
              <w:spacing w:line="240" w:lineRule="auto"/>
              <w:ind w:firstLine="0"/>
              <w:jc w:val="center"/>
            </w:pPr>
            <w:r w:rsidRPr="006641A3">
              <w:rPr>
                <w:b/>
                <w:szCs w:val="24"/>
              </w:rPr>
              <w:t>Действия</w:t>
            </w:r>
          </w:p>
        </w:tc>
      </w:tr>
      <w:tr w:rsidR="00413554" w:rsidRPr="006641A3" w14:paraId="5EB66A7C" w14:textId="77777777" w:rsidTr="000E7A74">
        <w:tc>
          <w:tcPr>
            <w:tcW w:w="2922" w:type="dxa"/>
            <w:tcBorders>
              <w:top w:val="single" w:sz="4" w:space="0" w:color="000000"/>
              <w:left w:val="single" w:sz="4" w:space="0" w:color="000000"/>
              <w:bottom w:val="single" w:sz="4" w:space="0" w:color="000000"/>
            </w:tcBorders>
            <w:shd w:val="clear" w:color="auto" w:fill="auto"/>
          </w:tcPr>
          <w:p w14:paraId="3F2A2C10" w14:textId="77777777" w:rsidR="00413554" w:rsidRPr="006641A3" w:rsidRDefault="00413554" w:rsidP="000E7A74">
            <w:pPr>
              <w:spacing w:line="240" w:lineRule="auto"/>
              <w:ind w:firstLine="0"/>
            </w:pPr>
            <w:r w:rsidRPr="006641A3">
              <w:rPr>
                <w:szCs w:val="24"/>
              </w:rPr>
              <w:t>Не контактировал с HBV</w:t>
            </w:r>
          </w:p>
        </w:tc>
        <w:tc>
          <w:tcPr>
            <w:tcW w:w="730" w:type="dxa"/>
            <w:tcBorders>
              <w:top w:val="single" w:sz="4" w:space="0" w:color="000000"/>
              <w:left w:val="single" w:sz="4" w:space="0" w:color="000000"/>
              <w:bottom w:val="single" w:sz="4" w:space="0" w:color="000000"/>
            </w:tcBorders>
            <w:shd w:val="clear" w:color="auto" w:fill="auto"/>
          </w:tcPr>
          <w:p w14:paraId="4FE93189" w14:textId="77777777" w:rsidR="00413554" w:rsidRPr="006641A3" w:rsidRDefault="00413554" w:rsidP="000E7A74">
            <w:pPr>
              <w:spacing w:line="240" w:lineRule="auto"/>
              <w:ind w:firstLine="0"/>
              <w:jc w:val="center"/>
            </w:pPr>
            <w:r w:rsidRPr="006641A3">
              <w:rPr>
                <w:szCs w:val="24"/>
              </w:rPr>
              <w:t>–</w:t>
            </w:r>
          </w:p>
        </w:tc>
        <w:tc>
          <w:tcPr>
            <w:tcW w:w="992" w:type="dxa"/>
            <w:tcBorders>
              <w:top w:val="single" w:sz="4" w:space="0" w:color="000000"/>
              <w:left w:val="single" w:sz="4" w:space="0" w:color="000000"/>
              <w:bottom w:val="single" w:sz="4" w:space="0" w:color="000000"/>
            </w:tcBorders>
            <w:shd w:val="clear" w:color="auto" w:fill="auto"/>
          </w:tcPr>
          <w:p w14:paraId="401E38CD" w14:textId="77777777" w:rsidR="00413554" w:rsidRPr="006641A3" w:rsidRDefault="00413554" w:rsidP="000E7A74">
            <w:pPr>
              <w:spacing w:line="240" w:lineRule="auto"/>
              <w:ind w:firstLine="0"/>
              <w:jc w:val="center"/>
            </w:pPr>
            <w:r w:rsidRPr="006641A3">
              <w:rPr>
                <w:szCs w:val="24"/>
              </w:rPr>
              <w:t>–</w:t>
            </w:r>
          </w:p>
        </w:tc>
        <w:tc>
          <w:tcPr>
            <w:tcW w:w="880" w:type="dxa"/>
            <w:tcBorders>
              <w:top w:val="single" w:sz="4" w:space="0" w:color="000000"/>
              <w:left w:val="single" w:sz="4" w:space="0" w:color="000000"/>
              <w:bottom w:val="single" w:sz="4" w:space="0" w:color="000000"/>
            </w:tcBorders>
            <w:shd w:val="clear" w:color="auto" w:fill="auto"/>
          </w:tcPr>
          <w:p w14:paraId="6275D6C1" w14:textId="77777777" w:rsidR="00413554" w:rsidRPr="006641A3" w:rsidRDefault="00413554" w:rsidP="000E7A74">
            <w:pPr>
              <w:spacing w:line="240" w:lineRule="auto"/>
              <w:ind w:firstLine="0"/>
              <w:jc w:val="center"/>
            </w:pPr>
            <w:r w:rsidRPr="006641A3">
              <w:rPr>
                <w:szCs w:val="24"/>
              </w:rPr>
              <w:t>–</w:t>
            </w:r>
          </w:p>
        </w:tc>
        <w:tc>
          <w:tcPr>
            <w:tcW w:w="879" w:type="dxa"/>
            <w:tcBorders>
              <w:top w:val="single" w:sz="4" w:space="0" w:color="000000"/>
              <w:left w:val="single" w:sz="4" w:space="0" w:color="000000"/>
              <w:bottom w:val="single" w:sz="4" w:space="0" w:color="000000"/>
            </w:tcBorders>
            <w:shd w:val="clear" w:color="auto" w:fill="auto"/>
          </w:tcPr>
          <w:p w14:paraId="5DBC927D" w14:textId="77777777" w:rsidR="00413554" w:rsidRPr="006641A3" w:rsidRDefault="00413554" w:rsidP="000E7A74">
            <w:pPr>
              <w:spacing w:line="240" w:lineRule="auto"/>
              <w:ind w:firstLine="0"/>
              <w:jc w:val="center"/>
            </w:pPr>
            <w:r w:rsidRPr="006641A3">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264CA03A" w14:textId="77777777" w:rsidR="00413554" w:rsidRPr="006641A3" w:rsidRDefault="00413554" w:rsidP="000E7A74">
            <w:pPr>
              <w:spacing w:line="240" w:lineRule="auto"/>
              <w:ind w:firstLine="0"/>
            </w:pPr>
            <w:r w:rsidRPr="006641A3">
              <w:rPr>
                <w:szCs w:val="24"/>
              </w:rPr>
              <w:t>Провести вакцинацию.</w:t>
            </w:r>
          </w:p>
          <w:p w14:paraId="64AB8A3D" w14:textId="77777777" w:rsidR="00413554" w:rsidRPr="006641A3" w:rsidRDefault="00413554" w:rsidP="000E7A74">
            <w:pPr>
              <w:spacing w:line="240" w:lineRule="auto"/>
              <w:ind w:firstLine="0"/>
            </w:pPr>
            <w:r w:rsidRPr="006641A3">
              <w:rPr>
                <w:szCs w:val="24"/>
              </w:rPr>
              <w:t xml:space="preserve">Противопоказаний </w:t>
            </w:r>
          </w:p>
          <w:p w14:paraId="23E336B4" w14:textId="77777777" w:rsidR="00413554" w:rsidRPr="006641A3" w:rsidRDefault="00413554" w:rsidP="000E7A74">
            <w:pPr>
              <w:spacing w:line="240" w:lineRule="auto"/>
              <w:ind w:firstLine="0"/>
            </w:pPr>
            <w:r w:rsidRPr="006641A3">
              <w:rPr>
                <w:szCs w:val="24"/>
              </w:rPr>
              <w:t>к анти-CD20 нет</w:t>
            </w:r>
          </w:p>
        </w:tc>
      </w:tr>
      <w:tr w:rsidR="00413554" w:rsidRPr="006641A3" w14:paraId="602BF8B9" w14:textId="77777777" w:rsidTr="000E7A74">
        <w:tc>
          <w:tcPr>
            <w:tcW w:w="2922" w:type="dxa"/>
            <w:tcBorders>
              <w:top w:val="single" w:sz="4" w:space="0" w:color="000000"/>
              <w:left w:val="single" w:sz="4" w:space="0" w:color="000000"/>
              <w:bottom w:val="single" w:sz="4" w:space="0" w:color="000000"/>
            </w:tcBorders>
            <w:shd w:val="clear" w:color="auto" w:fill="auto"/>
          </w:tcPr>
          <w:p w14:paraId="172001BF" w14:textId="77777777" w:rsidR="00413554" w:rsidRPr="006641A3" w:rsidRDefault="00413554" w:rsidP="000E7A74">
            <w:pPr>
              <w:spacing w:line="240" w:lineRule="auto"/>
              <w:ind w:firstLine="0"/>
            </w:pPr>
            <w:r w:rsidRPr="006641A3">
              <w:rPr>
                <w:szCs w:val="24"/>
              </w:rPr>
              <w:t>Вакцинация проведена</w:t>
            </w:r>
          </w:p>
        </w:tc>
        <w:tc>
          <w:tcPr>
            <w:tcW w:w="730" w:type="dxa"/>
            <w:tcBorders>
              <w:top w:val="single" w:sz="4" w:space="0" w:color="000000"/>
              <w:left w:val="single" w:sz="4" w:space="0" w:color="000000"/>
              <w:bottom w:val="single" w:sz="4" w:space="0" w:color="000000"/>
            </w:tcBorders>
            <w:shd w:val="clear" w:color="auto" w:fill="auto"/>
          </w:tcPr>
          <w:p w14:paraId="41EFC90A" w14:textId="77777777" w:rsidR="00413554" w:rsidRPr="006641A3" w:rsidRDefault="00413554" w:rsidP="000E7A74">
            <w:pPr>
              <w:spacing w:line="240" w:lineRule="auto"/>
              <w:ind w:firstLine="0"/>
              <w:jc w:val="center"/>
            </w:pPr>
            <w:r w:rsidRPr="006641A3">
              <w:rPr>
                <w:szCs w:val="24"/>
              </w:rPr>
              <w:t>–</w:t>
            </w:r>
          </w:p>
        </w:tc>
        <w:tc>
          <w:tcPr>
            <w:tcW w:w="992" w:type="dxa"/>
            <w:tcBorders>
              <w:top w:val="single" w:sz="4" w:space="0" w:color="000000"/>
              <w:left w:val="single" w:sz="4" w:space="0" w:color="000000"/>
              <w:bottom w:val="single" w:sz="4" w:space="0" w:color="000000"/>
            </w:tcBorders>
            <w:shd w:val="clear" w:color="auto" w:fill="auto"/>
          </w:tcPr>
          <w:p w14:paraId="27005781" w14:textId="77777777" w:rsidR="00413554" w:rsidRPr="006641A3" w:rsidRDefault="00413554" w:rsidP="000E7A74">
            <w:pPr>
              <w:spacing w:line="240" w:lineRule="auto"/>
              <w:ind w:firstLine="0"/>
              <w:jc w:val="center"/>
            </w:pPr>
            <w:r w:rsidRPr="006641A3">
              <w:rPr>
                <w:szCs w:val="24"/>
              </w:rPr>
              <w:t>–</w:t>
            </w:r>
          </w:p>
        </w:tc>
        <w:tc>
          <w:tcPr>
            <w:tcW w:w="880" w:type="dxa"/>
            <w:tcBorders>
              <w:top w:val="single" w:sz="4" w:space="0" w:color="000000"/>
              <w:left w:val="single" w:sz="4" w:space="0" w:color="000000"/>
              <w:bottom w:val="single" w:sz="4" w:space="0" w:color="000000"/>
            </w:tcBorders>
            <w:shd w:val="clear" w:color="auto" w:fill="auto"/>
          </w:tcPr>
          <w:p w14:paraId="5329C5A8" w14:textId="77777777" w:rsidR="00413554" w:rsidRPr="006641A3" w:rsidRDefault="00413554" w:rsidP="000E7A74">
            <w:pPr>
              <w:spacing w:line="240" w:lineRule="auto"/>
              <w:ind w:firstLine="0"/>
              <w:jc w:val="center"/>
            </w:pPr>
            <w:r w:rsidRPr="006641A3">
              <w:rPr>
                <w:szCs w:val="24"/>
              </w:rPr>
              <w:t>+</w:t>
            </w:r>
          </w:p>
        </w:tc>
        <w:tc>
          <w:tcPr>
            <w:tcW w:w="879" w:type="dxa"/>
            <w:tcBorders>
              <w:top w:val="single" w:sz="4" w:space="0" w:color="000000"/>
              <w:left w:val="single" w:sz="4" w:space="0" w:color="000000"/>
              <w:bottom w:val="single" w:sz="4" w:space="0" w:color="000000"/>
            </w:tcBorders>
            <w:shd w:val="clear" w:color="auto" w:fill="auto"/>
          </w:tcPr>
          <w:p w14:paraId="0490970D" w14:textId="77777777" w:rsidR="00413554" w:rsidRPr="006641A3" w:rsidRDefault="00413554" w:rsidP="000E7A74">
            <w:pPr>
              <w:spacing w:line="240" w:lineRule="auto"/>
              <w:ind w:firstLine="0"/>
              <w:jc w:val="center"/>
            </w:pPr>
            <w:r w:rsidRPr="006641A3">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39FF791B" w14:textId="77777777" w:rsidR="00413554" w:rsidRPr="006641A3" w:rsidRDefault="00413554" w:rsidP="000E7A74">
            <w:pPr>
              <w:spacing w:line="240" w:lineRule="auto"/>
              <w:ind w:firstLine="0"/>
            </w:pPr>
            <w:r w:rsidRPr="006641A3">
              <w:rPr>
                <w:szCs w:val="24"/>
              </w:rPr>
              <w:t xml:space="preserve">Противопоказаний </w:t>
            </w:r>
          </w:p>
          <w:p w14:paraId="18D5E12B" w14:textId="77777777" w:rsidR="00413554" w:rsidRPr="006641A3" w:rsidRDefault="00413554" w:rsidP="000E7A74">
            <w:pPr>
              <w:spacing w:line="240" w:lineRule="auto"/>
              <w:ind w:firstLine="0"/>
            </w:pPr>
            <w:r w:rsidRPr="006641A3">
              <w:rPr>
                <w:szCs w:val="24"/>
              </w:rPr>
              <w:t>к анти-CD20 нет</w:t>
            </w:r>
          </w:p>
        </w:tc>
      </w:tr>
      <w:tr w:rsidR="00413554" w:rsidRPr="006641A3" w14:paraId="44355357" w14:textId="77777777" w:rsidTr="000E7A74">
        <w:tc>
          <w:tcPr>
            <w:tcW w:w="2922" w:type="dxa"/>
            <w:tcBorders>
              <w:top w:val="single" w:sz="4" w:space="0" w:color="000000"/>
              <w:left w:val="single" w:sz="4" w:space="0" w:color="000000"/>
              <w:bottom w:val="single" w:sz="4" w:space="0" w:color="000000"/>
            </w:tcBorders>
            <w:shd w:val="clear" w:color="auto" w:fill="auto"/>
          </w:tcPr>
          <w:p w14:paraId="11F1C3B3" w14:textId="77777777" w:rsidR="00413554" w:rsidRPr="006641A3" w:rsidRDefault="00413554" w:rsidP="000E7A74">
            <w:pPr>
              <w:spacing w:line="240" w:lineRule="auto"/>
              <w:ind w:firstLine="0"/>
            </w:pPr>
            <w:r w:rsidRPr="006641A3">
              <w:rPr>
                <w:szCs w:val="24"/>
              </w:rPr>
              <w:t>Реконвалесцент</w:t>
            </w:r>
          </w:p>
        </w:tc>
        <w:tc>
          <w:tcPr>
            <w:tcW w:w="730" w:type="dxa"/>
            <w:tcBorders>
              <w:top w:val="single" w:sz="4" w:space="0" w:color="000000"/>
              <w:left w:val="single" w:sz="4" w:space="0" w:color="000000"/>
              <w:bottom w:val="single" w:sz="4" w:space="0" w:color="000000"/>
            </w:tcBorders>
            <w:shd w:val="clear" w:color="auto" w:fill="auto"/>
          </w:tcPr>
          <w:p w14:paraId="02ED727D" w14:textId="77777777" w:rsidR="00413554" w:rsidRPr="006641A3" w:rsidRDefault="00413554" w:rsidP="000E7A74">
            <w:pPr>
              <w:spacing w:line="240" w:lineRule="auto"/>
              <w:ind w:firstLine="0"/>
              <w:jc w:val="center"/>
            </w:pPr>
            <w:r w:rsidRPr="006641A3">
              <w:rPr>
                <w:szCs w:val="24"/>
              </w:rPr>
              <w:t>–</w:t>
            </w:r>
          </w:p>
        </w:tc>
        <w:tc>
          <w:tcPr>
            <w:tcW w:w="992" w:type="dxa"/>
            <w:tcBorders>
              <w:top w:val="single" w:sz="4" w:space="0" w:color="000000"/>
              <w:left w:val="single" w:sz="4" w:space="0" w:color="000000"/>
              <w:bottom w:val="single" w:sz="4" w:space="0" w:color="000000"/>
            </w:tcBorders>
            <w:shd w:val="clear" w:color="auto" w:fill="auto"/>
          </w:tcPr>
          <w:p w14:paraId="6A4DCB52" w14:textId="77777777" w:rsidR="00413554" w:rsidRPr="006641A3" w:rsidRDefault="00413554" w:rsidP="000E7A74">
            <w:pPr>
              <w:spacing w:line="240" w:lineRule="auto"/>
              <w:ind w:firstLine="0"/>
              <w:jc w:val="center"/>
            </w:pPr>
            <w:r w:rsidRPr="006641A3">
              <w:rPr>
                <w:szCs w:val="24"/>
              </w:rPr>
              <w:t>+</w:t>
            </w:r>
          </w:p>
        </w:tc>
        <w:tc>
          <w:tcPr>
            <w:tcW w:w="880" w:type="dxa"/>
            <w:tcBorders>
              <w:top w:val="single" w:sz="4" w:space="0" w:color="000000"/>
              <w:left w:val="single" w:sz="4" w:space="0" w:color="000000"/>
              <w:bottom w:val="single" w:sz="4" w:space="0" w:color="000000"/>
            </w:tcBorders>
            <w:shd w:val="clear" w:color="auto" w:fill="auto"/>
          </w:tcPr>
          <w:p w14:paraId="457E058C" w14:textId="77777777" w:rsidR="00413554" w:rsidRPr="006641A3" w:rsidRDefault="00413554" w:rsidP="000E7A74">
            <w:pPr>
              <w:spacing w:line="240" w:lineRule="auto"/>
              <w:ind w:firstLine="0"/>
              <w:jc w:val="center"/>
            </w:pPr>
            <w:r w:rsidRPr="006641A3">
              <w:rPr>
                <w:szCs w:val="24"/>
              </w:rPr>
              <w:t>+</w:t>
            </w:r>
          </w:p>
        </w:tc>
        <w:tc>
          <w:tcPr>
            <w:tcW w:w="879" w:type="dxa"/>
            <w:tcBorders>
              <w:top w:val="single" w:sz="4" w:space="0" w:color="000000"/>
              <w:left w:val="single" w:sz="4" w:space="0" w:color="000000"/>
              <w:bottom w:val="single" w:sz="4" w:space="0" w:color="000000"/>
            </w:tcBorders>
            <w:shd w:val="clear" w:color="auto" w:fill="auto"/>
          </w:tcPr>
          <w:p w14:paraId="0EA7A6E7" w14:textId="77777777" w:rsidR="00413554" w:rsidRPr="006641A3" w:rsidRDefault="00413554" w:rsidP="000E7A74">
            <w:pPr>
              <w:spacing w:line="240" w:lineRule="auto"/>
              <w:ind w:firstLine="0"/>
              <w:jc w:val="center"/>
            </w:pPr>
            <w:r w:rsidRPr="006641A3">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50BA93A1" w14:textId="77777777" w:rsidR="00413554" w:rsidRPr="006641A3" w:rsidRDefault="00413554" w:rsidP="000E7A74">
            <w:pPr>
              <w:spacing w:line="240" w:lineRule="auto"/>
              <w:ind w:firstLine="0"/>
            </w:pPr>
            <w:r w:rsidRPr="006641A3">
              <w:rPr>
                <w:szCs w:val="24"/>
              </w:rPr>
              <w:t xml:space="preserve">Противопоказаний </w:t>
            </w:r>
          </w:p>
          <w:p w14:paraId="20BE6BAB" w14:textId="77777777" w:rsidR="00413554" w:rsidRPr="006641A3" w:rsidRDefault="00413554" w:rsidP="000E7A74">
            <w:pPr>
              <w:spacing w:line="240" w:lineRule="auto"/>
              <w:ind w:firstLine="0"/>
            </w:pPr>
            <w:r w:rsidRPr="006641A3">
              <w:rPr>
                <w:szCs w:val="24"/>
              </w:rPr>
              <w:t xml:space="preserve">к анти-CD20 нет </w:t>
            </w:r>
          </w:p>
        </w:tc>
      </w:tr>
      <w:tr w:rsidR="00413554" w:rsidRPr="006641A3" w14:paraId="4C2F9A39" w14:textId="77777777" w:rsidTr="000E7A74">
        <w:tc>
          <w:tcPr>
            <w:tcW w:w="2922" w:type="dxa"/>
            <w:tcBorders>
              <w:top w:val="single" w:sz="4" w:space="0" w:color="000000"/>
              <w:left w:val="single" w:sz="4" w:space="0" w:color="000000"/>
              <w:bottom w:val="single" w:sz="4" w:space="0" w:color="000000"/>
            </w:tcBorders>
            <w:shd w:val="clear" w:color="auto" w:fill="auto"/>
          </w:tcPr>
          <w:p w14:paraId="4CCB10BD" w14:textId="77777777" w:rsidR="00413554" w:rsidRPr="006641A3" w:rsidRDefault="00413554" w:rsidP="000E7A74">
            <w:pPr>
              <w:spacing w:line="240" w:lineRule="auto"/>
              <w:ind w:firstLine="0"/>
            </w:pPr>
            <w:r w:rsidRPr="006641A3">
              <w:rPr>
                <w:szCs w:val="24"/>
              </w:rPr>
              <w:t>Возможное латентное носительство HBV</w:t>
            </w:r>
          </w:p>
        </w:tc>
        <w:tc>
          <w:tcPr>
            <w:tcW w:w="730" w:type="dxa"/>
            <w:tcBorders>
              <w:top w:val="single" w:sz="4" w:space="0" w:color="000000"/>
              <w:left w:val="single" w:sz="4" w:space="0" w:color="000000"/>
              <w:bottom w:val="single" w:sz="4" w:space="0" w:color="000000"/>
            </w:tcBorders>
            <w:shd w:val="clear" w:color="auto" w:fill="auto"/>
          </w:tcPr>
          <w:p w14:paraId="254DFE39" w14:textId="77777777" w:rsidR="00413554" w:rsidRPr="006641A3" w:rsidRDefault="00413554" w:rsidP="000E7A74">
            <w:pPr>
              <w:spacing w:line="240" w:lineRule="auto"/>
              <w:ind w:firstLine="0"/>
              <w:jc w:val="center"/>
            </w:pPr>
            <w:r w:rsidRPr="006641A3">
              <w:rPr>
                <w:szCs w:val="24"/>
              </w:rPr>
              <w:t>–</w:t>
            </w:r>
          </w:p>
        </w:tc>
        <w:tc>
          <w:tcPr>
            <w:tcW w:w="992" w:type="dxa"/>
            <w:tcBorders>
              <w:top w:val="single" w:sz="4" w:space="0" w:color="000000"/>
              <w:left w:val="single" w:sz="4" w:space="0" w:color="000000"/>
              <w:bottom w:val="single" w:sz="4" w:space="0" w:color="000000"/>
            </w:tcBorders>
            <w:shd w:val="clear" w:color="auto" w:fill="auto"/>
          </w:tcPr>
          <w:p w14:paraId="3C1EA933" w14:textId="77777777" w:rsidR="00413554" w:rsidRPr="006641A3" w:rsidRDefault="00413554" w:rsidP="000E7A74">
            <w:pPr>
              <w:spacing w:line="240" w:lineRule="auto"/>
              <w:ind w:firstLine="0"/>
              <w:jc w:val="center"/>
            </w:pPr>
            <w:r w:rsidRPr="006641A3">
              <w:rPr>
                <w:szCs w:val="24"/>
              </w:rPr>
              <w:t>+</w:t>
            </w:r>
          </w:p>
        </w:tc>
        <w:tc>
          <w:tcPr>
            <w:tcW w:w="880" w:type="dxa"/>
            <w:tcBorders>
              <w:top w:val="single" w:sz="4" w:space="0" w:color="000000"/>
              <w:left w:val="single" w:sz="4" w:space="0" w:color="000000"/>
              <w:bottom w:val="single" w:sz="4" w:space="0" w:color="000000"/>
            </w:tcBorders>
            <w:shd w:val="clear" w:color="auto" w:fill="auto"/>
          </w:tcPr>
          <w:p w14:paraId="7F4DD0DB" w14:textId="77777777" w:rsidR="00413554" w:rsidRPr="006641A3" w:rsidRDefault="00413554" w:rsidP="000E7A74">
            <w:pPr>
              <w:spacing w:line="240" w:lineRule="auto"/>
              <w:ind w:firstLine="0"/>
              <w:jc w:val="center"/>
            </w:pPr>
            <w:r w:rsidRPr="006641A3">
              <w:rPr>
                <w:szCs w:val="24"/>
              </w:rPr>
              <w:t>–</w:t>
            </w:r>
          </w:p>
        </w:tc>
        <w:tc>
          <w:tcPr>
            <w:tcW w:w="879" w:type="dxa"/>
            <w:tcBorders>
              <w:top w:val="single" w:sz="4" w:space="0" w:color="000000"/>
              <w:left w:val="single" w:sz="4" w:space="0" w:color="000000"/>
              <w:bottom w:val="single" w:sz="4" w:space="0" w:color="000000"/>
            </w:tcBorders>
            <w:shd w:val="clear" w:color="auto" w:fill="auto"/>
          </w:tcPr>
          <w:p w14:paraId="67525EC3" w14:textId="77777777" w:rsidR="00413554" w:rsidRPr="006641A3" w:rsidRDefault="00413554" w:rsidP="000E7A74">
            <w:pPr>
              <w:spacing w:line="240" w:lineRule="auto"/>
              <w:ind w:firstLine="0"/>
              <w:jc w:val="center"/>
            </w:pPr>
            <w:r w:rsidRPr="006641A3">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5E0A4CC2" w14:textId="77777777" w:rsidR="00413554" w:rsidRPr="006641A3" w:rsidRDefault="00413554" w:rsidP="000E7A74">
            <w:pPr>
              <w:spacing w:line="240" w:lineRule="auto"/>
              <w:ind w:firstLine="0"/>
            </w:pPr>
            <w:r w:rsidRPr="006641A3">
              <w:rPr>
                <w:szCs w:val="24"/>
              </w:rPr>
              <w:t>Контроль ДНК HBV каждые 2 мес. во время терапии анти-CD20, назначение противовирусной терапии при появлении HBsAg или ДНК HBV</w:t>
            </w:r>
          </w:p>
        </w:tc>
      </w:tr>
      <w:tr w:rsidR="00413554" w:rsidRPr="006641A3" w14:paraId="7D5BDB9D" w14:textId="77777777" w:rsidTr="000E7A74">
        <w:tc>
          <w:tcPr>
            <w:tcW w:w="2922" w:type="dxa"/>
            <w:tcBorders>
              <w:top w:val="single" w:sz="4" w:space="0" w:color="000000"/>
              <w:left w:val="single" w:sz="4" w:space="0" w:color="000000"/>
              <w:bottom w:val="single" w:sz="4" w:space="0" w:color="000000"/>
            </w:tcBorders>
            <w:shd w:val="clear" w:color="auto" w:fill="auto"/>
          </w:tcPr>
          <w:p w14:paraId="593C5E30" w14:textId="77777777" w:rsidR="00413554" w:rsidRPr="006641A3" w:rsidRDefault="00413554" w:rsidP="000E7A74">
            <w:pPr>
              <w:spacing w:line="240" w:lineRule="auto"/>
              <w:ind w:firstLine="0"/>
            </w:pPr>
            <w:r w:rsidRPr="006641A3">
              <w:rPr>
                <w:szCs w:val="24"/>
              </w:rPr>
              <w:t>Неактивное носительство HBsAg</w:t>
            </w:r>
          </w:p>
        </w:tc>
        <w:tc>
          <w:tcPr>
            <w:tcW w:w="730" w:type="dxa"/>
            <w:tcBorders>
              <w:top w:val="single" w:sz="4" w:space="0" w:color="000000"/>
              <w:left w:val="single" w:sz="4" w:space="0" w:color="000000"/>
              <w:bottom w:val="single" w:sz="4" w:space="0" w:color="000000"/>
            </w:tcBorders>
            <w:shd w:val="clear" w:color="auto" w:fill="auto"/>
          </w:tcPr>
          <w:p w14:paraId="7BF63D56" w14:textId="77777777" w:rsidR="00413554" w:rsidRPr="006641A3" w:rsidRDefault="00413554" w:rsidP="000E7A74">
            <w:pPr>
              <w:spacing w:line="240" w:lineRule="auto"/>
              <w:ind w:firstLine="0"/>
              <w:jc w:val="center"/>
            </w:pPr>
            <w:r w:rsidRPr="006641A3">
              <w:rPr>
                <w:szCs w:val="24"/>
              </w:rPr>
              <w:t>+</w:t>
            </w:r>
          </w:p>
        </w:tc>
        <w:tc>
          <w:tcPr>
            <w:tcW w:w="992" w:type="dxa"/>
            <w:tcBorders>
              <w:top w:val="single" w:sz="4" w:space="0" w:color="000000"/>
              <w:left w:val="single" w:sz="4" w:space="0" w:color="000000"/>
              <w:bottom w:val="single" w:sz="4" w:space="0" w:color="000000"/>
            </w:tcBorders>
            <w:shd w:val="clear" w:color="auto" w:fill="auto"/>
          </w:tcPr>
          <w:p w14:paraId="309C0DA5" w14:textId="77777777" w:rsidR="00413554" w:rsidRPr="006641A3" w:rsidRDefault="00413554" w:rsidP="000E7A74">
            <w:pPr>
              <w:spacing w:line="240" w:lineRule="auto"/>
              <w:ind w:firstLine="0"/>
              <w:jc w:val="center"/>
            </w:pPr>
            <w:r w:rsidRPr="006641A3">
              <w:rPr>
                <w:szCs w:val="24"/>
              </w:rPr>
              <w:t>±</w:t>
            </w:r>
          </w:p>
        </w:tc>
        <w:tc>
          <w:tcPr>
            <w:tcW w:w="880" w:type="dxa"/>
            <w:tcBorders>
              <w:top w:val="single" w:sz="4" w:space="0" w:color="000000"/>
              <w:left w:val="single" w:sz="4" w:space="0" w:color="000000"/>
              <w:bottom w:val="single" w:sz="4" w:space="0" w:color="000000"/>
            </w:tcBorders>
            <w:shd w:val="clear" w:color="auto" w:fill="auto"/>
          </w:tcPr>
          <w:p w14:paraId="6DC44117" w14:textId="77777777" w:rsidR="00413554" w:rsidRPr="006641A3" w:rsidRDefault="00413554" w:rsidP="000E7A74">
            <w:pPr>
              <w:spacing w:line="240" w:lineRule="auto"/>
              <w:ind w:firstLine="0"/>
              <w:jc w:val="center"/>
            </w:pPr>
            <w:r w:rsidRPr="006641A3">
              <w:rPr>
                <w:szCs w:val="24"/>
              </w:rPr>
              <w:t>–</w:t>
            </w:r>
          </w:p>
        </w:tc>
        <w:tc>
          <w:tcPr>
            <w:tcW w:w="879" w:type="dxa"/>
            <w:tcBorders>
              <w:top w:val="single" w:sz="4" w:space="0" w:color="000000"/>
              <w:left w:val="single" w:sz="4" w:space="0" w:color="000000"/>
              <w:bottom w:val="single" w:sz="4" w:space="0" w:color="000000"/>
            </w:tcBorders>
            <w:shd w:val="clear" w:color="auto" w:fill="auto"/>
          </w:tcPr>
          <w:p w14:paraId="1D01FA81" w14:textId="77777777" w:rsidR="00413554" w:rsidRPr="006641A3" w:rsidRDefault="00413554" w:rsidP="000E7A74">
            <w:pPr>
              <w:spacing w:line="240" w:lineRule="auto"/>
              <w:ind w:firstLine="0"/>
              <w:jc w:val="center"/>
            </w:pPr>
            <w:r w:rsidRPr="006641A3">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6FF3F71C" w14:textId="77777777" w:rsidR="00413554" w:rsidRPr="006641A3" w:rsidRDefault="00413554" w:rsidP="000E7A74">
            <w:pPr>
              <w:spacing w:line="240" w:lineRule="auto"/>
              <w:ind w:firstLine="0"/>
            </w:pPr>
            <w:r w:rsidRPr="006641A3">
              <w:rPr>
                <w:szCs w:val="24"/>
              </w:rPr>
              <w:t>Назначение противовирусных препаратов во время терапии анти-CD20+ + год после окончания</w:t>
            </w:r>
          </w:p>
        </w:tc>
      </w:tr>
      <w:tr w:rsidR="00413554" w:rsidRPr="006641A3" w14:paraId="51C7F2B8" w14:textId="77777777" w:rsidTr="000E7A74">
        <w:tc>
          <w:tcPr>
            <w:tcW w:w="2922" w:type="dxa"/>
            <w:tcBorders>
              <w:top w:val="single" w:sz="4" w:space="0" w:color="000000"/>
              <w:left w:val="single" w:sz="4" w:space="0" w:color="000000"/>
              <w:bottom w:val="single" w:sz="4" w:space="0" w:color="000000"/>
            </w:tcBorders>
            <w:shd w:val="clear" w:color="auto" w:fill="auto"/>
          </w:tcPr>
          <w:p w14:paraId="48050C59" w14:textId="77777777" w:rsidR="00413554" w:rsidRPr="006641A3" w:rsidRDefault="00413554" w:rsidP="000E7A74">
            <w:pPr>
              <w:spacing w:line="240" w:lineRule="auto"/>
              <w:ind w:firstLine="0"/>
            </w:pPr>
            <w:r w:rsidRPr="006641A3">
              <w:rPr>
                <w:szCs w:val="24"/>
              </w:rPr>
              <w:t>Хронический гепатит B</w:t>
            </w:r>
          </w:p>
        </w:tc>
        <w:tc>
          <w:tcPr>
            <w:tcW w:w="730" w:type="dxa"/>
            <w:tcBorders>
              <w:top w:val="single" w:sz="4" w:space="0" w:color="000000"/>
              <w:left w:val="single" w:sz="4" w:space="0" w:color="000000"/>
              <w:bottom w:val="single" w:sz="4" w:space="0" w:color="000000"/>
            </w:tcBorders>
            <w:shd w:val="clear" w:color="auto" w:fill="auto"/>
          </w:tcPr>
          <w:p w14:paraId="04B784FB" w14:textId="77777777" w:rsidR="00413554" w:rsidRPr="006641A3" w:rsidRDefault="00413554" w:rsidP="000E7A74">
            <w:pPr>
              <w:spacing w:line="240" w:lineRule="auto"/>
              <w:ind w:firstLine="0"/>
              <w:jc w:val="center"/>
            </w:pPr>
            <w:r w:rsidRPr="006641A3">
              <w:rPr>
                <w:szCs w:val="24"/>
              </w:rPr>
              <w:t>+</w:t>
            </w:r>
          </w:p>
        </w:tc>
        <w:tc>
          <w:tcPr>
            <w:tcW w:w="992" w:type="dxa"/>
            <w:tcBorders>
              <w:top w:val="single" w:sz="4" w:space="0" w:color="000000"/>
              <w:left w:val="single" w:sz="4" w:space="0" w:color="000000"/>
              <w:bottom w:val="single" w:sz="4" w:space="0" w:color="000000"/>
            </w:tcBorders>
            <w:shd w:val="clear" w:color="auto" w:fill="auto"/>
          </w:tcPr>
          <w:p w14:paraId="0F755213" w14:textId="77777777" w:rsidR="00413554" w:rsidRPr="006641A3" w:rsidRDefault="00413554" w:rsidP="000E7A74">
            <w:pPr>
              <w:spacing w:line="240" w:lineRule="auto"/>
              <w:ind w:firstLine="0"/>
              <w:jc w:val="center"/>
            </w:pPr>
            <w:r w:rsidRPr="006641A3">
              <w:rPr>
                <w:szCs w:val="24"/>
              </w:rPr>
              <w:t>*</w:t>
            </w:r>
          </w:p>
        </w:tc>
        <w:tc>
          <w:tcPr>
            <w:tcW w:w="880" w:type="dxa"/>
            <w:tcBorders>
              <w:top w:val="single" w:sz="4" w:space="0" w:color="000000"/>
              <w:left w:val="single" w:sz="4" w:space="0" w:color="000000"/>
              <w:bottom w:val="single" w:sz="4" w:space="0" w:color="000000"/>
            </w:tcBorders>
            <w:shd w:val="clear" w:color="auto" w:fill="auto"/>
          </w:tcPr>
          <w:p w14:paraId="22DA61EB" w14:textId="77777777" w:rsidR="00413554" w:rsidRPr="006641A3" w:rsidRDefault="00413554" w:rsidP="000E7A74">
            <w:pPr>
              <w:spacing w:line="240" w:lineRule="auto"/>
              <w:ind w:firstLine="0"/>
              <w:jc w:val="center"/>
            </w:pPr>
            <w:r w:rsidRPr="006641A3">
              <w:rPr>
                <w:szCs w:val="24"/>
              </w:rPr>
              <w:t>*</w:t>
            </w:r>
          </w:p>
        </w:tc>
        <w:tc>
          <w:tcPr>
            <w:tcW w:w="879" w:type="dxa"/>
            <w:tcBorders>
              <w:top w:val="single" w:sz="4" w:space="0" w:color="000000"/>
              <w:left w:val="single" w:sz="4" w:space="0" w:color="000000"/>
              <w:bottom w:val="single" w:sz="4" w:space="0" w:color="000000"/>
            </w:tcBorders>
            <w:shd w:val="clear" w:color="auto" w:fill="auto"/>
          </w:tcPr>
          <w:p w14:paraId="2EEB44FF" w14:textId="77777777" w:rsidR="00413554" w:rsidRPr="006641A3" w:rsidRDefault="00413554" w:rsidP="000E7A74">
            <w:pPr>
              <w:spacing w:line="240" w:lineRule="auto"/>
              <w:ind w:firstLine="0"/>
              <w:jc w:val="center"/>
            </w:pPr>
            <w:r w:rsidRPr="006641A3">
              <w:rPr>
                <w:szCs w:val="24"/>
              </w:rPr>
              <w:t>±</w:t>
            </w:r>
          </w:p>
        </w:tc>
        <w:tc>
          <w:tcPr>
            <w:tcW w:w="2998" w:type="dxa"/>
            <w:tcBorders>
              <w:top w:val="single" w:sz="4" w:space="0" w:color="000000"/>
              <w:left w:val="single" w:sz="4" w:space="0" w:color="000000"/>
              <w:bottom w:val="single" w:sz="4" w:space="0" w:color="000000"/>
              <w:right w:val="single" w:sz="4" w:space="0" w:color="000000"/>
            </w:tcBorders>
            <w:shd w:val="clear" w:color="auto" w:fill="auto"/>
          </w:tcPr>
          <w:p w14:paraId="12C2AF33" w14:textId="77777777" w:rsidR="00413554" w:rsidRPr="006641A3" w:rsidRDefault="00413554" w:rsidP="000E7A74">
            <w:pPr>
              <w:spacing w:line="240" w:lineRule="auto"/>
              <w:ind w:firstLine="0"/>
            </w:pPr>
            <w:r w:rsidRPr="006641A3">
              <w:rPr>
                <w:szCs w:val="24"/>
              </w:rPr>
              <w:t>Отказаться от анти-CD20 или противо</w:t>
            </w:r>
            <w:r w:rsidRPr="006641A3">
              <w:rPr>
                <w:szCs w:val="24"/>
              </w:rPr>
              <w:softHyphen/>
              <w:t xml:space="preserve">вирусная терапия до терапии, весь период лечения + 1 год после окончания* </w:t>
            </w:r>
          </w:p>
        </w:tc>
      </w:tr>
    </w:tbl>
    <w:p w14:paraId="7EB769B6" w14:textId="75210558" w:rsidR="00413554" w:rsidRDefault="00413554" w:rsidP="00413554">
      <w:r w:rsidRPr="006641A3">
        <w:t xml:space="preserve">* При необходимости назначения анти-CD20 </w:t>
      </w:r>
      <w:r>
        <w:t xml:space="preserve">в случае активного вирусного гепатита В показана консультация гепатолога и </w:t>
      </w:r>
      <w:r w:rsidRPr="006641A3">
        <w:t>показан постоянный прием энтекавира** 0,5 мг/сут</w:t>
      </w:r>
      <w:r w:rsidRPr="006641A3">
        <w:fldChar w:fldCharType="begin" w:fldLock="1"/>
      </w:r>
      <w:r w:rsidR="004D13EB">
        <w:instrText>ADDIN CSL_CITATION {"citationItems":[{"id":"ITEM-1","itemData":{"DOI":"10.1200/JCO.2012.48.5938","ISSN":"0732183X","abstract":"Purpose: The role of antiviral prophylaxis in preventing hepatitis B virus (HBV) reactivation before rituximab-based chemotherapy in patients with lymphoma and resolved hepatitis B is unclear. Patients and Methods: Eighty patients with CD20+ lymphoma and resolved hepatitis B were randomly assigned to receive either prophylactic entecavir (ETV) before chemotherapy to 3 months after completing chemotherapy (ETV prophylactic group, n = 41) or to receive therapeutic ETV at the time of HBV reactivation and hepatitis B surface antigen (HBsAg) reverse seroconversion since chemotherapy (control group, n = 39). Results: Fifty-eight patients (72.5%) were positive for hepatitis B surface antibody, and HBV DNA was undetectable in 50 patients (62.5%). During a mean 18-month follow-up period, one patient (2.4%) in the ETV prophylactic group and seven patients (17.9%) in the control group developed HBV reactivation (P = .027). The cumulative HBV reactivation rates at months 6, 12, and 18 after chemotherapy were 8%, 11.2%, and 25.9%, respectively, in the control group, and 0%, 0%, and 4.3% in the ETV prophylactic group (P = .019). Four patients (50%) in the control group had HBsAg reverse seroconversion after HBV reactivation. The cumulative HBsAg reverse seroconversion rates at months 6, 12, and 18 since chemotherapy were 0%, 6.4%, and 16.3% in the control group, respectively, which were significantly higher than those in the ETV prophylactic group (P = .032). Patients with detectable or undetectable viral load could develop HBV reactivation and HBsAg reverse seroconversion. Conclusion: Undetectable HBV viral load before chemotherapy did not confer reactivation-free status. Antiviral prophylaxis can potentially prevent rituximab-associated HBV reactivation in patients with lymphoma and resolved hepatitis B. © 2013 by American Society of Clinical Oncology.","author":[{"dropping-particle":"","family":"Huang","given":"Yi Hsiang","non-dropping-particle":"","parse-names":false,"suffix":""},{"dropping-particle":"","family":"Hsiao","given":"Liang Tsai","non-dropping-particle":"","parse-names":false,"suffix":""},{"dropping-particle":"","family":"Hong","given":"Ying Chung","non-dropping-particle":"","parse-names":false,"suffix":""},{"dropping-particle":"","family":"Chiou","given":"Tzeon Jye","non-dropping-particle":"","parse-names":false,"suffix":""},{"dropping-particle":"Bin","family":"Yu","given":"Yuan","non-dropping-particle":"","parse-names":false,"suffix":""},{"dropping-particle":"","family":"Gau","given":"Jyh Pyng","non-dropping-particle":"","parse-names":false,"suffix":""},{"dropping-particle":"","family":"Liu","given":"Chun Yu","non-dropping-particle":"","parse-names":false,"suffix":""},{"dropping-particle":"","family":"Yang","given":"Muh Hwa","non-dropping-particle":"","parse-names":false,"suffix":""},{"dropping-particle":"","family":"Tzeng","given":"Cheng Hwai","non-dropping-particle":"","parse-names":false,"suffix":""},{"dropping-particle":"","family":"Lee","given":"Pui Ching","non-dropping-particle":"","parse-names":false,"suffix":""},{"dropping-particle":"","family":"Lin","given":"Han Chieh","non-dropping-particle":"","parse-names":false,"suffix":""},{"dropping-particle":"","family":"Lee","given":"Shou Dong","non-dropping-particle":"","parse-names":false,"suffix":""}],"container-title":"Journal of Clinical Oncology","id":"ITEM-1","issue":"22","issued":{"date-parts":[["2013","8","1"]]},"page":"2765-2772","title":"Randomized controlled trial of entecavir prophylaxis for rituximab-associated hepatitis B virus reactivation in patients with lymphoma and resolved hepatitis B","type":"article-journal","volume":"31"},"uris":["http://www.mendeley.com/documents/?uuid=66e396a0-d8f8-3b9b-a3ed-d5536c19218c"]}],"mendeley":{"formattedCitation":"[81]","plainTextFormattedCitation":"[81]","previouslyFormattedCitation":"[81]"},"properties":{"noteIndex":0},"schema":"https://github.com/citation-style-language/schema/raw/master/csl-citation.json"}</w:instrText>
      </w:r>
      <w:r w:rsidRPr="006641A3">
        <w:fldChar w:fldCharType="separate"/>
      </w:r>
      <w:r w:rsidR="00EF3174" w:rsidRPr="00EF3174">
        <w:rPr>
          <w:noProof/>
        </w:rPr>
        <w:t>[81]</w:t>
      </w:r>
      <w:r w:rsidRPr="006641A3">
        <w:fldChar w:fldCharType="end"/>
      </w:r>
      <w:r w:rsidRPr="006641A3">
        <w:t xml:space="preserve">. Энтекавир** назначают на весь период лечения/поддерживающей терапии и не менее 1 года после завершения иммуносупрессивной терапии при неоднократных отрицательных результатах тестирования на ДНК вируса гепатита B в крови. Оптимальная продолжительность терапии энтекавиром** после завершения терапии ритуксимабом** не определена. Если пациенту с </w:t>
      </w:r>
      <w:r>
        <w:t>ЛМЗ</w:t>
      </w:r>
      <w:r w:rsidRPr="006641A3">
        <w:t xml:space="preserve"> специфическая терапия не показана, в профилактическом назначении энтекавира** нет необходимости. При развитии устойчивости к энтекавиру** показан переход на тенофовир**.</w:t>
      </w:r>
    </w:p>
    <w:p w14:paraId="5D5F6865" w14:textId="77777777" w:rsidR="00413554" w:rsidRDefault="00413554" w:rsidP="00413554"/>
    <w:p w14:paraId="776F3885" w14:textId="376C7540" w:rsidR="00413554" w:rsidRPr="0060054C" w:rsidRDefault="00413554" w:rsidP="0060054C">
      <w:pPr>
        <w:pStyle w:val="2"/>
      </w:pPr>
      <w:bookmarkStart w:id="117" w:name="_Toc65868467"/>
      <w:bookmarkStart w:id="118" w:name="_Toc103332121"/>
      <w:r w:rsidRPr="006641A3">
        <w:t>Приложение А3.</w:t>
      </w:r>
      <w:r>
        <w:t xml:space="preserve">3. </w:t>
      </w:r>
      <w:bookmarkStart w:id="119" w:name="_Toc64479235"/>
      <w:r w:rsidRPr="00CB3251">
        <w:rPr>
          <w:rFonts w:eastAsia="Arial Unicode MS"/>
        </w:rPr>
        <w:t xml:space="preserve">Сопроводительная терапия при введении </w:t>
      </w:r>
      <w:r w:rsidR="0060054C">
        <w:rPr>
          <w:rFonts w:eastAsia="Arial Unicode MS"/>
        </w:rPr>
        <w:t>ритуксимаба**</w:t>
      </w:r>
      <w:bookmarkEnd w:id="117"/>
      <w:bookmarkEnd w:id="119"/>
      <w:r w:rsidR="0060054C">
        <w:rPr>
          <w:rFonts w:eastAsia="Arial Unicode MS"/>
        </w:rPr>
        <w:t xml:space="preserve"> </w:t>
      </w:r>
      <w:r w:rsidRPr="00DE5A72">
        <w:rPr>
          <w:b w:val="0"/>
          <w:i/>
          <w:color w:val="000000" w:themeColor="text1"/>
          <w:lang w:val="en-US"/>
        </w:rPr>
        <w:fldChar w:fldCharType="begin" w:fldLock="1"/>
      </w:r>
      <w:r>
        <w:rPr>
          <w:i/>
          <w:color w:val="000000" w:themeColor="text1"/>
          <w:lang w:val="en-US"/>
        </w:rPr>
        <w:instrText>ADDINCSL</w:instrText>
      </w:r>
      <w:r w:rsidRPr="00264F60">
        <w:rPr>
          <w:i/>
          <w:color w:val="000000" w:themeColor="text1"/>
        </w:rPr>
        <w:instrText>_</w:instrText>
      </w:r>
      <w:r>
        <w:rPr>
          <w:i/>
          <w:color w:val="000000" w:themeColor="text1"/>
          <w:lang w:val="en-US"/>
        </w:rPr>
        <w:instrText>CITATION</w:instrText>
      </w:r>
      <w:r w:rsidRPr="00264F60">
        <w:rPr>
          <w:i/>
          <w:color w:val="000000" w:themeColor="text1"/>
        </w:rPr>
        <w:instrText xml:space="preserve"> {"</w:instrText>
      </w:r>
      <w:r>
        <w:rPr>
          <w:i/>
          <w:color w:val="000000" w:themeColor="text1"/>
          <w:lang w:val="en-US"/>
        </w:rPr>
        <w:instrText>citationItems</w:instrText>
      </w:r>
      <w:r w:rsidRPr="00264F60">
        <w:rPr>
          <w:i/>
          <w:color w:val="000000" w:themeColor="text1"/>
        </w:rPr>
        <w:instrText>":[{"</w:instrText>
      </w:r>
      <w:r>
        <w:rPr>
          <w:i/>
          <w:color w:val="000000" w:themeColor="text1"/>
          <w:lang w:val="en-US"/>
        </w:rPr>
        <w:instrText>id</w:instrText>
      </w:r>
      <w:r w:rsidRPr="00264F60">
        <w:rPr>
          <w:i/>
          <w:color w:val="000000" w:themeColor="text1"/>
        </w:rPr>
        <w:instrText>":"</w:instrText>
      </w:r>
      <w:r>
        <w:rPr>
          <w:i/>
          <w:color w:val="000000" w:themeColor="text1"/>
          <w:lang w:val="en-US"/>
        </w:rPr>
        <w:instrText>ITEM</w:instrText>
      </w:r>
      <w:r w:rsidRPr="00264F60">
        <w:rPr>
          <w:i/>
          <w:color w:val="000000" w:themeColor="text1"/>
        </w:rPr>
        <w:instrText>-1","</w:instrText>
      </w:r>
      <w:r>
        <w:rPr>
          <w:i/>
          <w:color w:val="000000" w:themeColor="text1"/>
          <w:lang w:val="en-US"/>
        </w:rPr>
        <w:instrText>itemData</w:instrText>
      </w:r>
      <w:r w:rsidRPr="00264F60">
        <w:rPr>
          <w:i/>
          <w:color w:val="000000" w:themeColor="text1"/>
        </w:rPr>
        <w:instrText>":{"</w:instrText>
      </w:r>
      <w:r>
        <w:rPr>
          <w:i/>
          <w:color w:val="000000" w:themeColor="text1"/>
          <w:lang w:val="en-US"/>
        </w:rPr>
        <w:instrText>author</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family</w:instrText>
      </w:r>
      <w:r w:rsidRPr="00264F60">
        <w:rPr>
          <w:i/>
          <w:color w:val="000000" w:themeColor="text1"/>
        </w:rPr>
        <w:instrText>":"</w:instrText>
      </w:r>
      <w:r>
        <w:rPr>
          <w:i/>
          <w:color w:val="000000" w:themeColor="text1"/>
          <w:lang w:val="en-US"/>
        </w:rPr>
        <w:instrText>Haanen</w:instrText>
      </w:r>
      <w:r w:rsidRPr="00264F60">
        <w:rPr>
          <w:i/>
          <w:color w:val="000000" w:themeColor="text1"/>
        </w:rPr>
        <w:instrText>","</w:instrText>
      </w:r>
      <w:r>
        <w:rPr>
          <w:i/>
          <w:color w:val="000000" w:themeColor="text1"/>
          <w:lang w:val="en-US"/>
        </w:rPr>
        <w:instrText>given</w:instrText>
      </w:r>
      <w:r w:rsidRPr="00264F60">
        <w:rPr>
          <w:i/>
          <w:color w:val="000000" w:themeColor="text1"/>
        </w:rPr>
        <w:instrText>":"</w:instrText>
      </w:r>
      <w:r>
        <w:rPr>
          <w:i/>
          <w:color w:val="000000" w:themeColor="text1"/>
          <w:lang w:val="en-US"/>
        </w:rPr>
        <w:instrText>J</w:instrText>
      </w:r>
      <w:r w:rsidRPr="00264F60">
        <w:rPr>
          <w:i/>
          <w:color w:val="000000" w:themeColor="text1"/>
        </w:rPr>
        <w:instrText xml:space="preserve">. </w:instrText>
      </w:r>
      <w:r>
        <w:rPr>
          <w:i/>
          <w:color w:val="000000" w:themeColor="text1"/>
          <w:lang w:val="en-US"/>
        </w:rPr>
        <w:instrText>B</w:instrText>
      </w:r>
      <w:r w:rsidRPr="00264F60">
        <w:rPr>
          <w:i/>
          <w:color w:val="000000" w:themeColor="text1"/>
        </w:rPr>
        <w:instrText>.</w:instrText>
      </w:r>
      <w:r>
        <w:rPr>
          <w:i/>
          <w:color w:val="000000" w:themeColor="text1"/>
          <w:lang w:val="en-US"/>
        </w:rPr>
        <w:instrText>A</w:instrText>
      </w:r>
      <w:r w:rsidRPr="00264F60">
        <w:rPr>
          <w:i/>
          <w:color w:val="000000" w:themeColor="text1"/>
        </w:rPr>
        <w:instrText>.</w:instrText>
      </w:r>
      <w:r>
        <w:rPr>
          <w:i/>
          <w:color w:val="000000" w:themeColor="text1"/>
          <w:lang w:val="en-US"/>
        </w:rPr>
        <w:instrText>G</w:instrText>
      </w:r>
      <w:r w:rsidRPr="00264F60">
        <w:rPr>
          <w:i/>
          <w:color w:val="000000" w:themeColor="text1"/>
        </w:rPr>
        <w:instrText>.","</w:instrText>
      </w:r>
      <w:r>
        <w:rPr>
          <w:i/>
          <w:color w:val="000000" w:themeColor="text1"/>
          <w:lang w:val="en-US"/>
        </w:rPr>
        <w:instrText>non</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parse</w:instrText>
      </w:r>
      <w:r w:rsidRPr="00264F60">
        <w:rPr>
          <w:i/>
          <w:color w:val="000000" w:themeColor="text1"/>
        </w:rPr>
        <w:instrText>-</w:instrText>
      </w:r>
      <w:r>
        <w:rPr>
          <w:i/>
          <w:color w:val="000000" w:themeColor="text1"/>
          <w:lang w:val="en-US"/>
        </w:rPr>
        <w:instrText>names</w:instrText>
      </w:r>
      <w:r w:rsidRPr="00264F60">
        <w:rPr>
          <w:i/>
          <w:color w:val="000000" w:themeColor="text1"/>
        </w:rPr>
        <w:instrText>":</w:instrText>
      </w:r>
      <w:r>
        <w:rPr>
          <w:i/>
          <w:color w:val="000000" w:themeColor="text1"/>
          <w:lang w:val="en-US"/>
        </w:rPr>
        <w:instrText>false</w:instrText>
      </w:r>
      <w:r w:rsidRPr="00264F60">
        <w:rPr>
          <w:i/>
          <w:color w:val="000000" w:themeColor="text1"/>
        </w:rPr>
        <w:instrText>,"</w:instrText>
      </w:r>
      <w:r>
        <w:rPr>
          <w:i/>
          <w:color w:val="000000" w:themeColor="text1"/>
          <w:lang w:val="en-US"/>
        </w:rPr>
        <w:instrText>suffix</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family</w:instrText>
      </w:r>
      <w:r w:rsidRPr="00264F60">
        <w:rPr>
          <w:i/>
          <w:color w:val="000000" w:themeColor="text1"/>
        </w:rPr>
        <w:instrText>":"</w:instrText>
      </w:r>
      <w:r>
        <w:rPr>
          <w:i/>
          <w:color w:val="000000" w:themeColor="text1"/>
          <w:lang w:val="en-US"/>
        </w:rPr>
        <w:instrText>Carbonnel</w:instrText>
      </w:r>
      <w:r w:rsidRPr="00264F60">
        <w:rPr>
          <w:i/>
          <w:color w:val="000000" w:themeColor="text1"/>
        </w:rPr>
        <w:instrText>","</w:instrText>
      </w:r>
      <w:r>
        <w:rPr>
          <w:i/>
          <w:color w:val="000000" w:themeColor="text1"/>
          <w:lang w:val="en-US"/>
        </w:rPr>
        <w:instrText>given</w:instrText>
      </w:r>
      <w:r w:rsidRPr="00264F60">
        <w:rPr>
          <w:i/>
          <w:color w:val="000000" w:themeColor="text1"/>
        </w:rPr>
        <w:instrText>":"</w:instrText>
      </w:r>
      <w:r>
        <w:rPr>
          <w:i/>
          <w:color w:val="000000" w:themeColor="text1"/>
          <w:lang w:val="en-US"/>
        </w:rPr>
        <w:instrText>F</w:instrText>
      </w:r>
      <w:r w:rsidRPr="00264F60">
        <w:rPr>
          <w:i/>
          <w:color w:val="000000" w:themeColor="text1"/>
        </w:rPr>
        <w:instrText>.","</w:instrText>
      </w:r>
      <w:r>
        <w:rPr>
          <w:i/>
          <w:color w:val="000000" w:themeColor="text1"/>
          <w:lang w:val="en-US"/>
        </w:rPr>
        <w:instrText>non</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parse</w:instrText>
      </w:r>
      <w:r w:rsidRPr="00264F60">
        <w:rPr>
          <w:i/>
          <w:color w:val="000000" w:themeColor="text1"/>
        </w:rPr>
        <w:instrText>-</w:instrText>
      </w:r>
      <w:r>
        <w:rPr>
          <w:i/>
          <w:color w:val="000000" w:themeColor="text1"/>
          <w:lang w:val="en-US"/>
        </w:rPr>
        <w:instrText>names</w:instrText>
      </w:r>
      <w:r w:rsidRPr="00264F60">
        <w:rPr>
          <w:i/>
          <w:color w:val="000000" w:themeColor="text1"/>
        </w:rPr>
        <w:instrText>":</w:instrText>
      </w:r>
      <w:r>
        <w:rPr>
          <w:i/>
          <w:color w:val="000000" w:themeColor="text1"/>
          <w:lang w:val="en-US"/>
        </w:rPr>
        <w:instrText>false</w:instrText>
      </w:r>
      <w:r w:rsidRPr="00264F60">
        <w:rPr>
          <w:i/>
          <w:color w:val="000000" w:themeColor="text1"/>
        </w:rPr>
        <w:instrText>,"</w:instrText>
      </w:r>
      <w:r>
        <w:rPr>
          <w:i/>
          <w:color w:val="000000" w:themeColor="text1"/>
          <w:lang w:val="en-US"/>
        </w:rPr>
        <w:instrText>suffix</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family</w:instrText>
      </w:r>
      <w:r w:rsidRPr="00264F60">
        <w:rPr>
          <w:i/>
          <w:color w:val="000000" w:themeColor="text1"/>
        </w:rPr>
        <w:instrText>":"</w:instrText>
      </w:r>
      <w:r>
        <w:rPr>
          <w:i/>
          <w:color w:val="000000" w:themeColor="text1"/>
          <w:lang w:val="en-US"/>
        </w:rPr>
        <w:instrText>Robert</w:instrText>
      </w:r>
      <w:r w:rsidRPr="00264F60">
        <w:rPr>
          <w:i/>
          <w:color w:val="000000" w:themeColor="text1"/>
        </w:rPr>
        <w:instrText>","</w:instrText>
      </w:r>
      <w:r>
        <w:rPr>
          <w:i/>
          <w:color w:val="000000" w:themeColor="text1"/>
          <w:lang w:val="en-US"/>
        </w:rPr>
        <w:instrText>given</w:instrText>
      </w:r>
      <w:r w:rsidRPr="00264F60">
        <w:rPr>
          <w:i/>
          <w:color w:val="000000" w:themeColor="text1"/>
        </w:rPr>
        <w:instrText>":"</w:instrText>
      </w:r>
      <w:r>
        <w:rPr>
          <w:i/>
          <w:color w:val="000000" w:themeColor="text1"/>
          <w:lang w:val="en-US"/>
        </w:rPr>
        <w:instrText>C</w:instrText>
      </w:r>
      <w:r w:rsidRPr="00264F60">
        <w:rPr>
          <w:i/>
          <w:color w:val="000000" w:themeColor="text1"/>
        </w:rPr>
        <w:instrText>.","</w:instrText>
      </w:r>
      <w:r>
        <w:rPr>
          <w:i/>
          <w:color w:val="000000" w:themeColor="text1"/>
          <w:lang w:val="en-US"/>
        </w:rPr>
        <w:instrText>non</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parse</w:instrText>
      </w:r>
      <w:r w:rsidRPr="00264F60">
        <w:rPr>
          <w:i/>
          <w:color w:val="000000" w:themeColor="text1"/>
        </w:rPr>
        <w:instrText>-</w:instrText>
      </w:r>
      <w:r>
        <w:rPr>
          <w:i/>
          <w:color w:val="000000" w:themeColor="text1"/>
          <w:lang w:val="en-US"/>
        </w:rPr>
        <w:instrText>names</w:instrText>
      </w:r>
      <w:r w:rsidRPr="00264F60">
        <w:rPr>
          <w:i/>
          <w:color w:val="000000" w:themeColor="text1"/>
        </w:rPr>
        <w:instrText>":</w:instrText>
      </w:r>
      <w:r>
        <w:rPr>
          <w:i/>
          <w:color w:val="000000" w:themeColor="text1"/>
          <w:lang w:val="en-US"/>
        </w:rPr>
        <w:instrText>false</w:instrText>
      </w:r>
      <w:r w:rsidRPr="00264F60">
        <w:rPr>
          <w:i/>
          <w:color w:val="000000" w:themeColor="text1"/>
        </w:rPr>
        <w:instrText>,"</w:instrText>
      </w:r>
      <w:r>
        <w:rPr>
          <w:i/>
          <w:color w:val="000000" w:themeColor="text1"/>
          <w:lang w:val="en-US"/>
        </w:rPr>
        <w:instrText>suffix</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family</w:instrText>
      </w:r>
      <w:r w:rsidRPr="00264F60">
        <w:rPr>
          <w:i/>
          <w:color w:val="000000" w:themeColor="text1"/>
        </w:rPr>
        <w:instrText>":"</w:instrText>
      </w:r>
      <w:r>
        <w:rPr>
          <w:i/>
          <w:color w:val="000000" w:themeColor="text1"/>
          <w:lang w:val="en-US"/>
        </w:rPr>
        <w:instrText>Kerr</w:instrText>
      </w:r>
      <w:r w:rsidRPr="00264F60">
        <w:rPr>
          <w:i/>
          <w:color w:val="000000" w:themeColor="text1"/>
        </w:rPr>
        <w:instrText>","</w:instrText>
      </w:r>
      <w:r>
        <w:rPr>
          <w:i/>
          <w:color w:val="000000" w:themeColor="text1"/>
          <w:lang w:val="en-US"/>
        </w:rPr>
        <w:instrText>given</w:instrText>
      </w:r>
      <w:r w:rsidRPr="00264F60">
        <w:rPr>
          <w:i/>
          <w:color w:val="000000" w:themeColor="text1"/>
        </w:rPr>
        <w:instrText>":"</w:instrText>
      </w:r>
      <w:r>
        <w:rPr>
          <w:i/>
          <w:color w:val="000000" w:themeColor="text1"/>
          <w:lang w:val="en-US"/>
        </w:rPr>
        <w:instrText>K</w:instrText>
      </w:r>
      <w:r w:rsidRPr="00264F60">
        <w:rPr>
          <w:i/>
          <w:color w:val="000000" w:themeColor="text1"/>
        </w:rPr>
        <w:instrText xml:space="preserve">. </w:instrText>
      </w:r>
      <w:r>
        <w:rPr>
          <w:i/>
          <w:color w:val="000000" w:themeColor="text1"/>
          <w:lang w:val="en-US"/>
        </w:rPr>
        <w:instrText>M</w:instrText>
      </w:r>
      <w:r w:rsidRPr="00264F60">
        <w:rPr>
          <w:i/>
          <w:color w:val="000000" w:themeColor="text1"/>
        </w:rPr>
        <w:instrText>.","</w:instrText>
      </w:r>
      <w:r>
        <w:rPr>
          <w:i/>
          <w:color w:val="000000" w:themeColor="text1"/>
          <w:lang w:val="en-US"/>
        </w:rPr>
        <w:instrText>non</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parse</w:instrText>
      </w:r>
      <w:r w:rsidRPr="00264F60">
        <w:rPr>
          <w:i/>
          <w:color w:val="000000" w:themeColor="text1"/>
        </w:rPr>
        <w:instrText>-</w:instrText>
      </w:r>
      <w:r>
        <w:rPr>
          <w:i/>
          <w:color w:val="000000" w:themeColor="text1"/>
          <w:lang w:val="en-US"/>
        </w:rPr>
        <w:instrText>names</w:instrText>
      </w:r>
      <w:r w:rsidRPr="00264F60">
        <w:rPr>
          <w:i/>
          <w:color w:val="000000" w:themeColor="text1"/>
        </w:rPr>
        <w:instrText>":</w:instrText>
      </w:r>
      <w:r>
        <w:rPr>
          <w:i/>
          <w:color w:val="000000" w:themeColor="text1"/>
          <w:lang w:val="en-US"/>
        </w:rPr>
        <w:instrText>false</w:instrText>
      </w:r>
      <w:r w:rsidRPr="00264F60">
        <w:rPr>
          <w:i/>
          <w:color w:val="000000" w:themeColor="text1"/>
        </w:rPr>
        <w:instrText>,"</w:instrText>
      </w:r>
      <w:r>
        <w:rPr>
          <w:i/>
          <w:color w:val="000000" w:themeColor="text1"/>
          <w:lang w:val="en-US"/>
        </w:rPr>
        <w:instrText>suffix</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family</w:instrText>
      </w:r>
      <w:r w:rsidRPr="00264F60">
        <w:rPr>
          <w:i/>
          <w:color w:val="000000" w:themeColor="text1"/>
        </w:rPr>
        <w:instrText>":"</w:instrText>
      </w:r>
      <w:r>
        <w:rPr>
          <w:i/>
          <w:color w:val="000000" w:themeColor="text1"/>
          <w:lang w:val="en-US"/>
        </w:rPr>
        <w:instrText>Peters</w:instrText>
      </w:r>
      <w:r w:rsidRPr="00264F60">
        <w:rPr>
          <w:i/>
          <w:color w:val="000000" w:themeColor="text1"/>
        </w:rPr>
        <w:instrText>","</w:instrText>
      </w:r>
      <w:r>
        <w:rPr>
          <w:i/>
          <w:color w:val="000000" w:themeColor="text1"/>
          <w:lang w:val="en-US"/>
        </w:rPr>
        <w:instrText>given</w:instrText>
      </w:r>
      <w:r w:rsidRPr="00264F60">
        <w:rPr>
          <w:i/>
          <w:color w:val="000000" w:themeColor="text1"/>
        </w:rPr>
        <w:instrText>":"</w:instrText>
      </w:r>
      <w:r>
        <w:rPr>
          <w:i/>
          <w:color w:val="000000" w:themeColor="text1"/>
          <w:lang w:val="en-US"/>
        </w:rPr>
        <w:instrText>S</w:instrText>
      </w:r>
      <w:r w:rsidRPr="00264F60">
        <w:rPr>
          <w:i/>
          <w:color w:val="000000" w:themeColor="text1"/>
        </w:rPr>
        <w:instrText>.","</w:instrText>
      </w:r>
      <w:r>
        <w:rPr>
          <w:i/>
          <w:color w:val="000000" w:themeColor="text1"/>
          <w:lang w:val="en-US"/>
        </w:rPr>
        <w:instrText>non</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parse</w:instrText>
      </w:r>
      <w:r w:rsidRPr="00264F60">
        <w:rPr>
          <w:i/>
          <w:color w:val="000000" w:themeColor="text1"/>
        </w:rPr>
        <w:instrText>-</w:instrText>
      </w:r>
      <w:r>
        <w:rPr>
          <w:i/>
          <w:color w:val="000000" w:themeColor="text1"/>
          <w:lang w:val="en-US"/>
        </w:rPr>
        <w:instrText>names</w:instrText>
      </w:r>
      <w:r w:rsidRPr="00264F60">
        <w:rPr>
          <w:i/>
          <w:color w:val="000000" w:themeColor="text1"/>
        </w:rPr>
        <w:instrText>":</w:instrText>
      </w:r>
      <w:r>
        <w:rPr>
          <w:i/>
          <w:color w:val="000000" w:themeColor="text1"/>
          <w:lang w:val="en-US"/>
        </w:rPr>
        <w:instrText>false</w:instrText>
      </w:r>
      <w:r w:rsidRPr="00264F60">
        <w:rPr>
          <w:i/>
          <w:color w:val="000000" w:themeColor="text1"/>
        </w:rPr>
        <w:instrText>,"</w:instrText>
      </w:r>
      <w:r>
        <w:rPr>
          <w:i/>
          <w:color w:val="000000" w:themeColor="text1"/>
          <w:lang w:val="en-US"/>
        </w:rPr>
        <w:instrText>suffix</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family</w:instrText>
      </w:r>
      <w:r w:rsidRPr="00264F60">
        <w:rPr>
          <w:i/>
          <w:color w:val="000000" w:themeColor="text1"/>
        </w:rPr>
        <w:instrText>":"</w:instrText>
      </w:r>
      <w:r>
        <w:rPr>
          <w:i/>
          <w:color w:val="000000" w:themeColor="text1"/>
          <w:lang w:val="en-US"/>
        </w:rPr>
        <w:instrText>Larkin</w:instrText>
      </w:r>
      <w:r w:rsidRPr="00264F60">
        <w:rPr>
          <w:i/>
          <w:color w:val="000000" w:themeColor="text1"/>
        </w:rPr>
        <w:instrText>","</w:instrText>
      </w:r>
      <w:r>
        <w:rPr>
          <w:i/>
          <w:color w:val="000000" w:themeColor="text1"/>
          <w:lang w:val="en-US"/>
        </w:rPr>
        <w:instrText>given</w:instrText>
      </w:r>
      <w:r w:rsidRPr="00264F60">
        <w:rPr>
          <w:i/>
          <w:color w:val="000000" w:themeColor="text1"/>
        </w:rPr>
        <w:instrText>":"</w:instrText>
      </w:r>
      <w:r>
        <w:rPr>
          <w:i/>
          <w:color w:val="000000" w:themeColor="text1"/>
          <w:lang w:val="en-US"/>
        </w:rPr>
        <w:instrText>J</w:instrText>
      </w:r>
      <w:r w:rsidRPr="00264F60">
        <w:rPr>
          <w:i/>
          <w:color w:val="000000" w:themeColor="text1"/>
        </w:rPr>
        <w:instrText>.","</w:instrText>
      </w:r>
      <w:r>
        <w:rPr>
          <w:i/>
          <w:color w:val="000000" w:themeColor="text1"/>
          <w:lang w:val="en-US"/>
        </w:rPr>
        <w:instrText>non</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parse</w:instrText>
      </w:r>
      <w:r w:rsidRPr="00264F60">
        <w:rPr>
          <w:i/>
          <w:color w:val="000000" w:themeColor="text1"/>
        </w:rPr>
        <w:instrText>-</w:instrText>
      </w:r>
      <w:r>
        <w:rPr>
          <w:i/>
          <w:color w:val="000000" w:themeColor="text1"/>
          <w:lang w:val="en-US"/>
        </w:rPr>
        <w:instrText>names</w:instrText>
      </w:r>
      <w:r w:rsidRPr="00264F60">
        <w:rPr>
          <w:i/>
          <w:color w:val="000000" w:themeColor="text1"/>
        </w:rPr>
        <w:instrText>":</w:instrText>
      </w:r>
      <w:r>
        <w:rPr>
          <w:i/>
          <w:color w:val="000000" w:themeColor="text1"/>
          <w:lang w:val="en-US"/>
        </w:rPr>
        <w:instrText>false</w:instrText>
      </w:r>
      <w:r w:rsidRPr="00264F60">
        <w:rPr>
          <w:i/>
          <w:color w:val="000000" w:themeColor="text1"/>
        </w:rPr>
        <w:instrText>,"</w:instrText>
      </w:r>
      <w:r>
        <w:rPr>
          <w:i/>
          <w:color w:val="000000" w:themeColor="text1"/>
          <w:lang w:val="en-US"/>
        </w:rPr>
        <w:instrText>suffix</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family</w:instrText>
      </w:r>
      <w:r w:rsidRPr="00264F60">
        <w:rPr>
          <w:i/>
          <w:color w:val="000000" w:themeColor="text1"/>
        </w:rPr>
        <w:instrText>":"</w:instrText>
      </w:r>
      <w:r>
        <w:rPr>
          <w:i/>
          <w:color w:val="000000" w:themeColor="text1"/>
          <w:lang w:val="en-US"/>
        </w:rPr>
        <w:instrText>Jordan</w:instrText>
      </w:r>
      <w:r w:rsidRPr="00264F60">
        <w:rPr>
          <w:i/>
          <w:color w:val="000000" w:themeColor="text1"/>
        </w:rPr>
        <w:instrText>","</w:instrText>
      </w:r>
      <w:r>
        <w:rPr>
          <w:i/>
          <w:color w:val="000000" w:themeColor="text1"/>
          <w:lang w:val="en-US"/>
        </w:rPr>
        <w:instrText>given</w:instrText>
      </w:r>
      <w:r w:rsidRPr="00264F60">
        <w:rPr>
          <w:i/>
          <w:color w:val="000000" w:themeColor="text1"/>
        </w:rPr>
        <w:instrText>":"</w:instrText>
      </w:r>
      <w:r>
        <w:rPr>
          <w:i/>
          <w:color w:val="000000" w:themeColor="text1"/>
          <w:lang w:val="en-US"/>
        </w:rPr>
        <w:instrText>K</w:instrText>
      </w:r>
      <w:r w:rsidRPr="00264F60">
        <w:rPr>
          <w:i/>
          <w:color w:val="000000" w:themeColor="text1"/>
        </w:rPr>
        <w:instrText>.","</w:instrText>
      </w:r>
      <w:r>
        <w:rPr>
          <w:i/>
          <w:color w:val="000000" w:themeColor="text1"/>
          <w:lang w:val="en-US"/>
        </w:rPr>
        <w:instrText>non</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parse</w:instrText>
      </w:r>
      <w:r w:rsidRPr="00264F60">
        <w:rPr>
          <w:i/>
          <w:color w:val="000000" w:themeColor="text1"/>
        </w:rPr>
        <w:instrText>-</w:instrText>
      </w:r>
      <w:r>
        <w:rPr>
          <w:i/>
          <w:color w:val="000000" w:themeColor="text1"/>
          <w:lang w:val="en-US"/>
        </w:rPr>
        <w:instrText>names</w:instrText>
      </w:r>
      <w:r w:rsidRPr="00264F60">
        <w:rPr>
          <w:i/>
          <w:color w:val="000000" w:themeColor="text1"/>
        </w:rPr>
        <w:instrText>":</w:instrText>
      </w:r>
      <w:r>
        <w:rPr>
          <w:i/>
          <w:color w:val="000000" w:themeColor="text1"/>
          <w:lang w:val="en-US"/>
        </w:rPr>
        <w:instrText>false</w:instrText>
      </w:r>
      <w:r w:rsidRPr="00264F60">
        <w:rPr>
          <w:i/>
          <w:color w:val="000000" w:themeColor="text1"/>
        </w:rPr>
        <w:instrText>,"</w:instrText>
      </w:r>
      <w:r>
        <w:rPr>
          <w:i/>
          <w:color w:val="000000" w:themeColor="text1"/>
          <w:lang w:val="en-US"/>
        </w:rPr>
        <w:instrText>suffix</w:instrText>
      </w:r>
      <w:r w:rsidRPr="00264F60">
        <w:rPr>
          <w:i/>
          <w:color w:val="000000" w:themeColor="text1"/>
        </w:rPr>
        <w:instrText>":""}],"</w:instrText>
      </w:r>
      <w:r>
        <w:rPr>
          <w:i/>
          <w:color w:val="000000" w:themeColor="text1"/>
          <w:lang w:val="en-US"/>
        </w:rPr>
        <w:instrText>container</w:instrText>
      </w:r>
      <w:r w:rsidRPr="00264F60">
        <w:rPr>
          <w:i/>
          <w:color w:val="000000" w:themeColor="text1"/>
        </w:rPr>
        <w:instrText>-</w:instrText>
      </w:r>
      <w:r>
        <w:rPr>
          <w:i/>
          <w:color w:val="000000" w:themeColor="text1"/>
          <w:lang w:val="en-US"/>
        </w:rPr>
        <w:instrText>title</w:instrText>
      </w:r>
      <w:r w:rsidRPr="00264F60">
        <w:rPr>
          <w:i/>
          <w:color w:val="000000" w:themeColor="text1"/>
        </w:rPr>
        <w:instrText>":"</w:instrText>
      </w:r>
      <w:r>
        <w:rPr>
          <w:i/>
          <w:color w:val="000000" w:themeColor="text1"/>
          <w:lang w:val="en-US"/>
        </w:rPr>
        <w:instrText>AnnalsofOncology</w:instrText>
      </w:r>
      <w:r w:rsidRPr="00264F60">
        <w:rPr>
          <w:i/>
          <w:color w:val="000000" w:themeColor="text1"/>
        </w:rPr>
        <w:instrText>","</w:instrText>
      </w:r>
      <w:r>
        <w:rPr>
          <w:i/>
          <w:color w:val="000000" w:themeColor="text1"/>
          <w:lang w:val="en-US"/>
        </w:rPr>
        <w:instrText>id</w:instrText>
      </w:r>
      <w:r w:rsidRPr="00264F60">
        <w:rPr>
          <w:i/>
          <w:color w:val="000000" w:themeColor="text1"/>
        </w:rPr>
        <w:instrText>":"</w:instrText>
      </w:r>
      <w:r>
        <w:rPr>
          <w:i/>
          <w:color w:val="000000" w:themeColor="text1"/>
          <w:lang w:val="en-US"/>
        </w:rPr>
        <w:instrText>ITEM</w:instrText>
      </w:r>
      <w:r w:rsidRPr="00264F60">
        <w:rPr>
          <w:i/>
          <w:color w:val="000000" w:themeColor="text1"/>
        </w:rPr>
        <w:instrText>-1","</w:instrText>
      </w:r>
      <w:r>
        <w:rPr>
          <w:i/>
          <w:color w:val="000000" w:themeColor="text1"/>
          <w:lang w:val="en-US"/>
        </w:rPr>
        <w:instrText>issue</w:instrText>
      </w:r>
      <w:r w:rsidRPr="00264F60">
        <w:rPr>
          <w:i/>
          <w:color w:val="000000" w:themeColor="text1"/>
        </w:rPr>
        <w:instrText>":"</w:instrText>
      </w:r>
      <w:r>
        <w:rPr>
          <w:i/>
          <w:color w:val="000000" w:themeColor="text1"/>
          <w:lang w:val="en-US"/>
        </w:rPr>
        <w:instrText>Supp</w:instrText>
      </w:r>
      <w:r w:rsidRPr="00264F60">
        <w:rPr>
          <w:i/>
          <w:color w:val="000000" w:themeColor="text1"/>
        </w:rPr>
        <w:instrText>. 4","</w:instrText>
      </w:r>
      <w:r>
        <w:rPr>
          <w:i/>
          <w:color w:val="000000" w:themeColor="text1"/>
          <w:lang w:val="en-US"/>
        </w:rPr>
        <w:instrText>issued</w:instrText>
      </w:r>
      <w:r w:rsidRPr="00264F60">
        <w:rPr>
          <w:i/>
          <w:color w:val="000000" w:themeColor="text1"/>
        </w:rPr>
        <w:instrText>":{"</w:instrText>
      </w:r>
      <w:r>
        <w:rPr>
          <w:i/>
          <w:color w:val="000000" w:themeColor="text1"/>
          <w:lang w:val="en-US"/>
        </w:rPr>
        <w:instrText>date</w:instrText>
      </w:r>
      <w:r w:rsidRPr="00264F60">
        <w:rPr>
          <w:i/>
          <w:color w:val="000000" w:themeColor="text1"/>
        </w:rPr>
        <w:instrText>-</w:instrText>
      </w:r>
      <w:r>
        <w:rPr>
          <w:i/>
          <w:color w:val="000000" w:themeColor="text1"/>
          <w:lang w:val="en-US"/>
        </w:rPr>
        <w:instrText>parts</w:instrText>
      </w:r>
      <w:r w:rsidRPr="00264F60">
        <w:rPr>
          <w:i/>
          <w:color w:val="000000" w:themeColor="text1"/>
        </w:rPr>
        <w:instrText>":[["2018"]]},"</w:instrText>
      </w:r>
      <w:r>
        <w:rPr>
          <w:i/>
          <w:color w:val="000000" w:themeColor="text1"/>
          <w:lang w:val="en-US"/>
        </w:rPr>
        <w:instrText>page</w:instrText>
      </w:r>
      <w:r w:rsidRPr="00264F60">
        <w:rPr>
          <w:i/>
          <w:color w:val="000000" w:themeColor="text1"/>
        </w:rPr>
        <w:instrText>":"</w:instrText>
      </w:r>
      <w:r>
        <w:rPr>
          <w:i/>
          <w:color w:val="000000" w:themeColor="text1"/>
          <w:lang w:val="en-US"/>
        </w:rPr>
        <w:instrText>iv</w:instrText>
      </w:r>
      <w:r w:rsidRPr="00264F60">
        <w:rPr>
          <w:i/>
          <w:color w:val="000000" w:themeColor="text1"/>
        </w:rPr>
        <w:instrText>264-</w:instrText>
      </w:r>
      <w:r>
        <w:rPr>
          <w:i/>
          <w:color w:val="000000" w:themeColor="text1"/>
          <w:lang w:val="en-US"/>
        </w:rPr>
        <w:instrText>iv</w:instrText>
      </w:r>
      <w:r w:rsidRPr="00264F60">
        <w:rPr>
          <w:i/>
          <w:color w:val="000000" w:themeColor="text1"/>
        </w:rPr>
        <w:instrText>266","</w:instrText>
      </w:r>
      <w:r>
        <w:rPr>
          <w:i/>
          <w:color w:val="000000" w:themeColor="text1"/>
          <w:lang w:val="en-US"/>
        </w:rPr>
        <w:instrText>title</w:instrText>
      </w:r>
      <w:r w:rsidRPr="00264F60">
        <w:rPr>
          <w:i/>
          <w:color w:val="000000" w:themeColor="text1"/>
        </w:rPr>
        <w:instrText>":"</w:instrText>
      </w:r>
      <w:r>
        <w:rPr>
          <w:i/>
          <w:color w:val="000000" w:themeColor="text1"/>
          <w:lang w:val="en-US"/>
        </w:rPr>
        <w:instrText>Managementoftoxicitiesfromimmunotherapy</w:instrText>
      </w:r>
      <w:r w:rsidRPr="00264F60">
        <w:rPr>
          <w:i/>
          <w:color w:val="000000" w:themeColor="text1"/>
        </w:rPr>
        <w:instrText xml:space="preserve">: </w:instrText>
      </w:r>
      <w:r>
        <w:rPr>
          <w:i/>
          <w:color w:val="000000" w:themeColor="text1"/>
          <w:lang w:val="en-US"/>
        </w:rPr>
        <w:instrText>ESMOClinicalPracticeGuidelinesfordiagnosis</w:instrText>
      </w:r>
      <w:r w:rsidRPr="00264F60">
        <w:rPr>
          <w:i/>
          <w:color w:val="000000" w:themeColor="text1"/>
        </w:rPr>
        <w:instrText xml:space="preserve">, </w:instrText>
      </w:r>
      <w:r>
        <w:rPr>
          <w:i/>
          <w:color w:val="000000" w:themeColor="text1"/>
          <w:lang w:val="en-US"/>
        </w:rPr>
        <w:instrText>treatmentandfollow</w:instrText>
      </w:r>
      <w:r w:rsidRPr="00264F60">
        <w:rPr>
          <w:i/>
          <w:color w:val="000000" w:themeColor="text1"/>
        </w:rPr>
        <w:instrText>-</w:instrText>
      </w:r>
      <w:r>
        <w:rPr>
          <w:i/>
          <w:color w:val="000000" w:themeColor="text1"/>
          <w:lang w:val="en-US"/>
        </w:rPr>
        <w:instrText>up</w:instrText>
      </w:r>
      <w:r w:rsidRPr="00264F60">
        <w:rPr>
          <w:i/>
          <w:color w:val="000000" w:themeColor="text1"/>
        </w:rPr>
        <w:instrText>","</w:instrText>
      </w:r>
      <w:r>
        <w:rPr>
          <w:i/>
          <w:color w:val="000000" w:themeColor="text1"/>
          <w:lang w:val="en-US"/>
        </w:rPr>
        <w:instrText>type</w:instrText>
      </w:r>
      <w:r w:rsidRPr="00264F60">
        <w:rPr>
          <w:i/>
          <w:color w:val="000000" w:themeColor="text1"/>
        </w:rPr>
        <w:instrText>":"</w:instrText>
      </w:r>
      <w:r>
        <w:rPr>
          <w:i/>
          <w:color w:val="000000" w:themeColor="text1"/>
          <w:lang w:val="en-US"/>
        </w:rPr>
        <w:instrText>article</w:instrText>
      </w:r>
      <w:r w:rsidRPr="00264F60">
        <w:rPr>
          <w:i/>
          <w:color w:val="000000" w:themeColor="text1"/>
        </w:rPr>
        <w:instrText>-</w:instrText>
      </w:r>
      <w:r>
        <w:rPr>
          <w:i/>
          <w:color w:val="000000" w:themeColor="text1"/>
          <w:lang w:val="en-US"/>
        </w:rPr>
        <w:instrText>journal</w:instrText>
      </w:r>
      <w:r w:rsidRPr="00264F60">
        <w:rPr>
          <w:i/>
          <w:color w:val="000000" w:themeColor="text1"/>
        </w:rPr>
        <w:instrText>","</w:instrText>
      </w:r>
      <w:r>
        <w:rPr>
          <w:i/>
          <w:color w:val="000000" w:themeColor="text1"/>
          <w:lang w:val="en-US"/>
        </w:rPr>
        <w:instrText>volume</w:instrText>
      </w:r>
      <w:r w:rsidRPr="00264F60">
        <w:rPr>
          <w:i/>
          <w:color w:val="000000" w:themeColor="text1"/>
        </w:rPr>
        <w:instrText>":"29"},"</w:instrText>
      </w:r>
      <w:r>
        <w:rPr>
          <w:i/>
          <w:color w:val="000000" w:themeColor="text1"/>
          <w:lang w:val="en-US"/>
        </w:rPr>
        <w:instrText>uris</w:instrText>
      </w:r>
      <w:r w:rsidRPr="00264F60">
        <w:rPr>
          <w:i/>
          <w:color w:val="000000" w:themeColor="text1"/>
        </w:rPr>
        <w:instrText>":["</w:instrText>
      </w:r>
      <w:r>
        <w:rPr>
          <w:i/>
          <w:color w:val="000000" w:themeColor="text1"/>
          <w:lang w:val="en-US"/>
        </w:rPr>
        <w:instrText>http</w:instrText>
      </w:r>
      <w:r w:rsidRPr="00264F60">
        <w:rPr>
          <w:i/>
          <w:color w:val="000000" w:themeColor="text1"/>
        </w:rPr>
        <w:instrText>://</w:instrText>
      </w:r>
      <w:r>
        <w:rPr>
          <w:i/>
          <w:color w:val="000000" w:themeColor="text1"/>
          <w:lang w:val="en-US"/>
        </w:rPr>
        <w:instrText>www</w:instrText>
      </w:r>
      <w:r w:rsidRPr="00264F60">
        <w:rPr>
          <w:i/>
          <w:color w:val="000000" w:themeColor="text1"/>
        </w:rPr>
        <w:instrText>.</w:instrText>
      </w:r>
      <w:r>
        <w:rPr>
          <w:i/>
          <w:color w:val="000000" w:themeColor="text1"/>
          <w:lang w:val="en-US"/>
        </w:rPr>
        <w:instrText>mendeley</w:instrText>
      </w:r>
      <w:r w:rsidRPr="00264F60">
        <w:rPr>
          <w:i/>
          <w:color w:val="000000" w:themeColor="text1"/>
        </w:rPr>
        <w:instrText>.</w:instrText>
      </w:r>
      <w:r>
        <w:rPr>
          <w:i/>
          <w:color w:val="000000" w:themeColor="text1"/>
          <w:lang w:val="en-US"/>
        </w:rPr>
        <w:instrText>com</w:instrText>
      </w:r>
      <w:r w:rsidRPr="00264F60">
        <w:rPr>
          <w:i/>
          <w:color w:val="000000" w:themeColor="text1"/>
        </w:rPr>
        <w:instrText>/</w:instrText>
      </w:r>
      <w:r>
        <w:rPr>
          <w:i/>
          <w:color w:val="000000" w:themeColor="text1"/>
          <w:lang w:val="en-US"/>
        </w:rPr>
        <w:instrText>documents</w:instrText>
      </w:r>
      <w:r w:rsidRPr="00264F60">
        <w:rPr>
          <w:i/>
          <w:color w:val="000000" w:themeColor="text1"/>
        </w:rPr>
        <w:instrText>/?</w:instrText>
      </w:r>
      <w:r>
        <w:rPr>
          <w:i/>
          <w:color w:val="000000" w:themeColor="text1"/>
          <w:lang w:val="en-US"/>
        </w:rPr>
        <w:instrText>uuid</w:instrText>
      </w:r>
      <w:r w:rsidRPr="00264F60">
        <w:rPr>
          <w:i/>
          <w:color w:val="000000" w:themeColor="text1"/>
        </w:rPr>
        <w:instrText>=891</w:instrText>
      </w:r>
      <w:r>
        <w:rPr>
          <w:i/>
          <w:color w:val="000000" w:themeColor="text1"/>
          <w:lang w:val="en-US"/>
        </w:rPr>
        <w:instrText>e</w:instrText>
      </w:r>
      <w:r w:rsidRPr="00264F60">
        <w:rPr>
          <w:i/>
          <w:color w:val="000000" w:themeColor="text1"/>
        </w:rPr>
        <w:instrText>60</w:instrText>
      </w:r>
      <w:r>
        <w:rPr>
          <w:i/>
          <w:color w:val="000000" w:themeColor="text1"/>
          <w:lang w:val="en-US"/>
        </w:rPr>
        <w:instrText>f</w:instrText>
      </w:r>
      <w:r w:rsidRPr="00264F60">
        <w:rPr>
          <w:i/>
          <w:color w:val="000000" w:themeColor="text1"/>
        </w:rPr>
        <w:instrText>6-27</w:instrText>
      </w:r>
      <w:r>
        <w:rPr>
          <w:i/>
          <w:color w:val="000000" w:themeColor="text1"/>
          <w:lang w:val="en-US"/>
        </w:rPr>
        <w:instrText>c</w:instrText>
      </w:r>
      <w:r w:rsidRPr="00264F60">
        <w:rPr>
          <w:i/>
          <w:color w:val="000000" w:themeColor="text1"/>
        </w:rPr>
        <w:instrText>0-495</w:instrText>
      </w:r>
      <w:r>
        <w:rPr>
          <w:i/>
          <w:color w:val="000000" w:themeColor="text1"/>
          <w:lang w:val="en-US"/>
        </w:rPr>
        <w:instrText>a</w:instrText>
      </w:r>
      <w:r w:rsidRPr="00264F60">
        <w:rPr>
          <w:i/>
          <w:color w:val="000000" w:themeColor="text1"/>
        </w:rPr>
        <w:instrText>-98</w:instrText>
      </w:r>
      <w:r>
        <w:rPr>
          <w:i/>
          <w:color w:val="000000" w:themeColor="text1"/>
          <w:lang w:val="en-US"/>
        </w:rPr>
        <w:instrText>e</w:instrText>
      </w:r>
      <w:r w:rsidRPr="00264F60">
        <w:rPr>
          <w:i/>
          <w:color w:val="000000" w:themeColor="text1"/>
        </w:rPr>
        <w:instrText>2-222</w:instrText>
      </w:r>
      <w:r>
        <w:rPr>
          <w:i/>
          <w:color w:val="000000" w:themeColor="text1"/>
          <w:lang w:val="en-US"/>
        </w:rPr>
        <w:instrText>a</w:instrText>
      </w:r>
      <w:r w:rsidRPr="00264F60">
        <w:rPr>
          <w:i/>
          <w:color w:val="000000" w:themeColor="text1"/>
        </w:rPr>
        <w:instrText>2574</w:instrText>
      </w:r>
      <w:r>
        <w:rPr>
          <w:i/>
          <w:color w:val="000000" w:themeColor="text1"/>
          <w:lang w:val="en-US"/>
        </w:rPr>
        <w:instrText>c</w:instrText>
      </w:r>
      <w:r w:rsidRPr="00264F60">
        <w:rPr>
          <w:i/>
          <w:color w:val="000000" w:themeColor="text1"/>
        </w:rPr>
        <w:instrText>98</w:instrText>
      </w:r>
      <w:r>
        <w:rPr>
          <w:i/>
          <w:color w:val="000000" w:themeColor="text1"/>
          <w:lang w:val="en-US"/>
        </w:rPr>
        <w:instrText>e</w:instrText>
      </w:r>
      <w:r w:rsidRPr="00264F60">
        <w:rPr>
          <w:i/>
          <w:color w:val="000000" w:themeColor="text1"/>
        </w:rPr>
        <w:instrText>"]},{"</w:instrText>
      </w:r>
      <w:r>
        <w:rPr>
          <w:i/>
          <w:color w:val="000000" w:themeColor="text1"/>
          <w:lang w:val="en-US"/>
        </w:rPr>
        <w:instrText>id</w:instrText>
      </w:r>
      <w:r w:rsidRPr="00264F60">
        <w:rPr>
          <w:i/>
          <w:color w:val="000000" w:themeColor="text1"/>
        </w:rPr>
        <w:instrText>":"</w:instrText>
      </w:r>
      <w:r>
        <w:rPr>
          <w:i/>
          <w:color w:val="000000" w:themeColor="text1"/>
          <w:lang w:val="en-US"/>
        </w:rPr>
        <w:instrText>ITEM</w:instrText>
      </w:r>
      <w:r w:rsidRPr="00264F60">
        <w:rPr>
          <w:i/>
          <w:color w:val="000000" w:themeColor="text1"/>
        </w:rPr>
        <w:instrText>-2","</w:instrText>
      </w:r>
      <w:r>
        <w:rPr>
          <w:i/>
          <w:color w:val="000000" w:themeColor="text1"/>
          <w:lang w:val="en-US"/>
        </w:rPr>
        <w:instrText>itemData</w:instrText>
      </w:r>
      <w:r w:rsidRPr="00264F60">
        <w:rPr>
          <w:i/>
          <w:color w:val="000000" w:themeColor="text1"/>
        </w:rPr>
        <w:instrText>":{"</w:instrText>
      </w:r>
      <w:r>
        <w:rPr>
          <w:i/>
          <w:color w:val="000000" w:themeColor="text1"/>
          <w:lang w:val="en-US"/>
        </w:rPr>
        <w:instrText>DOI</w:instrText>
      </w:r>
      <w:r w:rsidRPr="00264F60">
        <w:rPr>
          <w:i/>
          <w:color w:val="000000" w:themeColor="text1"/>
        </w:rPr>
        <w:instrText>":"10.1179/1973947815</w:instrText>
      </w:r>
      <w:r>
        <w:rPr>
          <w:i/>
          <w:color w:val="000000" w:themeColor="text1"/>
          <w:lang w:val="en-US"/>
        </w:rPr>
        <w:instrText>Y</w:instrText>
      </w:r>
      <w:r w:rsidRPr="00264F60">
        <w:rPr>
          <w:i/>
          <w:color w:val="000000" w:themeColor="text1"/>
        </w:rPr>
        <w:instrText>.0000000025","</w:instrText>
      </w:r>
      <w:r>
        <w:rPr>
          <w:i/>
          <w:color w:val="000000" w:themeColor="text1"/>
          <w:lang w:val="en-US"/>
        </w:rPr>
        <w:instrText>ISSN</w:instrText>
      </w:r>
      <w:r w:rsidRPr="00264F60">
        <w:rPr>
          <w:i/>
          <w:color w:val="000000" w:themeColor="text1"/>
        </w:rPr>
        <w:instrText>":"19739478","</w:instrText>
      </w:r>
      <w:r>
        <w:rPr>
          <w:i/>
          <w:color w:val="000000" w:themeColor="text1"/>
          <w:lang w:val="en-US"/>
        </w:rPr>
        <w:instrText>PMID</w:instrText>
      </w:r>
      <w:r w:rsidRPr="00264F60">
        <w:rPr>
          <w:i/>
          <w:color w:val="000000" w:themeColor="text1"/>
        </w:rPr>
        <w:instrText>":"25872413","</w:instrText>
      </w:r>
      <w:r>
        <w:rPr>
          <w:i/>
          <w:color w:val="000000" w:themeColor="text1"/>
          <w:lang w:val="en-US"/>
        </w:rPr>
        <w:instrText>abstract</w:instrText>
      </w:r>
      <w:r w:rsidRPr="00264F60">
        <w:rPr>
          <w:i/>
          <w:color w:val="000000" w:themeColor="text1"/>
        </w:rPr>
        <w:instrText>":"</w:instrText>
      </w:r>
      <w:r>
        <w:rPr>
          <w:i/>
          <w:color w:val="000000" w:themeColor="text1"/>
          <w:lang w:val="en-US"/>
        </w:rPr>
        <w:instrText>Purpose</w:instrText>
      </w:r>
      <w:r w:rsidRPr="00264F60">
        <w:rPr>
          <w:i/>
          <w:color w:val="000000" w:themeColor="text1"/>
        </w:rPr>
        <w:instrText xml:space="preserve">: </w:instrText>
      </w:r>
      <w:r>
        <w:rPr>
          <w:i/>
          <w:color w:val="000000" w:themeColor="text1"/>
          <w:lang w:val="en-US"/>
        </w:rPr>
        <w:instrText>RituximabisamonoclonalantibodytargettingtheCD</w:instrText>
      </w:r>
      <w:r w:rsidRPr="00264F60">
        <w:rPr>
          <w:i/>
          <w:color w:val="000000" w:themeColor="text1"/>
        </w:rPr>
        <w:instrText xml:space="preserve">20 </w:instrText>
      </w:r>
      <w:r>
        <w:rPr>
          <w:i/>
          <w:color w:val="000000" w:themeColor="text1"/>
          <w:lang w:val="en-US"/>
        </w:rPr>
        <w:instrText>antigenwiththeabilitytoincreaseoverallremission</w:instrText>
      </w:r>
      <w:r w:rsidRPr="00264F60">
        <w:rPr>
          <w:i/>
          <w:color w:val="000000" w:themeColor="text1"/>
        </w:rPr>
        <w:instrText xml:space="preserve"> (</w:instrText>
      </w:r>
      <w:r>
        <w:rPr>
          <w:i/>
          <w:color w:val="000000" w:themeColor="text1"/>
          <w:lang w:val="en-US"/>
        </w:rPr>
        <w:instrText>OR</w:instrText>
      </w:r>
      <w:r w:rsidRPr="00264F60">
        <w:rPr>
          <w:i/>
          <w:color w:val="000000" w:themeColor="text1"/>
        </w:rPr>
        <w:instrText xml:space="preserve">) </w:instrText>
      </w:r>
      <w:r>
        <w:rPr>
          <w:i/>
          <w:color w:val="000000" w:themeColor="text1"/>
          <w:lang w:val="en-US"/>
        </w:rPr>
        <w:instrText>inB</w:instrText>
      </w:r>
      <w:r w:rsidRPr="00264F60">
        <w:rPr>
          <w:i/>
          <w:color w:val="000000" w:themeColor="text1"/>
        </w:rPr>
        <w:instrText>-</w:instrText>
      </w:r>
      <w:r>
        <w:rPr>
          <w:i/>
          <w:color w:val="000000" w:themeColor="text1"/>
          <w:lang w:val="en-US"/>
        </w:rPr>
        <w:instrText>cellnon</w:instrText>
      </w:r>
      <w:r w:rsidRPr="00264F60">
        <w:rPr>
          <w:i/>
          <w:color w:val="000000" w:themeColor="text1"/>
        </w:rPr>
        <w:instrText>-</w:instrText>
      </w:r>
      <w:r>
        <w:rPr>
          <w:i/>
          <w:color w:val="000000" w:themeColor="text1"/>
          <w:lang w:val="en-US"/>
        </w:rPr>
        <w:instrText>Hodgkin</w:instrText>
      </w:r>
      <w:r w:rsidRPr="00264F60">
        <w:rPr>
          <w:i/>
          <w:color w:val="000000" w:themeColor="text1"/>
        </w:rPr>
        <w:instrText>’</w:instrText>
      </w:r>
      <w:r>
        <w:rPr>
          <w:i/>
          <w:color w:val="000000" w:themeColor="text1"/>
          <w:lang w:val="en-US"/>
        </w:rPr>
        <w:instrText>slymphoma</w:instrText>
      </w:r>
      <w:r w:rsidRPr="00264F60">
        <w:rPr>
          <w:i/>
          <w:color w:val="000000" w:themeColor="text1"/>
        </w:rPr>
        <w:instrText xml:space="preserve"> (</w:instrText>
      </w:r>
      <w:r>
        <w:rPr>
          <w:i/>
          <w:color w:val="000000" w:themeColor="text1"/>
          <w:lang w:val="en-US"/>
        </w:rPr>
        <w:instrText>B</w:instrText>
      </w:r>
      <w:r w:rsidRPr="00264F60">
        <w:rPr>
          <w:i/>
          <w:color w:val="000000" w:themeColor="text1"/>
        </w:rPr>
        <w:instrText>-</w:instrText>
      </w:r>
      <w:r>
        <w:rPr>
          <w:i/>
          <w:color w:val="000000" w:themeColor="text1"/>
          <w:lang w:val="en-US"/>
        </w:rPr>
        <w:instrText>NHL</w:instrText>
      </w:r>
      <w:r w:rsidRPr="00264F60">
        <w:rPr>
          <w:i/>
          <w:color w:val="000000" w:themeColor="text1"/>
        </w:rPr>
        <w:instrText xml:space="preserve">). </w:instrText>
      </w:r>
      <w:r>
        <w:rPr>
          <w:i/>
          <w:color w:val="000000" w:themeColor="text1"/>
          <w:lang w:val="en-US"/>
        </w:rPr>
        <w:instrText>Asystematicreviewandmeta</w:instrText>
      </w:r>
      <w:r w:rsidRPr="00264F60">
        <w:rPr>
          <w:i/>
          <w:color w:val="000000" w:themeColor="text1"/>
        </w:rPr>
        <w:instrText>-</w:instrText>
      </w:r>
      <w:r>
        <w:rPr>
          <w:i/>
          <w:color w:val="000000" w:themeColor="text1"/>
          <w:lang w:val="en-US"/>
        </w:rPr>
        <w:instrText>analysiswereconductedtodeterminetheriskofthemostclinicallyrelevantsevereandfataladverseevents</w:instrText>
      </w:r>
      <w:r w:rsidRPr="00264F60">
        <w:rPr>
          <w:i/>
          <w:color w:val="000000" w:themeColor="text1"/>
        </w:rPr>
        <w:instrText xml:space="preserve"> (</w:instrText>
      </w:r>
      <w:r>
        <w:rPr>
          <w:i/>
          <w:color w:val="000000" w:themeColor="text1"/>
          <w:lang w:val="en-US"/>
        </w:rPr>
        <w:instrText>AEs</w:instrText>
      </w:r>
      <w:r w:rsidRPr="00264F60">
        <w:rPr>
          <w:i/>
          <w:color w:val="000000" w:themeColor="text1"/>
        </w:rPr>
        <w:instrText xml:space="preserve">) </w:instrText>
      </w:r>
      <w:r>
        <w:rPr>
          <w:i/>
          <w:color w:val="000000" w:themeColor="text1"/>
          <w:lang w:val="en-US"/>
        </w:rPr>
        <w:instrText>associatedwiththeuseofrituximabinthetreatmentofB</w:instrText>
      </w:r>
      <w:r w:rsidRPr="00264F60">
        <w:rPr>
          <w:i/>
          <w:color w:val="000000" w:themeColor="text1"/>
        </w:rPr>
        <w:instrText>-</w:instrText>
      </w:r>
      <w:r>
        <w:rPr>
          <w:i/>
          <w:color w:val="000000" w:themeColor="text1"/>
          <w:lang w:val="en-US"/>
        </w:rPr>
        <w:instrText>NHL</w:instrText>
      </w:r>
      <w:r w:rsidRPr="00264F60">
        <w:rPr>
          <w:i/>
          <w:color w:val="000000" w:themeColor="text1"/>
        </w:rPr>
        <w:instrText xml:space="preserve">. </w:instrText>
      </w:r>
      <w:r>
        <w:rPr>
          <w:i/>
          <w:color w:val="000000" w:themeColor="text1"/>
          <w:lang w:val="en-US"/>
        </w:rPr>
        <w:instrText>Patientsandmethods</w:instrText>
      </w:r>
      <w:r w:rsidRPr="00264F60">
        <w:rPr>
          <w:i/>
          <w:color w:val="000000" w:themeColor="text1"/>
        </w:rPr>
        <w:instrText xml:space="preserve">: </w:instrText>
      </w:r>
      <w:r>
        <w:rPr>
          <w:i/>
          <w:color w:val="000000" w:themeColor="text1"/>
          <w:lang w:val="en-US"/>
        </w:rPr>
        <w:instrText>WeincludedphaseIIIclinicaltrialsthatusedchemotherapyincombinationwithrituximaborchemotherapyaloneasforB</w:instrText>
      </w:r>
      <w:r w:rsidRPr="00264F60">
        <w:rPr>
          <w:i/>
          <w:color w:val="000000" w:themeColor="text1"/>
        </w:rPr>
        <w:instrText>-</w:instrText>
      </w:r>
      <w:r>
        <w:rPr>
          <w:i/>
          <w:color w:val="000000" w:themeColor="text1"/>
          <w:lang w:val="en-US"/>
        </w:rPr>
        <w:instrText>NHL</w:instrText>
      </w:r>
      <w:r w:rsidRPr="00264F60">
        <w:rPr>
          <w:i/>
          <w:color w:val="000000" w:themeColor="text1"/>
        </w:rPr>
        <w:instrText xml:space="preserve">. </w:instrText>
      </w:r>
      <w:r>
        <w:rPr>
          <w:i/>
          <w:color w:val="000000" w:themeColor="text1"/>
          <w:lang w:val="en-US"/>
        </w:rPr>
        <w:instrText>Statisticalanalyseswereconductedtocalculatesummaryriskratio</w:instrText>
      </w:r>
      <w:r w:rsidRPr="00264F60">
        <w:rPr>
          <w:i/>
          <w:color w:val="000000" w:themeColor="text1"/>
        </w:rPr>
        <w:instrText xml:space="preserve"> (</w:instrText>
      </w:r>
      <w:r>
        <w:rPr>
          <w:i/>
          <w:color w:val="000000" w:themeColor="text1"/>
          <w:lang w:val="en-US"/>
        </w:rPr>
        <w:instrText>RR</w:instrText>
      </w:r>
      <w:r w:rsidRPr="00264F60">
        <w:rPr>
          <w:i/>
          <w:color w:val="000000" w:themeColor="text1"/>
        </w:rPr>
        <w:instrText xml:space="preserve">) </w:instrText>
      </w:r>
      <w:r>
        <w:rPr>
          <w:i/>
          <w:color w:val="000000" w:themeColor="text1"/>
          <w:lang w:val="en-US"/>
        </w:rPr>
        <w:instrText>oftherelevantsevereandfatalAEsrelatedwithrituximab</w:instrText>
      </w:r>
      <w:r w:rsidRPr="00264F60">
        <w:rPr>
          <w:i/>
          <w:color w:val="000000" w:themeColor="text1"/>
        </w:rPr>
        <w:instrText xml:space="preserve">. </w:instrText>
      </w:r>
      <w:r>
        <w:rPr>
          <w:i/>
          <w:color w:val="000000" w:themeColor="text1"/>
          <w:lang w:val="en-US"/>
        </w:rPr>
        <w:instrText>Results</w:instrText>
      </w:r>
      <w:r w:rsidRPr="00264F60">
        <w:rPr>
          <w:i/>
          <w:color w:val="000000" w:themeColor="text1"/>
        </w:rPr>
        <w:instrText xml:space="preserve">: </w:instrText>
      </w:r>
      <w:r>
        <w:rPr>
          <w:i/>
          <w:color w:val="000000" w:themeColor="text1"/>
          <w:lang w:val="en-US"/>
        </w:rPr>
        <w:instrText>Eightrandomisedcontrolledclinicaltrialswereincludedinthismeta</w:instrText>
      </w:r>
      <w:r w:rsidRPr="00264F60">
        <w:rPr>
          <w:i/>
          <w:color w:val="000000" w:themeColor="text1"/>
        </w:rPr>
        <w:instrText>-</w:instrText>
      </w:r>
      <w:r>
        <w:rPr>
          <w:i/>
          <w:color w:val="000000" w:themeColor="text1"/>
          <w:lang w:val="en-US"/>
        </w:rPr>
        <w:instrText>analysis</w:instrText>
      </w:r>
      <w:r w:rsidRPr="00264F60">
        <w:rPr>
          <w:i/>
          <w:color w:val="000000" w:themeColor="text1"/>
        </w:rPr>
        <w:instrText xml:space="preserve">. </w:instrText>
      </w:r>
      <w:r>
        <w:rPr>
          <w:i/>
          <w:color w:val="000000" w:themeColor="text1"/>
          <w:lang w:val="en-US"/>
        </w:rPr>
        <w:instrText>SummaryRRobtainedshowednostatisticallysignificantrituximab</w:instrText>
      </w:r>
      <w:r w:rsidRPr="00264F60">
        <w:rPr>
          <w:i/>
          <w:color w:val="000000" w:themeColor="text1"/>
        </w:rPr>
        <w:instrText>-</w:instrText>
      </w:r>
      <w:r>
        <w:rPr>
          <w:i/>
          <w:color w:val="000000" w:themeColor="text1"/>
          <w:lang w:val="en-US"/>
        </w:rPr>
        <w:instrText>associatedincreasedriskin</w:instrText>
      </w:r>
      <w:r w:rsidRPr="00264F60">
        <w:rPr>
          <w:i/>
          <w:color w:val="000000" w:themeColor="text1"/>
        </w:rPr>
        <w:instrText xml:space="preserve"> 13 </w:instrText>
      </w:r>
      <w:r>
        <w:rPr>
          <w:i/>
          <w:color w:val="000000" w:themeColor="text1"/>
          <w:lang w:val="en-US"/>
        </w:rPr>
        <w:instrText>severeadverseevents</w:instrText>
      </w:r>
      <w:r w:rsidRPr="00264F60">
        <w:rPr>
          <w:i/>
          <w:color w:val="000000" w:themeColor="text1"/>
        </w:rPr>
        <w:instrText xml:space="preserve"> (</w:instrText>
      </w:r>
      <w:r>
        <w:rPr>
          <w:i/>
          <w:color w:val="000000" w:themeColor="text1"/>
          <w:lang w:val="en-US"/>
        </w:rPr>
        <w:instrText>SAEs</w:instrText>
      </w:r>
      <w:r w:rsidRPr="00264F60">
        <w:rPr>
          <w:i/>
          <w:color w:val="000000" w:themeColor="text1"/>
        </w:rPr>
        <w:instrText>) (</w:instrText>
      </w:r>
      <w:r>
        <w:rPr>
          <w:i/>
          <w:color w:val="000000" w:themeColor="text1"/>
          <w:lang w:val="en-US"/>
        </w:rPr>
        <w:instrText>infection</w:instrText>
      </w:r>
      <w:r w:rsidRPr="00264F60">
        <w:rPr>
          <w:i/>
          <w:color w:val="000000" w:themeColor="text1"/>
        </w:rPr>
        <w:instrText xml:space="preserve">, </w:instrText>
      </w:r>
      <w:r>
        <w:rPr>
          <w:i/>
          <w:color w:val="000000" w:themeColor="text1"/>
          <w:lang w:val="en-US"/>
        </w:rPr>
        <w:instrText>fever</w:instrText>
      </w:r>
      <w:r w:rsidRPr="00264F60">
        <w:rPr>
          <w:i/>
          <w:color w:val="000000" w:themeColor="text1"/>
        </w:rPr>
        <w:instrText xml:space="preserve">, </w:instrText>
      </w:r>
      <w:r>
        <w:rPr>
          <w:i/>
          <w:color w:val="000000" w:themeColor="text1"/>
          <w:lang w:val="en-US"/>
        </w:rPr>
        <w:instrText>anaemia</w:instrText>
      </w:r>
      <w:r w:rsidRPr="00264F60">
        <w:rPr>
          <w:i/>
          <w:color w:val="000000" w:themeColor="text1"/>
        </w:rPr>
        <w:instrText xml:space="preserve">, </w:instrText>
      </w:r>
      <w:r>
        <w:rPr>
          <w:i/>
          <w:color w:val="000000" w:themeColor="text1"/>
          <w:lang w:val="en-US"/>
        </w:rPr>
        <w:instrText>thrombocytopaenia</w:instrText>
      </w:r>
      <w:r w:rsidRPr="00264F60">
        <w:rPr>
          <w:i/>
          <w:color w:val="000000" w:themeColor="text1"/>
        </w:rPr>
        <w:instrText xml:space="preserve">, </w:instrText>
      </w:r>
      <w:r>
        <w:rPr>
          <w:i/>
          <w:color w:val="000000" w:themeColor="text1"/>
          <w:lang w:val="en-US"/>
        </w:rPr>
        <w:instrText>granulocytopenia</w:instrText>
      </w:r>
      <w:r w:rsidRPr="00264F60">
        <w:rPr>
          <w:i/>
          <w:color w:val="000000" w:themeColor="text1"/>
        </w:rPr>
        <w:instrText xml:space="preserve">, </w:instrText>
      </w:r>
      <w:r>
        <w:rPr>
          <w:i/>
          <w:color w:val="000000" w:themeColor="text1"/>
          <w:lang w:val="en-US"/>
        </w:rPr>
        <w:instrText>livertoxicity</w:instrText>
      </w:r>
      <w:r w:rsidRPr="00264F60">
        <w:rPr>
          <w:i/>
          <w:color w:val="000000" w:themeColor="text1"/>
        </w:rPr>
        <w:instrText xml:space="preserve">, </w:instrText>
      </w:r>
      <w:r>
        <w:rPr>
          <w:i/>
          <w:color w:val="000000" w:themeColor="text1"/>
          <w:lang w:val="en-US"/>
        </w:rPr>
        <w:instrText>cardiactoxicity</w:instrText>
      </w:r>
      <w:r w:rsidRPr="00264F60">
        <w:rPr>
          <w:i/>
          <w:color w:val="000000" w:themeColor="text1"/>
        </w:rPr>
        <w:instrText xml:space="preserve">, </w:instrText>
      </w:r>
      <w:r>
        <w:rPr>
          <w:i/>
          <w:color w:val="000000" w:themeColor="text1"/>
          <w:lang w:val="en-US"/>
        </w:rPr>
        <w:instrText>neurologictoxicity</w:instrText>
      </w:r>
      <w:r w:rsidRPr="00264F60">
        <w:rPr>
          <w:i/>
          <w:color w:val="000000" w:themeColor="text1"/>
        </w:rPr>
        <w:instrText xml:space="preserve">, </w:instrText>
      </w:r>
      <w:r>
        <w:rPr>
          <w:i/>
          <w:color w:val="000000" w:themeColor="text1"/>
          <w:lang w:val="en-US"/>
        </w:rPr>
        <w:instrText>lungtoxicity</w:instrText>
      </w:r>
      <w:r w:rsidRPr="00264F60">
        <w:rPr>
          <w:i/>
          <w:color w:val="000000" w:themeColor="text1"/>
        </w:rPr>
        <w:instrText xml:space="preserve">, </w:instrText>
      </w:r>
      <w:r>
        <w:rPr>
          <w:i/>
          <w:color w:val="000000" w:themeColor="text1"/>
          <w:lang w:val="en-US"/>
        </w:rPr>
        <w:instrText>mucositis</w:instrText>
      </w:r>
      <w:r w:rsidRPr="00264F60">
        <w:rPr>
          <w:i/>
          <w:color w:val="000000" w:themeColor="text1"/>
        </w:rPr>
        <w:instrText xml:space="preserve">, </w:instrText>
      </w:r>
      <w:r>
        <w:rPr>
          <w:i/>
          <w:color w:val="000000" w:themeColor="text1"/>
          <w:lang w:val="en-US"/>
        </w:rPr>
        <w:instrText>nausea</w:instrText>
      </w:r>
      <w:r w:rsidRPr="00264F60">
        <w:rPr>
          <w:i/>
          <w:color w:val="000000" w:themeColor="text1"/>
        </w:rPr>
        <w:instrText>/</w:instrText>
      </w:r>
      <w:r>
        <w:rPr>
          <w:i/>
          <w:color w:val="000000" w:themeColor="text1"/>
          <w:lang w:val="en-US"/>
        </w:rPr>
        <w:instrText>vomiting</w:instrText>
      </w:r>
      <w:r w:rsidRPr="00264F60">
        <w:rPr>
          <w:i/>
          <w:color w:val="000000" w:themeColor="text1"/>
        </w:rPr>
        <w:instrText xml:space="preserve">, </w:instrText>
      </w:r>
      <w:r>
        <w:rPr>
          <w:i/>
          <w:color w:val="000000" w:themeColor="text1"/>
          <w:lang w:val="en-US"/>
        </w:rPr>
        <w:instrText>diarrhoea</w:instrText>
      </w:r>
      <w:r w:rsidRPr="00264F60">
        <w:rPr>
          <w:i/>
          <w:color w:val="000000" w:themeColor="text1"/>
        </w:rPr>
        <w:instrText xml:space="preserve">, </w:instrText>
      </w:r>
      <w:r>
        <w:rPr>
          <w:i/>
          <w:color w:val="000000" w:themeColor="text1"/>
          <w:lang w:val="en-US"/>
        </w:rPr>
        <w:instrText>alopecia</w:instrText>
      </w:r>
      <w:r w:rsidRPr="00264F60">
        <w:rPr>
          <w:i/>
          <w:color w:val="000000" w:themeColor="text1"/>
        </w:rPr>
        <w:instrText xml:space="preserve">) </w:instrText>
      </w:r>
      <w:r>
        <w:rPr>
          <w:i/>
          <w:color w:val="000000" w:themeColor="text1"/>
          <w:lang w:val="en-US"/>
        </w:rPr>
        <w:instrText>exceptleukocytopenia</w:instrText>
      </w:r>
      <w:r w:rsidRPr="00264F60">
        <w:rPr>
          <w:i/>
          <w:color w:val="000000" w:themeColor="text1"/>
        </w:rPr>
        <w:instrText xml:space="preserve"> (36.4% </w:instrText>
      </w:r>
      <w:r>
        <w:rPr>
          <w:i/>
          <w:color w:val="000000" w:themeColor="text1"/>
          <w:lang w:val="en-US"/>
        </w:rPr>
        <w:instrText>versus</w:instrText>
      </w:r>
      <w:r w:rsidRPr="00264F60">
        <w:rPr>
          <w:i/>
          <w:color w:val="000000" w:themeColor="text1"/>
        </w:rPr>
        <w:instrText xml:space="preserve"> 31%; </w:instrText>
      </w:r>
      <w:r>
        <w:rPr>
          <w:i/>
          <w:color w:val="000000" w:themeColor="text1"/>
          <w:lang w:val="en-US"/>
        </w:rPr>
        <w:instrText>RR</w:instrText>
      </w:r>
      <w:r w:rsidRPr="00264F60">
        <w:rPr>
          <w:i/>
          <w:color w:val="000000" w:themeColor="text1"/>
        </w:rPr>
        <w:instrText>51.13; 95%</w:instrText>
      </w:r>
      <w:r>
        <w:rPr>
          <w:i/>
          <w:color w:val="000000" w:themeColor="text1"/>
          <w:lang w:val="en-US"/>
        </w:rPr>
        <w:instrText>CI</w:instrText>
      </w:r>
      <w:r w:rsidRPr="00264F60">
        <w:rPr>
          <w:i/>
          <w:color w:val="000000" w:themeColor="text1"/>
        </w:rPr>
        <w:instrText xml:space="preserve">, 1.01–1.27; </w:instrText>
      </w:r>
      <w:r>
        <w:rPr>
          <w:i/>
          <w:color w:val="000000" w:themeColor="text1"/>
          <w:lang w:val="en-US"/>
        </w:rPr>
        <w:instrText>P</w:instrText>
      </w:r>
      <w:r w:rsidRPr="00264F60">
        <w:rPr>
          <w:i/>
          <w:color w:val="000000" w:themeColor="text1"/>
        </w:rPr>
        <w:instrText xml:space="preserve">50.03). </w:instrText>
      </w:r>
      <w:r>
        <w:rPr>
          <w:i/>
          <w:color w:val="000000" w:themeColor="text1"/>
          <w:lang w:val="en-US"/>
        </w:rPr>
        <w:instrText>TheincidencesoffatalAEsshowednoteworthydifferencebetweenrituximabgroupandcontrolgroup</w:instrText>
      </w:r>
      <w:r w:rsidRPr="00264F60">
        <w:rPr>
          <w:i/>
          <w:color w:val="000000" w:themeColor="text1"/>
        </w:rPr>
        <w:instrText xml:space="preserve"> (</w:instrText>
      </w:r>
      <w:r>
        <w:rPr>
          <w:i/>
          <w:color w:val="000000" w:themeColor="text1"/>
          <w:lang w:val="en-US"/>
        </w:rPr>
        <w:instrText>RR</w:instrText>
      </w:r>
      <w:r w:rsidRPr="00264F60">
        <w:rPr>
          <w:i/>
          <w:color w:val="000000" w:themeColor="text1"/>
        </w:rPr>
        <w:instrText xml:space="preserve">51.45; 95% </w:instrText>
      </w:r>
      <w:r>
        <w:rPr>
          <w:i/>
          <w:color w:val="000000" w:themeColor="text1"/>
          <w:lang w:val="en-US"/>
        </w:rPr>
        <w:instrText>CI</w:instrText>
      </w:r>
      <w:r w:rsidRPr="00264F60">
        <w:rPr>
          <w:i/>
          <w:color w:val="000000" w:themeColor="text1"/>
        </w:rPr>
        <w:instrText xml:space="preserve">, 1.04–2.02; </w:instrText>
      </w:r>
      <w:r>
        <w:rPr>
          <w:i/>
          <w:color w:val="000000" w:themeColor="text1"/>
          <w:lang w:val="en-US"/>
        </w:rPr>
        <w:instrText>P</w:instrText>
      </w:r>
      <w:r w:rsidRPr="00264F60">
        <w:rPr>
          <w:i/>
          <w:color w:val="000000" w:themeColor="text1"/>
        </w:rPr>
        <w:instrText xml:space="preserve">50.03). </w:instrText>
      </w:r>
      <w:r>
        <w:rPr>
          <w:i/>
          <w:color w:val="000000" w:themeColor="text1"/>
          <w:lang w:val="en-US"/>
        </w:rPr>
        <w:instrText>Conclusion</w:instrText>
      </w:r>
      <w:r w:rsidRPr="00264F60">
        <w:rPr>
          <w:i/>
          <w:color w:val="000000" w:themeColor="text1"/>
        </w:rPr>
        <w:instrText xml:space="preserve">: </w:instrText>
      </w:r>
      <w:r>
        <w:rPr>
          <w:i/>
          <w:color w:val="000000" w:themeColor="text1"/>
          <w:lang w:val="en-US"/>
        </w:rPr>
        <w:instrText>Thismeta</w:instrText>
      </w:r>
      <w:r w:rsidRPr="00264F60">
        <w:rPr>
          <w:i/>
          <w:color w:val="000000" w:themeColor="text1"/>
        </w:rPr>
        <w:instrText>-</w:instrText>
      </w:r>
      <w:r>
        <w:rPr>
          <w:i/>
          <w:color w:val="000000" w:themeColor="text1"/>
          <w:lang w:val="en-US"/>
        </w:rPr>
        <w:instrText>analysisindicatesthattherewasnoproofofstatisticallyhigherincidenceofmostSAEsinrituximabcontaininggroupcomparedwithchemotherapyalone</w:instrText>
      </w:r>
      <w:r w:rsidRPr="00264F60">
        <w:rPr>
          <w:i/>
          <w:color w:val="000000" w:themeColor="text1"/>
        </w:rPr>
        <w:instrText xml:space="preserve">. </w:instrText>
      </w:r>
      <w:r>
        <w:rPr>
          <w:i/>
          <w:color w:val="000000" w:themeColor="text1"/>
          <w:lang w:val="en-US"/>
        </w:rPr>
        <w:instrText>However</w:instrText>
      </w:r>
      <w:r w:rsidRPr="00264F60">
        <w:rPr>
          <w:i/>
          <w:color w:val="000000" w:themeColor="text1"/>
        </w:rPr>
        <w:instrText xml:space="preserve">, </w:instrText>
      </w:r>
      <w:r>
        <w:rPr>
          <w:i/>
          <w:color w:val="000000" w:themeColor="text1"/>
          <w:lang w:val="en-US"/>
        </w:rPr>
        <w:instrText>fatalinfectionsweremorefrequentlyobservedinpatientswhoreceivedrituximab</w:instrText>
      </w:r>
      <w:r w:rsidRPr="00264F60">
        <w:rPr>
          <w:i/>
          <w:color w:val="000000" w:themeColor="text1"/>
        </w:rPr>
        <w:instrText xml:space="preserve">. </w:instrText>
      </w:r>
      <w:r>
        <w:rPr>
          <w:i/>
          <w:color w:val="000000" w:themeColor="text1"/>
          <w:lang w:val="en-US"/>
        </w:rPr>
        <w:instrText>Consideringthelow</w:instrText>
      </w:r>
      <w:r w:rsidRPr="00264F60">
        <w:rPr>
          <w:i/>
          <w:color w:val="000000" w:themeColor="text1"/>
        </w:rPr>
        <w:instrText>-</w:instrText>
      </w:r>
      <w:r>
        <w:rPr>
          <w:i/>
          <w:color w:val="000000" w:themeColor="text1"/>
          <w:lang w:val="en-US"/>
        </w:rPr>
        <w:instrText>incidenceinfectioninduceddeathduringthetreatmentperiod</w:instrText>
      </w:r>
      <w:r w:rsidRPr="00264F60">
        <w:rPr>
          <w:i/>
          <w:color w:val="000000" w:themeColor="text1"/>
        </w:rPr>
        <w:instrText xml:space="preserve">, </w:instrText>
      </w:r>
      <w:r>
        <w:rPr>
          <w:i/>
          <w:color w:val="000000" w:themeColor="text1"/>
          <w:lang w:val="en-US"/>
        </w:rPr>
        <w:instrText>theeffectsofrituximaboninfectionsneedfurtherinvestigation</w:instrText>
      </w:r>
      <w:r w:rsidRPr="00264F60">
        <w:rPr>
          <w:i/>
          <w:color w:val="000000" w:themeColor="text1"/>
        </w:rPr>
        <w:instrText>.","</w:instrText>
      </w:r>
      <w:r>
        <w:rPr>
          <w:i/>
          <w:color w:val="000000" w:themeColor="text1"/>
          <w:lang w:val="en-US"/>
        </w:rPr>
        <w:instrText>author</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family</w:instrText>
      </w:r>
      <w:r w:rsidRPr="00264F60">
        <w:rPr>
          <w:i/>
          <w:color w:val="000000" w:themeColor="text1"/>
        </w:rPr>
        <w:instrText>":"</w:instrText>
      </w:r>
      <w:r>
        <w:rPr>
          <w:i/>
          <w:color w:val="000000" w:themeColor="text1"/>
          <w:lang w:val="en-US"/>
        </w:rPr>
        <w:instrText>Hua</w:instrText>
      </w:r>
      <w:r w:rsidRPr="00264F60">
        <w:rPr>
          <w:i/>
          <w:color w:val="000000" w:themeColor="text1"/>
        </w:rPr>
        <w:instrText>","</w:instrText>
      </w:r>
      <w:r>
        <w:rPr>
          <w:i/>
          <w:color w:val="000000" w:themeColor="text1"/>
          <w:lang w:val="en-US"/>
        </w:rPr>
        <w:instrText>given</w:instrText>
      </w:r>
      <w:r w:rsidRPr="00264F60">
        <w:rPr>
          <w:i/>
          <w:color w:val="000000" w:themeColor="text1"/>
        </w:rPr>
        <w:instrText>":"</w:instrText>
      </w:r>
      <w:r>
        <w:rPr>
          <w:i/>
          <w:color w:val="000000" w:themeColor="text1"/>
          <w:lang w:val="en-US"/>
        </w:rPr>
        <w:instrText>Qingling</w:instrText>
      </w:r>
      <w:r w:rsidRPr="00264F60">
        <w:rPr>
          <w:i/>
          <w:color w:val="000000" w:themeColor="text1"/>
        </w:rPr>
        <w:instrText>","</w:instrText>
      </w:r>
      <w:r>
        <w:rPr>
          <w:i/>
          <w:color w:val="000000" w:themeColor="text1"/>
          <w:lang w:val="en-US"/>
        </w:rPr>
        <w:instrText>non</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parse</w:instrText>
      </w:r>
      <w:r w:rsidRPr="00264F60">
        <w:rPr>
          <w:i/>
          <w:color w:val="000000" w:themeColor="text1"/>
        </w:rPr>
        <w:instrText>-</w:instrText>
      </w:r>
      <w:r>
        <w:rPr>
          <w:i/>
          <w:color w:val="000000" w:themeColor="text1"/>
          <w:lang w:val="en-US"/>
        </w:rPr>
        <w:instrText>names</w:instrText>
      </w:r>
      <w:r w:rsidRPr="00264F60">
        <w:rPr>
          <w:i/>
          <w:color w:val="000000" w:themeColor="text1"/>
        </w:rPr>
        <w:instrText>":</w:instrText>
      </w:r>
      <w:r>
        <w:rPr>
          <w:i/>
          <w:color w:val="000000" w:themeColor="text1"/>
          <w:lang w:val="en-US"/>
        </w:rPr>
        <w:instrText>false</w:instrText>
      </w:r>
      <w:r w:rsidRPr="00264F60">
        <w:rPr>
          <w:i/>
          <w:color w:val="000000" w:themeColor="text1"/>
        </w:rPr>
        <w:instrText>,"</w:instrText>
      </w:r>
      <w:r>
        <w:rPr>
          <w:i/>
          <w:color w:val="000000" w:themeColor="text1"/>
          <w:lang w:val="en-US"/>
        </w:rPr>
        <w:instrText>suffix</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family</w:instrText>
      </w:r>
      <w:r w:rsidRPr="00264F60">
        <w:rPr>
          <w:i/>
          <w:color w:val="000000" w:themeColor="text1"/>
        </w:rPr>
        <w:instrText>":"</w:instrText>
      </w:r>
      <w:r>
        <w:rPr>
          <w:i/>
          <w:color w:val="000000" w:themeColor="text1"/>
          <w:lang w:val="en-US"/>
        </w:rPr>
        <w:instrText>Zhu</w:instrText>
      </w:r>
      <w:r w:rsidRPr="00264F60">
        <w:rPr>
          <w:i/>
          <w:color w:val="000000" w:themeColor="text1"/>
        </w:rPr>
        <w:instrText>","</w:instrText>
      </w:r>
      <w:r>
        <w:rPr>
          <w:i/>
          <w:color w:val="000000" w:themeColor="text1"/>
          <w:lang w:val="en-US"/>
        </w:rPr>
        <w:instrText>given</w:instrText>
      </w:r>
      <w:r w:rsidRPr="00264F60">
        <w:rPr>
          <w:i/>
          <w:color w:val="000000" w:themeColor="text1"/>
        </w:rPr>
        <w:instrText>":"</w:instrText>
      </w:r>
      <w:r>
        <w:rPr>
          <w:i/>
          <w:color w:val="000000" w:themeColor="text1"/>
          <w:lang w:val="en-US"/>
        </w:rPr>
        <w:instrText>Yanzhe</w:instrText>
      </w:r>
      <w:r w:rsidRPr="00264F60">
        <w:rPr>
          <w:i/>
          <w:color w:val="000000" w:themeColor="text1"/>
        </w:rPr>
        <w:instrText>","</w:instrText>
      </w:r>
      <w:r>
        <w:rPr>
          <w:i/>
          <w:color w:val="000000" w:themeColor="text1"/>
          <w:lang w:val="en-US"/>
        </w:rPr>
        <w:instrText>non</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parse</w:instrText>
      </w:r>
      <w:r w:rsidRPr="00264F60">
        <w:rPr>
          <w:i/>
          <w:color w:val="000000" w:themeColor="text1"/>
        </w:rPr>
        <w:instrText>-</w:instrText>
      </w:r>
      <w:r>
        <w:rPr>
          <w:i/>
          <w:color w:val="000000" w:themeColor="text1"/>
          <w:lang w:val="en-US"/>
        </w:rPr>
        <w:instrText>names</w:instrText>
      </w:r>
      <w:r w:rsidRPr="00264F60">
        <w:rPr>
          <w:i/>
          <w:color w:val="000000" w:themeColor="text1"/>
        </w:rPr>
        <w:instrText>":</w:instrText>
      </w:r>
      <w:r>
        <w:rPr>
          <w:i/>
          <w:color w:val="000000" w:themeColor="text1"/>
          <w:lang w:val="en-US"/>
        </w:rPr>
        <w:instrText>false</w:instrText>
      </w:r>
      <w:r w:rsidRPr="00264F60">
        <w:rPr>
          <w:i/>
          <w:color w:val="000000" w:themeColor="text1"/>
        </w:rPr>
        <w:instrText>,"</w:instrText>
      </w:r>
      <w:r>
        <w:rPr>
          <w:i/>
          <w:color w:val="000000" w:themeColor="text1"/>
          <w:lang w:val="en-US"/>
        </w:rPr>
        <w:instrText>suffix</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family</w:instrText>
      </w:r>
      <w:r w:rsidRPr="00264F60">
        <w:rPr>
          <w:i/>
          <w:color w:val="000000" w:themeColor="text1"/>
        </w:rPr>
        <w:instrText>":"</w:instrText>
      </w:r>
      <w:r>
        <w:rPr>
          <w:i/>
          <w:color w:val="000000" w:themeColor="text1"/>
          <w:lang w:val="en-US"/>
        </w:rPr>
        <w:instrText>Liu</w:instrText>
      </w:r>
      <w:r w:rsidRPr="00264F60">
        <w:rPr>
          <w:i/>
          <w:color w:val="000000" w:themeColor="text1"/>
        </w:rPr>
        <w:instrText>","</w:instrText>
      </w:r>
      <w:r>
        <w:rPr>
          <w:i/>
          <w:color w:val="000000" w:themeColor="text1"/>
          <w:lang w:val="en-US"/>
        </w:rPr>
        <w:instrText>given</w:instrText>
      </w:r>
      <w:r w:rsidRPr="00264F60">
        <w:rPr>
          <w:i/>
          <w:color w:val="000000" w:themeColor="text1"/>
        </w:rPr>
        <w:instrText>":"</w:instrText>
      </w:r>
      <w:r>
        <w:rPr>
          <w:i/>
          <w:color w:val="000000" w:themeColor="text1"/>
          <w:lang w:val="en-US"/>
        </w:rPr>
        <w:instrText>Hu</w:instrText>
      </w:r>
      <w:r w:rsidRPr="00264F60">
        <w:rPr>
          <w:i/>
          <w:color w:val="000000" w:themeColor="text1"/>
        </w:rPr>
        <w:instrText>","</w:instrText>
      </w:r>
      <w:r>
        <w:rPr>
          <w:i/>
          <w:color w:val="000000" w:themeColor="text1"/>
          <w:lang w:val="en-US"/>
        </w:rPr>
        <w:instrText>non</w:instrText>
      </w:r>
      <w:r w:rsidRPr="00264F60">
        <w:rPr>
          <w:i/>
          <w:color w:val="000000" w:themeColor="text1"/>
        </w:rPr>
        <w:instrText>-</w:instrText>
      </w:r>
      <w:r>
        <w:rPr>
          <w:i/>
          <w:color w:val="000000" w:themeColor="text1"/>
          <w:lang w:val="en-US"/>
        </w:rPr>
        <w:instrText>dropping</w:instrText>
      </w:r>
      <w:r w:rsidRPr="00264F60">
        <w:rPr>
          <w:i/>
          <w:color w:val="000000" w:themeColor="text1"/>
        </w:rPr>
        <w:instrText>-</w:instrText>
      </w:r>
      <w:r>
        <w:rPr>
          <w:i/>
          <w:color w:val="000000" w:themeColor="text1"/>
          <w:lang w:val="en-US"/>
        </w:rPr>
        <w:instrText>particle</w:instrText>
      </w:r>
      <w:r w:rsidRPr="00264F60">
        <w:rPr>
          <w:i/>
          <w:color w:val="000000" w:themeColor="text1"/>
        </w:rPr>
        <w:instrText>":"","</w:instrText>
      </w:r>
      <w:r>
        <w:rPr>
          <w:i/>
          <w:color w:val="000000" w:themeColor="text1"/>
          <w:lang w:val="en-US"/>
        </w:rPr>
        <w:instrText>parse</w:instrText>
      </w:r>
      <w:r w:rsidRPr="00264F60">
        <w:rPr>
          <w:i/>
          <w:color w:val="000000" w:themeColor="text1"/>
        </w:rPr>
        <w:instrText>-</w:instrText>
      </w:r>
      <w:r>
        <w:rPr>
          <w:i/>
          <w:color w:val="000000" w:themeColor="text1"/>
          <w:lang w:val="en-US"/>
        </w:rPr>
        <w:instrText>names</w:instrText>
      </w:r>
      <w:r w:rsidRPr="00264F60">
        <w:rPr>
          <w:i/>
          <w:color w:val="000000" w:themeColor="text1"/>
        </w:rPr>
        <w:instrText>":</w:instrText>
      </w:r>
      <w:r>
        <w:rPr>
          <w:i/>
          <w:color w:val="000000" w:themeColor="text1"/>
          <w:lang w:val="en-US"/>
        </w:rPr>
        <w:instrText>false</w:instrText>
      </w:r>
      <w:r w:rsidRPr="00264F60">
        <w:rPr>
          <w:i/>
          <w:color w:val="000000" w:themeColor="text1"/>
        </w:rPr>
        <w:instrText>,"</w:instrText>
      </w:r>
      <w:r>
        <w:rPr>
          <w:i/>
          <w:color w:val="000000" w:themeColor="text1"/>
          <w:lang w:val="en-US"/>
        </w:rPr>
        <w:instrText>suffix</w:instrText>
      </w:r>
      <w:r w:rsidRPr="00264F60">
        <w:rPr>
          <w:i/>
          <w:color w:val="000000" w:themeColor="text1"/>
        </w:rPr>
        <w:instrText>":""}],"</w:instrText>
      </w:r>
      <w:r>
        <w:rPr>
          <w:i/>
          <w:color w:val="000000" w:themeColor="text1"/>
          <w:lang w:val="en-US"/>
        </w:rPr>
        <w:instrText>container</w:instrText>
      </w:r>
      <w:r w:rsidRPr="00264F60">
        <w:rPr>
          <w:i/>
          <w:color w:val="000000" w:themeColor="text1"/>
        </w:rPr>
        <w:instrText>-</w:instrText>
      </w:r>
      <w:r>
        <w:rPr>
          <w:i/>
          <w:color w:val="000000" w:themeColor="text1"/>
          <w:lang w:val="en-US"/>
        </w:rPr>
        <w:instrText>title</w:instrText>
      </w:r>
      <w:r w:rsidRPr="00264F60">
        <w:rPr>
          <w:i/>
          <w:color w:val="000000" w:themeColor="text1"/>
        </w:rPr>
        <w:instrText>":"</w:instrText>
      </w:r>
      <w:r>
        <w:rPr>
          <w:i/>
          <w:color w:val="000000" w:themeColor="text1"/>
          <w:lang w:val="en-US"/>
        </w:rPr>
        <w:instrText>JournalofChemotherapy</w:instrText>
      </w:r>
      <w:r w:rsidRPr="00264F60">
        <w:rPr>
          <w:i/>
          <w:color w:val="000000" w:themeColor="text1"/>
        </w:rPr>
        <w:instrText>","</w:instrText>
      </w:r>
      <w:r>
        <w:rPr>
          <w:i/>
          <w:color w:val="000000" w:themeColor="text1"/>
          <w:lang w:val="en-US"/>
        </w:rPr>
        <w:instrText>id</w:instrText>
      </w:r>
      <w:r w:rsidRPr="00264F60">
        <w:rPr>
          <w:i/>
          <w:color w:val="000000" w:themeColor="text1"/>
        </w:rPr>
        <w:instrText>":"</w:instrText>
      </w:r>
      <w:r>
        <w:rPr>
          <w:i/>
          <w:color w:val="000000" w:themeColor="text1"/>
          <w:lang w:val="en-US"/>
        </w:rPr>
        <w:instrText>ITEM</w:instrText>
      </w:r>
      <w:r w:rsidRPr="00264F60">
        <w:rPr>
          <w:i/>
          <w:color w:val="000000" w:themeColor="text1"/>
        </w:rPr>
        <w:instrText>-2","</w:instrText>
      </w:r>
      <w:r>
        <w:rPr>
          <w:i/>
          <w:color w:val="000000" w:themeColor="text1"/>
          <w:lang w:val="en-US"/>
        </w:rPr>
        <w:instrText>issued</w:instrText>
      </w:r>
      <w:r w:rsidRPr="00264F60">
        <w:rPr>
          <w:i/>
          <w:color w:val="000000" w:themeColor="text1"/>
        </w:rPr>
        <w:instrText>":{"</w:instrText>
      </w:r>
      <w:r>
        <w:rPr>
          <w:i/>
          <w:color w:val="000000" w:themeColor="text1"/>
          <w:lang w:val="en-US"/>
        </w:rPr>
        <w:instrText>date</w:instrText>
      </w:r>
      <w:r w:rsidRPr="00264F60">
        <w:rPr>
          <w:i/>
          <w:color w:val="000000" w:themeColor="text1"/>
        </w:rPr>
        <w:instrText>-</w:instrText>
      </w:r>
      <w:r>
        <w:rPr>
          <w:i/>
          <w:color w:val="000000" w:themeColor="text1"/>
          <w:lang w:val="en-US"/>
        </w:rPr>
        <w:instrText>parts</w:instrText>
      </w:r>
      <w:r w:rsidRPr="00264F60">
        <w:rPr>
          <w:i/>
          <w:color w:val="000000" w:themeColor="text1"/>
        </w:rPr>
        <w:instrText>":[["2015"]]},"</w:instrText>
      </w:r>
      <w:r>
        <w:rPr>
          <w:i/>
          <w:color w:val="000000" w:themeColor="text1"/>
          <w:lang w:val="en-US"/>
        </w:rPr>
        <w:instrText>title</w:instrText>
      </w:r>
      <w:r w:rsidRPr="00264F60">
        <w:rPr>
          <w:i/>
          <w:color w:val="000000" w:themeColor="text1"/>
        </w:rPr>
        <w:instrText>":"</w:instrText>
      </w:r>
      <w:r>
        <w:rPr>
          <w:i/>
          <w:color w:val="000000" w:themeColor="text1"/>
          <w:lang w:val="en-US"/>
        </w:rPr>
        <w:instrText>Severeandfataladverseeventsriskassociatedwithrituximabadditiontob</w:instrText>
      </w:r>
      <w:r w:rsidRPr="00264F60">
        <w:rPr>
          <w:i/>
          <w:color w:val="000000" w:themeColor="text1"/>
        </w:rPr>
        <w:instrText>-</w:instrText>
      </w:r>
      <w:r>
        <w:rPr>
          <w:i/>
          <w:color w:val="000000" w:themeColor="text1"/>
          <w:lang w:val="en-US"/>
        </w:rPr>
        <w:instrText>cellnon</w:instrText>
      </w:r>
      <w:r w:rsidRPr="00264F60">
        <w:rPr>
          <w:i/>
          <w:color w:val="000000" w:themeColor="text1"/>
        </w:rPr>
        <w:instrText>-</w:instrText>
      </w:r>
      <w:r>
        <w:rPr>
          <w:i/>
          <w:color w:val="000000" w:themeColor="text1"/>
          <w:lang w:val="en-US"/>
        </w:rPr>
        <w:instrText>hodgkin</w:instrText>
      </w:r>
      <w:r w:rsidRPr="00264F60">
        <w:rPr>
          <w:i/>
          <w:color w:val="000000" w:themeColor="text1"/>
        </w:rPr>
        <w:instrText>’</w:instrText>
      </w:r>
      <w:r>
        <w:rPr>
          <w:i/>
          <w:color w:val="000000" w:themeColor="text1"/>
          <w:lang w:val="en-US"/>
        </w:rPr>
        <w:instrText>slymphoma</w:instrText>
      </w:r>
      <w:r w:rsidRPr="00264F60">
        <w:rPr>
          <w:i/>
          <w:color w:val="000000" w:themeColor="text1"/>
        </w:rPr>
        <w:instrText xml:space="preserve"> (</w:instrText>
      </w:r>
      <w:r>
        <w:rPr>
          <w:i/>
          <w:color w:val="000000" w:themeColor="text1"/>
          <w:lang w:val="en-US"/>
        </w:rPr>
        <w:instrText>B</w:instrText>
      </w:r>
      <w:r w:rsidRPr="00264F60">
        <w:rPr>
          <w:i/>
          <w:color w:val="000000" w:themeColor="text1"/>
        </w:rPr>
        <w:instrText>-</w:instrText>
      </w:r>
      <w:r>
        <w:rPr>
          <w:i/>
          <w:color w:val="000000" w:themeColor="text1"/>
          <w:lang w:val="en-US"/>
        </w:rPr>
        <w:instrText>NHL</w:instrText>
      </w:r>
      <w:r w:rsidRPr="00264F60">
        <w:rPr>
          <w:i/>
          <w:color w:val="000000" w:themeColor="text1"/>
        </w:rPr>
        <w:instrText xml:space="preserve">) </w:instrText>
      </w:r>
      <w:r>
        <w:rPr>
          <w:i/>
          <w:color w:val="000000" w:themeColor="text1"/>
          <w:lang w:val="en-US"/>
        </w:rPr>
        <w:instrText>chemotherapy</w:instrText>
      </w:r>
      <w:r w:rsidRPr="00264F60">
        <w:rPr>
          <w:i/>
          <w:color w:val="000000" w:themeColor="text1"/>
        </w:rPr>
        <w:instrText xml:space="preserve">: </w:instrText>
      </w:r>
      <w:r>
        <w:rPr>
          <w:i/>
          <w:color w:val="000000" w:themeColor="text1"/>
          <w:lang w:val="en-US"/>
        </w:rPr>
        <w:instrText>Ameta</w:instrText>
      </w:r>
      <w:r w:rsidRPr="00264F60">
        <w:rPr>
          <w:i/>
          <w:color w:val="000000" w:themeColor="text1"/>
        </w:rPr>
        <w:instrText>-</w:instrText>
      </w:r>
      <w:r>
        <w:rPr>
          <w:i/>
          <w:color w:val="000000" w:themeColor="text1"/>
          <w:lang w:val="en-US"/>
        </w:rPr>
        <w:instrText>analysis</w:instrText>
      </w:r>
      <w:r w:rsidRPr="00264F60">
        <w:rPr>
          <w:i/>
          <w:color w:val="000000" w:themeColor="text1"/>
        </w:rPr>
        <w:instrText>","</w:instrText>
      </w:r>
      <w:r>
        <w:rPr>
          <w:i/>
          <w:color w:val="000000" w:themeColor="text1"/>
          <w:lang w:val="en-US"/>
        </w:rPr>
        <w:instrText>type</w:instrText>
      </w:r>
      <w:r w:rsidRPr="00264F60">
        <w:rPr>
          <w:i/>
          <w:color w:val="000000" w:themeColor="text1"/>
        </w:rPr>
        <w:instrText>":"</w:instrText>
      </w:r>
      <w:r>
        <w:rPr>
          <w:i/>
          <w:color w:val="000000" w:themeColor="text1"/>
          <w:lang w:val="en-US"/>
        </w:rPr>
        <w:instrText>article</w:instrText>
      </w:r>
      <w:r w:rsidRPr="00264F60">
        <w:rPr>
          <w:i/>
          <w:color w:val="000000" w:themeColor="text1"/>
        </w:rPr>
        <w:instrText>-</w:instrText>
      </w:r>
      <w:r>
        <w:rPr>
          <w:i/>
          <w:color w:val="000000" w:themeColor="text1"/>
          <w:lang w:val="en-US"/>
        </w:rPr>
        <w:instrText>journal</w:instrText>
      </w:r>
      <w:r w:rsidRPr="00264F60">
        <w:rPr>
          <w:i/>
          <w:color w:val="000000" w:themeColor="text1"/>
        </w:rPr>
        <w:instrText>"},"</w:instrText>
      </w:r>
      <w:r>
        <w:rPr>
          <w:i/>
          <w:color w:val="000000" w:themeColor="text1"/>
          <w:lang w:val="en-US"/>
        </w:rPr>
        <w:instrText>uris</w:instrText>
      </w:r>
      <w:r w:rsidRPr="00264F60">
        <w:rPr>
          <w:i/>
          <w:color w:val="000000" w:themeColor="text1"/>
        </w:rPr>
        <w:instrText>":["</w:instrText>
      </w:r>
      <w:r>
        <w:rPr>
          <w:i/>
          <w:color w:val="000000" w:themeColor="text1"/>
          <w:lang w:val="en-US"/>
        </w:rPr>
        <w:instrText>http</w:instrText>
      </w:r>
      <w:r w:rsidRPr="00264F60">
        <w:rPr>
          <w:i/>
          <w:color w:val="000000" w:themeColor="text1"/>
        </w:rPr>
        <w:instrText>://</w:instrText>
      </w:r>
      <w:r>
        <w:rPr>
          <w:i/>
          <w:color w:val="000000" w:themeColor="text1"/>
          <w:lang w:val="en-US"/>
        </w:rPr>
        <w:instrText>www</w:instrText>
      </w:r>
      <w:r w:rsidRPr="00264F60">
        <w:rPr>
          <w:i/>
          <w:color w:val="000000" w:themeColor="text1"/>
        </w:rPr>
        <w:instrText>.</w:instrText>
      </w:r>
      <w:r>
        <w:rPr>
          <w:i/>
          <w:color w:val="000000" w:themeColor="text1"/>
          <w:lang w:val="en-US"/>
        </w:rPr>
        <w:instrText>mendeley</w:instrText>
      </w:r>
      <w:r w:rsidRPr="00264F60">
        <w:rPr>
          <w:i/>
          <w:color w:val="000000" w:themeColor="text1"/>
        </w:rPr>
        <w:instrText>.</w:instrText>
      </w:r>
      <w:r>
        <w:rPr>
          <w:i/>
          <w:color w:val="000000" w:themeColor="text1"/>
          <w:lang w:val="en-US"/>
        </w:rPr>
        <w:instrText>com</w:instrText>
      </w:r>
      <w:r w:rsidRPr="00264F60">
        <w:rPr>
          <w:i/>
          <w:color w:val="000000" w:themeColor="text1"/>
        </w:rPr>
        <w:instrText>/</w:instrText>
      </w:r>
      <w:r>
        <w:rPr>
          <w:i/>
          <w:color w:val="000000" w:themeColor="text1"/>
          <w:lang w:val="en-US"/>
        </w:rPr>
        <w:instrText>documents</w:instrText>
      </w:r>
      <w:r w:rsidRPr="00264F60">
        <w:rPr>
          <w:i/>
          <w:color w:val="000000" w:themeColor="text1"/>
        </w:rPr>
        <w:instrText>/?</w:instrText>
      </w:r>
      <w:r>
        <w:rPr>
          <w:i/>
          <w:color w:val="000000" w:themeColor="text1"/>
          <w:lang w:val="en-US"/>
        </w:rPr>
        <w:instrText>uuid</w:instrText>
      </w:r>
      <w:r w:rsidRPr="00264F60">
        <w:rPr>
          <w:i/>
          <w:color w:val="000000" w:themeColor="text1"/>
        </w:rPr>
        <w:instrText>=</w:instrText>
      </w:r>
      <w:r>
        <w:rPr>
          <w:i/>
          <w:color w:val="000000" w:themeColor="text1"/>
          <w:lang w:val="en-US"/>
        </w:rPr>
        <w:instrText>a</w:instrText>
      </w:r>
      <w:r w:rsidRPr="00264F60">
        <w:rPr>
          <w:i/>
          <w:color w:val="000000" w:themeColor="text1"/>
        </w:rPr>
        <w:instrText>993</w:instrText>
      </w:r>
      <w:r>
        <w:rPr>
          <w:i/>
          <w:color w:val="000000" w:themeColor="text1"/>
          <w:lang w:val="en-US"/>
        </w:rPr>
        <w:instrText>da</w:instrText>
      </w:r>
      <w:r w:rsidRPr="00264F60">
        <w:rPr>
          <w:i/>
          <w:color w:val="000000" w:themeColor="text1"/>
        </w:rPr>
        <w:instrText>07-</w:instrText>
      </w:r>
      <w:r>
        <w:rPr>
          <w:i/>
          <w:color w:val="000000" w:themeColor="text1"/>
          <w:lang w:val="en-US"/>
        </w:rPr>
        <w:instrText>fb</w:instrText>
      </w:r>
      <w:r w:rsidRPr="00264F60">
        <w:rPr>
          <w:i/>
          <w:color w:val="000000" w:themeColor="text1"/>
        </w:rPr>
        <w:instrText>07-41</w:instrText>
      </w:r>
      <w:r>
        <w:rPr>
          <w:i/>
          <w:color w:val="000000" w:themeColor="text1"/>
          <w:lang w:val="en-US"/>
        </w:rPr>
        <w:instrText>c</w:instrText>
      </w:r>
      <w:r w:rsidRPr="00264F60">
        <w:rPr>
          <w:i/>
          <w:color w:val="000000" w:themeColor="text1"/>
        </w:rPr>
        <w:instrText>0-8</w:instrText>
      </w:r>
      <w:r>
        <w:rPr>
          <w:i/>
          <w:color w:val="000000" w:themeColor="text1"/>
          <w:lang w:val="en-US"/>
        </w:rPr>
        <w:instrText>d</w:instrText>
      </w:r>
      <w:r w:rsidRPr="00264F60">
        <w:rPr>
          <w:i/>
          <w:color w:val="000000" w:themeColor="text1"/>
        </w:rPr>
        <w:instrText>06-4</w:instrText>
      </w:r>
      <w:r>
        <w:rPr>
          <w:i/>
          <w:color w:val="000000" w:themeColor="text1"/>
          <w:lang w:val="en-US"/>
        </w:rPr>
        <w:instrText>d</w:instrText>
      </w:r>
      <w:r w:rsidRPr="00264F60">
        <w:rPr>
          <w:i/>
          <w:color w:val="000000" w:themeColor="text1"/>
        </w:rPr>
        <w:instrText>598</w:instrText>
      </w:r>
      <w:r>
        <w:rPr>
          <w:i/>
          <w:color w:val="000000" w:themeColor="text1"/>
          <w:lang w:val="en-US"/>
        </w:rPr>
        <w:instrText>ab</w:instrText>
      </w:r>
      <w:r w:rsidRPr="00264F60">
        <w:rPr>
          <w:i/>
          <w:color w:val="000000" w:themeColor="text1"/>
        </w:rPr>
        <w:instrText>3</w:instrText>
      </w:r>
      <w:r>
        <w:rPr>
          <w:i/>
          <w:color w:val="000000" w:themeColor="text1"/>
          <w:lang w:val="en-US"/>
        </w:rPr>
        <w:instrText>f</w:instrText>
      </w:r>
      <w:r w:rsidRPr="00264F60">
        <w:rPr>
          <w:i/>
          <w:color w:val="000000" w:themeColor="text1"/>
        </w:rPr>
        <w:instrText>684"]}],"</w:instrText>
      </w:r>
      <w:r>
        <w:rPr>
          <w:i/>
          <w:color w:val="000000" w:themeColor="text1"/>
          <w:lang w:val="en-US"/>
        </w:rPr>
        <w:instrText>mendeley</w:instrText>
      </w:r>
      <w:r w:rsidRPr="00264F60">
        <w:rPr>
          <w:i/>
          <w:color w:val="000000" w:themeColor="text1"/>
        </w:rPr>
        <w:instrText>":{"</w:instrText>
      </w:r>
      <w:r>
        <w:rPr>
          <w:i/>
          <w:color w:val="000000" w:themeColor="text1"/>
          <w:lang w:val="en-US"/>
        </w:rPr>
        <w:instrText>formattedCitation</w:instrText>
      </w:r>
      <w:r w:rsidRPr="00264F60">
        <w:rPr>
          <w:i/>
          <w:color w:val="000000" w:themeColor="text1"/>
        </w:rPr>
        <w:instrText>":"[74,75]","</w:instrText>
      </w:r>
      <w:r>
        <w:rPr>
          <w:i/>
          <w:color w:val="000000" w:themeColor="text1"/>
          <w:lang w:val="en-US"/>
        </w:rPr>
        <w:instrText>plainTextFormattedCitation</w:instrText>
      </w:r>
      <w:r w:rsidRPr="00264F60">
        <w:rPr>
          <w:i/>
          <w:color w:val="000000" w:themeColor="text1"/>
        </w:rPr>
        <w:instrText>":"[74,75]","</w:instrText>
      </w:r>
      <w:r>
        <w:rPr>
          <w:i/>
          <w:color w:val="000000" w:themeColor="text1"/>
          <w:lang w:val="en-US"/>
        </w:rPr>
        <w:instrText>previouslyFormattedCitation</w:instrText>
      </w:r>
      <w:r w:rsidRPr="00264F60">
        <w:rPr>
          <w:i/>
          <w:color w:val="000000" w:themeColor="text1"/>
        </w:rPr>
        <w:instrText>":"[74,75]"},"</w:instrText>
      </w:r>
      <w:r>
        <w:rPr>
          <w:i/>
          <w:color w:val="000000" w:themeColor="text1"/>
          <w:lang w:val="en-US"/>
        </w:rPr>
        <w:instrText>properties</w:instrText>
      </w:r>
      <w:r w:rsidRPr="00264F60">
        <w:rPr>
          <w:i/>
          <w:color w:val="000000" w:themeColor="text1"/>
        </w:rPr>
        <w:instrText>":{"</w:instrText>
      </w:r>
      <w:r>
        <w:rPr>
          <w:i/>
          <w:color w:val="000000" w:themeColor="text1"/>
          <w:lang w:val="en-US"/>
        </w:rPr>
        <w:instrText>noteIndex</w:instrText>
      </w:r>
      <w:r w:rsidRPr="00264F60">
        <w:rPr>
          <w:i/>
          <w:color w:val="000000" w:themeColor="text1"/>
        </w:rPr>
        <w:instrText>":0},"</w:instrText>
      </w:r>
      <w:r>
        <w:rPr>
          <w:i/>
          <w:color w:val="000000" w:themeColor="text1"/>
          <w:lang w:val="en-US"/>
        </w:rPr>
        <w:instrText>schema</w:instrText>
      </w:r>
      <w:r w:rsidRPr="00264F60">
        <w:rPr>
          <w:i/>
          <w:color w:val="000000" w:themeColor="text1"/>
        </w:rPr>
        <w:instrText>":"</w:instrText>
      </w:r>
      <w:r>
        <w:rPr>
          <w:i/>
          <w:color w:val="000000" w:themeColor="text1"/>
          <w:lang w:val="en-US"/>
        </w:rPr>
        <w:instrText>https</w:instrText>
      </w:r>
      <w:r w:rsidRPr="00264F60">
        <w:rPr>
          <w:i/>
          <w:color w:val="000000" w:themeColor="text1"/>
        </w:rPr>
        <w:instrText>://</w:instrText>
      </w:r>
      <w:r>
        <w:rPr>
          <w:i/>
          <w:color w:val="000000" w:themeColor="text1"/>
          <w:lang w:val="en-US"/>
        </w:rPr>
        <w:instrText>github</w:instrText>
      </w:r>
      <w:r w:rsidRPr="00264F60">
        <w:rPr>
          <w:i/>
          <w:color w:val="000000" w:themeColor="text1"/>
        </w:rPr>
        <w:instrText>.</w:instrText>
      </w:r>
      <w:r>
        <w:rPr>
          <w:i/>
          <w:color w:val="000000" w:themeColor="text1"/>
          <w:lang w:val="en-US"/>
        </w:rPr>
        <w:instrText>com</w:instrText>
      </w:r>
      <w:r w:rsidRPr="00264F60">
        <w:rPr>
          <w:i/>
          <w:color w:val="000000" w:themeColor="text1"/>
        </w:rPr>
        <w:instrText>/</w:instrText>
      </w:r>
      <w:r>
        <w:rPr>
          <w:i/>
          <w:color w:val="000000" w:themeColor="text1"/>
          <w:lang w:val="en-US"/>
        </w:rPr>
        <w:instrText>citation</w:instrText>
      </w:r>
      <w:r w:rsidRPr="00264F60">
        <w:rPr>
          <w:i/>
          <w:color w:val="000000" w:themeColor="text1"/>
        </w:rPr>
        <w:instrText>-</w:instrText>
      </w:r>
      <w:r>
        <w:rPr>
          <w:i/>
          <w:color w:val="000000" w:themeColor="text1"/>
          <w:lang w:val="en-US"/>
        </w:rPr>
        <w:instrText>style</w:instrText>
      </w:r>
      <w:r w:rsidRPr="00264F60">
        <w:rPr>
          <w:i/>
          <w:color w:val="000000" w:themeColor="text1"/>
        </w:rPr>
        <w:instrText>-</w:instrText>
      </w:r>
      <w:r>
        <w:rPr>
          <w:i/>
          <w:color w:val="000000" w:themeColor="text1"/>
          <w:lang w:val="en-US"/>
        </w:rPr>
        <w:instrText>language</w:instrText>
      </w:r>
      <w:r w:rsidRPr="00264F60">
        <w:rPr>
          <w:i/>
          <w:color w:val="000000" w:themeColor="text1"/>
        </w:rPr>
        <w:instrText>/</w:instrText>
      </w:r>
      <w:r>
        <w:rPr>
          <w:i/>
          <w:color w:val="000000" w:themeColor="text1"/>
          <w:lang w:val="en-US"/>
        </w:rPr>
        <w:instrText>schema</w:instrText>
      </w:r>
      <w:r w:rsidRPr="00264F60">
        <w:rPr>
          <w:i/>
          <w:color w:val="000000" w:themeColor="text1"/>
        </w:rPr>
        <w:instrText>/</w:instrText>
      </w:r>
      <w:r>
        <w:rPr>
          <w:i/>
          <w:color w:val="000000" w:themeColor="text1"/>
          <w:lang w:val="en-US"/>
        </w:rPr>
        <w:instrText>raw</w:instrText>
      </w:r>
      <w:r w:rsidRPr="00264F60">
        <w:rPr>
          <w:i/>
          <w:color w:val="000000" w:themeColor="text1"/>
        </w:rPr>
        <w:instrText>/</w:instrText>
      </w:r>
      <w:r>
        <w:rPr>
          <w:i/>
          <w:color w:val="000000" w:themeColor="text1"/>
          <w:lang w:val="en-US"/>
        </w:rPr>
        <w:instrText>master</w:instrText>
      </w:r>
      <w:r w:rsidRPr="00264F60">
        <w:rPr>
          <w:i/>
          <w:color w:val="000000" w:themeColor="text1"/>
        </w:rPr>
        <w:instrText>/</w:instrText>
      </w:r>
      <w:r>
        <w:rPr>
          <w:i/>
          <w:color w:val="000000" w:themeColor="text1"/>
          <w:lang w:val="en-US"/>
        </w:rPr>
        <w:instrText>csl</w:instrText>
      </w:r>
      <w:r w:rsidRPr="00264F60">
        <w:rPr>
          <w:i/>
          <w:color w:val="000000" w:themeColor="text1"/>
        </w:rPr>
        <w:instrText>-</w:instrText>
      </w:r>
      <w:r>
        <w:rPr>
          <w:i/>
          <w:color w:val="000000" w:themeColor="text1"/>
          <w:lang w:val="en-US"/>
        </w:rPr>
        <w:instrText>citation</w:instrText>
      </w:r>
      <w:r w:rsidRPr="00264F60">
        <w:rPr>
          <w:i/>
          <w:color w:val="000000" w:themeColor="text1"/>
        </w:rPr>
        <w:instrText>.</w:instrText>
      </w:r>
      <w:r>
        <w:rPr>
          <w:i/>
          <w:color w:val="000000" w:themeColor="text1"/>
          <w:lang w:val="en-US"/>
        </w:rPr>
        <w:instrText>json</w:instrText>
      </w:r>
      <w:r w:rsidRPr="00264F60">
        <w:rPr>
          <w:i/>
          <w:color w:val="000000" w:themeColor="text1"/>
        </w:rPr>
        <w:instrText>"}</w:instrText>
      </w:r>
      <w:r w:rsidRPr="00DE5A72">
        <w:rPr>
          <w:b w:val="0"/>
          <w:i/>
          <w:color w:val="000000" w:themeColor="text1"/>
          <w:lang w:val="en-US"/>
        </w:rPr>
        <w:fldChar w:fldCharType="separate"/>
      </w:r>
      <w:r w:rsidRPr="00DE5A72">
        <w:rPr>
          <w:noProof/>
          <w:color w:val="000000" w:themeColor="text1"/>
        </w:rPr>
        <w:t>[74,75]</w:t>
      </w:r>
      <w:bookmarkEnd w:id="118"/>
      <w:r w:rsidRPr="00DE5A72">
        <w:rPr>
          <w:b w:val="0"/>
          <w:i/>
          <w:color w:val="000000" w:themeColor="text1"/>
          <w:lang w:val="en-US"/>
        </w:rPr>
        <w:fldChar w:fldCharType="end"/>
      </w:r>
    </w:p>
    <w:p w14:paraId="00D82C4C" w14:textId="77777777" w:rsidR="00413554" w:rsidRPr="00C61F32" w:rsidRDefault="00413554" w:rsidP="00413554">
      <w:pPr>
        <w:tabs>
          <w:tab w:val="left" w:pos="0"/>
        </w:tabs>
        <w:ind w:firstLine="0"/>
        <w:rPr>
          <w:i/>
          <w:color w:val="000000" w:themeColor="text1"/>
          <w:lang w:eastAsia="ru-RU"/>
        </w:rPr>
      </w:pPr>
      <w:r>
        <w:rPr>
          <w:i/>
          <w:color w:val="000000" w:themeColor="text1"/>
          <w:lang w:eastAsia="ru-RU"/>
        </w:rPr>
        <w:tab/>
      </w:r>
      <w:r w:rsidRPr="00C61F32">
        <w:rPr>
          <w:i/>
          <w:color w:val="000000" w:themeColor="text1"/>
          <w:lang w:eastAsia="ru-RU"/>
        </w:rPr>
        <w:t xml:space="preserve">Внутривенное применение: </w:t>
      </w:r>
    </w:p>
    <w:p w14:paraId="00281B55" w14:textId="77777777" w:rsidR="00413554" w:rsidRPr="00CB3251" w:rsidRDefault="00413554" w:rsidP="00413554">
      <w:pPr>
        <w:tabs>
          <w:tab w:val="left" w:pos="0"/>
        </w:tabs>
        <w:rPr>
          <w:color w:val="000000" w:themeColor="text1"/>
          <w:lang w:eastAsia="ru-RU"/>
        </w:rPr>
      </w:pPr>
      <w:r w:rsidRPr="00CB3251">
        <w:rPr>
          <w:color w:val="000000" w:themeColor="text1"/>
          <w:lang w:eastAsia="ru-RU"/>
        </w:rPr>
        <w:t>Стандартная дозировка препарата на разовое введение составляет 375 мг/м</w:t>
      </w:r>
      <w:r w:rsidRPr="00CB3251">
        <w:rPr>
          <w:color w:val="000000" w:themeColor="text1"/>
          <w:vertAlign w:val="superscript"/>
          <w:lang w:eastAsia="ru-RU"/>
        </w:rPr>
        <w:t>2</w:t>
      </w:r>
      <w:r w:rsidRPr="00CB3251">
        <w:rPr>
          <w:color w:val="000000" w:themeColor="text1"/>
          <w:lang w:eastAsia="ru-RU"/>
        </w:rPr>
        <w:t xml:space="preserve">. Необходимое количество препарата набирают в асептических условиях и разводят до </w:t>
      </w:r>
      <w:r w:rsidRPr="00CB3251">
        <w:rPr>
          <w:color w:val="000000" w:themeColor="text1"/>
          <w:lang w:eastAsia="ru-RU"/>
        </w:rPr>
        <w:lastRenderedPageBreak/>
        <w:t>расчетной концентрации (1–4 мг/мл) в инфузионном флаконе (пакете) с 0,9% раствором натрия хлорида для инъекции или 5% раствором декстрозы (растворы должны быть стерильными и апирогенными). Приготовленный инфузионный раствор стабилен в течение 12 ч при комнатной температуре или в течение не более 24 ч при температуре от 2 до 8 °C. Препарат вводят внутривенно, инфузионно (медленно), через отдельный катетер.   Препарат нельзя вводить в/в болюсно или в виде в/в инъекций.</w:t>
      </w:r>
    </w:p>
    <w:p w14:paraId="1DAD3671" w14:textId="77777777" w:rsidR="00413554" w:rsidRPr="00CB3251" w:rsidRDefault="00413554" w:rsidP="00413554">
      <w:pPr>
        <w:tabs>
          <w:tab w:val="left" w:pos="0"/>
        </w:tabs>
        <w:rPr>
          <w:color w:val="000000" w:themeColor="text1"/>
          <w:lang w:eastAsia="ru-RU"/>
        </w:rPr>
      </w:pPr>
      <w:r w:rsidRPr="00CB3251">
        <w:rPr>
          <w:color w:val="000000" w:themeColor="text1"/>
          <w:lang w:eastAsia="ru-RU"/>
        </w:rPr>
        <w:t>Рекомендуемая начальная скорость первой инфузии — 50 мг/ч, в дальнейшем ее можно увеличивать на 50 мг/ч каждые 30 мин, доводя до максимальной скорости — 400 мг/ч. Последующие инфузии можно начинать со скорости 100 мг/ч и увеличивать ее на 100 мг/ч каждые 30 мин до максимальной скорости 400 мг/ч.</w:t>
      </w:r>
    </w:p>
    <w:p w14:paraId="190E529F" w14:textId="77777777" w:rsidR="00413554" w:rsidRPr="00CB3251" w:rsidRDefault="00413554" w:rsidP="00413554">
      <w:pPr>
        <w:tabs>
          <w:tab w:val="left" w:pos="0"/>
        </w:tabs>
        <w:rPr>
          <w:color w:val="000000" w:themeColor="text1"/>
          <w:szCs w:val="24"/>
        </w:rPr>
      </w:pPr>
      <w:r w:rsidRPr="00CB3251">
        <w:rPr>
          <w:color w:val="000000" w:themeColor="text1"/>
          <w:lang w:eastAsia="ru-RU"/>
        </w:rPr>
        <w:t xml:space="preserve">Перед каждой инфузиейритуксимаба за 30-60 мин до введения необходимо проводить премедикацию (анальгетик/антипиретик, например парацетамол или </w:t>
      </w:r>
      <w:r w:rsidRPr="00CB3251">
        <w:rPr>
          <w:color w:val="000000" w:themeColor="text1"/>
          <w:szCs w:val="24"/>
        </w:rPr>
        <w:t>кетопрофен</w:t>
      </w:r>
      <w:r w:rsidRPr="00CB3251">
        <w:rPr>
          <w:color w:val="000000" w:themeColor="text1"/>
          <w:szCs w:val="24"/>
          <w:lang w:eastAsia="ru-RU"/>
        </w:rPr>
        <w:t>; антигистаминный препарат, например дифенгидрамин или клемастин;</w:t>
      </w:r>
      <w:r w:rsidRPr="00CB3251">
        <w:rPr>
          <w:color w:val="000000" w:themeColor="text1"/>
          <w:lang w:eastAsia="ru-RU"/>
        </w:rPr>
        <w:t>глюкокортикоид, например, дексаметазон).</w:t>
      </w:r>
      <w:r w:rsidRPr="00CB3251">
        <w:rPr>
          <w:color w:val="000000" w:themeColor="text1"/>
          <w:szCs w:val="24"/>
        </w:rPr>
        <w:t xml:space="preserve">Стандартной премедикацией является введение кетопрофен 100 мг в/в капельно на 100 мл физ.раствора + </w:t>
      </w:r>
      <w:r w:rsidRPr="00CB3251">
        <w:rPr>
          <w:color w:val="000000" w:themeColor="text1"/>
          <w:szCs w:val="24"/>
          <w:lang w:eastAsia="ru-RU"/>
        </w:rPr>
        <w:t>клемастин</w:t>
      </w:r>
      <w:r w:rsidRPr="00CB3251">
        <w:rPr>
          <w:color w:val="000000" w:themeColor="text1"/>
          <w:szCs w:val="24"/>
        </w:rPr>
        <w:t xml:space="preserve"> 2 мг в/в капельно на 100 мл физ.раствора + дексаметазон 8 мг в/в капельно на 50 мл физ. раствора.</w:t>
      </w:r>
    </w:p>
    <w:p w14:paraId="5584695D" w14:textId="77777777" w:rsidR="00413554" w:rsidRPr="00CB3251" w:rsidRDefault="00413554" w:rsidP="00413554">
      <w:pPr>
        <w:tabs>
          <w:tab w:val="left" w:pos="0"/>
        </w:tabs>
        <w:rPr>
          <w:color w:val="000000" w:themeColor="text1"/>
          <w:szCs w:val="24"/>
        </w:rPr>
      </w:pPr>
      <w:r w:rsidRPr="00CB3251">
        <w:rPr>
          <w:color w:val="000000" w:themeColor="text1"/>
          <w:szCs w:val="24"/>
        </w:rPr>
        <w:t>У большинства больных в ходе первой инфузии отмечается инфузионныйсимптомокомплекс от легкой до умеренной степени выраженности, заключающийся в появлении лихорадки и озноба/дрожи. Другими часто наблюдающимися инфузионными симптомами являются тошнота, зуд, ангионевротический отек, астения, гипотензия, головная боль, бронхоспазм, раздражение в горле, ринит, крапивница, сыпь, рвота, миалгия, головокружение, гипертензия. Как правило, эти реакции возникают в пределах 30–120 мин после начала первой инфузии и исчезают после замедления или прерывания введения препарата и проведения поддерживающих мероприятий (</w:t>
      </w:r>
      <w:r w:rsidRPr="00CB3251">
        <w:rPr>
          <w:rStyle w:val="sokr"/>
          <w:color w:val="000000" w:themeColor="text1"/>
          <w:szCs w:val="24"/>
        </w:rPr>
        <w:t>в т.ч.в/в</w:t>
      </w:r>
      <w:r w:rsidRPr="00CB3251">
        <w:rPr>
          <w:color w:val="000000" w:themeColor="text1"/>
          <w:szCs w:val="24"/>
        </w:rPr>
        <w:t xml:space="preserve"> введений физиологического раствора, клемастина/ дифенгидрамина, кетонала/парацетамола). Легкие или умеренно выраженные реакции могут быть устранены уменьшением скорости введения, которую можно вновь увеличить после исчезновения симптоматики. Пациентам, у которых развились инфузионные реакции 1-3 степени, следует снизить скорость введения при возобновлении инфузии. При развитии анафилактической реакции или жизнеугрожающейинфузионной реакции 4-й степени необходимо окончательно прекратить введение ритуксимаба и оказать необходимую экстренную помощь.</w:t>
      </w:r>
    </w:p>
    <w:p w14:paraId="53CAF930" w14:textId="77777777" w:rsidR="00413554" w:rsidRPr="00CB3251" w:rsidRDefault="00413554" w:rsidP="00413554">
      <w:pPr>
        <w:tabs>
          <w:tab w:val="left" w:pos="0"/>
        </w:tabs>
        <w:rPr>
          <w:color w:val="000000" w:themeColor="text1"/>
          <w:szCs w:val="24"/>
        </w:rPr>
      </w:pPr>
      <w:r w:rsidRPr="00CB3251">
        <w:rPr>
          <w:color w:val="000000" w:themeColor="text1"/>
          <w:szCs w:val="24"/>
        </w:rPr>
        <w:lastRenderedPageBreak/>
        <w:t>В связи с опасностью развития гипотензии рекомендуется отмена антигипертензивных препаратов за 12 ч до начала и на протяжении всего времени инфузииритуксимаба.</w:t>
      </w:r>
    </w:p>
    <w:p w14:paraId="2CC68F90" w14:textId="77777777" w:rsidR="00413554" w:rsidRPr="008F0B6E" w:rsidRDefault="00413554" w:rsidP="00413554">
      <w:pPr>
        <w:tabs>
          <w:tab w:val="left" w:pos="0"/>
        </w:tabs>
        <w:ind w:firstLine="0"/>
        <w:rPr>
          <w:i/>
          <w:color w:val="000000" w:themeColor="text1"/>
          <w:lang w:eastAsia="ru-RU"/>
        </w:rPr>
      </w:pPr>
      <w:r>
        <w:rPr>
          <w:i/>
          <w:color w:val="000000" w:themeColor="text1"/>
          <w:lang w:eastAsia="ru-RU"/>
        </w:rPr>
        <w:tab/>
      </w:r>
      <w:r w:rsidRPr="008F0B6E">
        <w:rPr>
          <w:i/>
          <w:color w:val="000000" w:themeColor="text1"/>
          <w:lang w:eastAsia="ru-RU"/>
        </w:rPr>
        <w:t>Подкожное применение</w:t>
      </w:r>
    </w:p>
    <w:p w14:paraId="587E5B15" w14:textId="1300CC22" w:rsidR="00413554" w:rsidRDefault="00413554" w:rsidP="00413554">
      <w:pPr>
        <w:tabs>
          <w:tab w:val="left" w:pos="0"/>
        </w:tabs>
        <w:rPr>
          <w:color w:val="000000" w:themeColor="text1"/>
          <w:szCs w:val="24"/>
        </w:rPr>
      </w:pPr>
      <w:r w:rsidRPr="00CB3251">
        <w:rPr>
          <w:color w:val="000000" w:themeColor="text1"/>
          <w:szCs w:val="24"/>
        </w:rPr>
        <w:t>Ритуксимаб в лекарственной форме «раствор для подкожного введения» в дозировке 1400мг может применяться после внутривенного ведения полной первой дозы препараты, в том числе у пациентов с затрудненным венозным доступом. Игла для подкожного введения должна быть присоединена к шприцу непосредственно перед введением препарата для предотвращения возможной закупорки иглы. Препарат вводится в течение 5 минут подкожно в переднюю брюшную стенку, исключая места гематом, уплотнений, повышенной чувствительности, покраснений, родимые пятна, ткани рубцов. В случае прерывания инъекции ее можно возобновить в том же самом месте или, при необходимости, изменить место инъекции. Препарат в лекарственной форме «раствор для подкожного введения» и другие препараты, также предназначенные для п/к введения, по возможности, следует вводить в разные места. Перед каждым применением препарата необходимо проводить премедикацию (анальгетик/антипиретик, например, парацетамол/кетопрофен; антигистаминный препарат, например, дифенгидрамин/клемастин). Если препарат применяется не в комбинации с химиотерапией, содержащей глюкокортикостероиды, то в состав премедикации также входят глюкокортикостероиды.</w:t>
      </w:r>
    </w:p>
    <w:p w14:paraId="20A3F0AC" w14:textId="4C54B26D" w:rsidR="0034590E" w:rsidRDefault="0034590E" w:rsidP="00413554">
      <w:pPr>
        <w:tabs>
          <w:tab w:val="left" w:pos="0"/>
        </w:tabs>
        <w:rPr>
          <w:color w:val="000000" w:themeColor="text1"/>
          <w:szCs w:val="24"/>
        </w:rPr>
      </w:pPr>
    </w:p>
    <w:p w14:paraId="0F675AAC" w14:textId="77777777" w:rsidR="0034590E" w:rsidRPr="006F54FB" w:rsidRDefault="0034590E" w:rsidP="0034590E">
      <w:pPr>
        <w:pStyle w:val="2"/>
        <w:spacing w:before="0"/>
      </w:pPr>
      <w:bookmarkStart w:id="120" w:name="_Toc101882893"/>
      <w:r w:rsidRPr="006641A3">
        <w:t>Приложение А3.</w:t>
      </w:r>
      <w:r>
        <w:t xml:space="preserve">4. </w:t>
      </w:r>
      <w:r w:rsidRPr="00CC66C1">
        <w:t>Инфузионная терапия у гематологических пациентов</w:t>
      </w:r>
      <w:bookmarkEnd w:id="120"/>
    </w:p>
    <w:p w14:paraId="0B0E2452" w14:textId="77777777" w:rsidR="0034590E" w:rsidRPr="00CC66C1" w:rsidRDefault="0034590E" w:rsidP="0034590E">
      <w:pPr>
        <w:rPr>
          <w:szCs w:val="24"/>
        </w:rPr>
      </w:pPr>
      <w:r w:rsidRPr="00CC66C1">
        <w:rPr>
          <w:szCs w:val="24"/>
        </w:rPr>
        <w:t>Особое место в сопроводительной терапии пациентов с онкогематологическими заболеваниями занимает инфузионная терапия (ИТ). Она используется почти у всех пациентов, находящихся на стационарном лечении. Однако некорректное ее применение может приводить к тяжелым осложнениям. Инфузионные растворы должны рассматриваться как лекарственные препараты со своими показаниями и противопоказаниями. Необходим обоснованный выбор типа раствора, его количества и темпа введения. Несмотря на накопленный опыт использования ИТ (первое сообщение о применении внутривенной инфузии раствора солей у больных холерой появилось почти 200 лет назад), концепции и схемы ИТ продолжают развиваться.</w:t>
      </w:r>
    </w:p>
    <w:p w14:paraId="38941B3B" w14:textId="77777777" w:rsidR="0034590E" w:rsidRPr="00CC66C1" w:rsidRDefault="0034590E" w:rsidP="0034590E">
      <w:pPr>
        <w:rPr>
          <w:szCs w:val="24"/>
        </w:rPr>
      </w:pPr>
      <w:r w:rsidRPr="00CC66C1">
        <w:rPr>
          <w:szCs w:val="24"/>
        </w:rPr>
        <w:t xml:space="preserve">ИТ в гематологии используется для решения таких задач, как создание гемоделюции и форсированного диуреза для профилактики синдрома лизиса опухоли, возмещение </w:t>
      </w:r>
      <w:r w:rsidRPr="00CC66C1">
        <w:rPr>
          <w:szCs w:val="24"/>
        </w:rPr>
        <w:lastRenderedPageBreak/>
        <w:t>жидкостных потерь в результате диареи, лихорадки, сепсиса, кровотечения, депонирования в полостях организма и коррекция электролитных расстройств.</w:t>
      </w:r>
    </w:p>
    <w:p w14:paraId="24E57E2D" w14:textId="77777777" w:rsidR="0034590E" w:rsidRDefault="0034590E" w:rsidP="0034590E">
      <w:pPr>
        <w:rPr>
          <w:i/>
          <w:szCs w:val="24"/>
        </w:rPr>
      </w:pPr>
    </w:p>
    <w:p w14:paraId="132652BA" w14:textId="77777777" w:rsidR="0034590E" w:rsidRPr="00CC66C1" w:rsidRDefault="0034590E" w:rsidP="0034590E">
      <w:pPr>
        <w:rPr>
          <w:i/>
          <w:szCs w:val="24"/>
          <w:u w:val="single"/>
        </w:rPr>
      </w:pPr>
      <w:r w:rsidRPr="00CC66C1">
        <w:rPr>
          <w:i/>
          <w:szCs w:val="24"/>
          <w:u w:val="single"/>
        </w:rPr>
        <w:t>Виды инфузионных растворов</w:t>
      </w:r>
    </w:p>
    <w:p w14:paraId="40405CE6" w14:textId="77777777" w:rsidR="0034590E" w:rsidRPr="00CC66C1" w:rsidRDefault="0034590E" w:rsidP="0034590E">
      <w:pPr>
        <w:rPr>
          <w:szCs w:val="24"/>
        </w:rPr>
      </w:pPr>
      <w:r w:rsidRPr="00CC66C1">
        <w:rPr>
          <w:szCs w:val="24"/>
        </w:rPr>
        <w:t xml:space="preserve">Кристаллоиды и коллоиды – два основных типа растворов, которые используются для ИТ в медицине. Кристаллоиды – это растворы солей и глюкозы, которые могут легко премещаться за пределы сосудистого русла посредством диффузии в отличие от коллоидов, представляющие собой растворы крупных молекул (гидроксиэтилкрахмала (ГЭК), альбумина), благодаря которым после инфузии преимущественно остаются в русле и увеличивают коллоидно-осмотическое давление, тем самым удерживая жидкость в просвете сосуда. Однако коллоидные растворы (в частности растворы ГЭК первого и второго поколения) обладают более широким спектром побочных эффектов: нефротоксичность, способность вызывать гипокоагуляцию. Поэтому высокая способность удерживать жидкость в сосудистом русле в сочетании с потенциальной опасностью у коллоидов против низкой коллоидно-осмотической способности и относительной безопасности кристаллоидов являются предметом спора в выборе наилучшего типа раствора для инфузии. Но коллоиды и кристаллоиды не являются взаимоисключающими растворами, а используются в различных клинических ситуациях. Преимущественно для поддерживающей ИТ и при коррекции </w:t>
      </w:r>
      <w:r w:rsidRPr="00CC66C1">
        <w:rPr>
          <w:i/>
          <w:szCs w:val="24"/>
        </w:rPr>
        <w:t>дегидратации</w:t>
      </w:r>
      <w:r w:rsidRPr="00CC66C1">
        <w:rPr>
          <w:szCs w:val="24"/>
        </w:rPr>
        <w:t xml:space="preserve"> в результате потери жидкости с перспирацией, лихорадкой, диареей, когда обезвоживаются все жидкостные пространства организма (сосудистое русло, интерстиций, внутриклеточная жидкость) используют сбалансированные кристаллоидные растворы. В экстренных ситуациях, например при массивном кровотечении (</w:t>
      </w:r>
      <w:r w:rsidRPr="00CC66C1">
        <w:rPr>
          <w:i/>
          <w:szCs w:val="24"/>
        </w:rPr>
        <w:t>гиповолемия</w:t>
      </w:r>
      <w:r w:rsidRPr="00CC66C1">
        <w:rPr>
          <w:szCs w:val="24"/>
        </w:rPr>
        <w:t>), когда требуется быстрое восполнение объема циркулирующей крови для поддержания гемодинамики и, соответственно, доставки кислорода тканям, используют комбинацию коллоидных и кристаллоидных растворов.</w:t>
      </w:r>
    </w:p>
    <w:p w14:paraId="0038A74B" w14:textId="77777777" w:rsidR="0034590E" w:rsidRPr="00CC66C1" w:rsidRDefault="0034590E" w:rsidP="0034590E">
      <w:pPr>
        <w:rPr>
          <w:szCs w:val="24"/>
        </w:rPr>
      </w:pPr>
      <w:r w:rsidRPr="00CC66C1">
        <w:rPr>
          <w:i/>
          <w:szCs w:val="24"/>
        </w:rPr>
        <w:t xml:space="preserve">Изотонический 0,9% раствор натрия хлорида (0,9% </w:t>
      </w:r>
      <w:r w:rsidRPr="00CC66C1">
        <w:rPr>
          <w:i/>
          <w:szCs w:val="24"/>
          <w:lang w:val="en-US"/>
        </w:rPr>
        <w:t>NaCl</w:t>
      </w:r>
      <w:r w:rsidRPr="00CC66C1">
        <w:rPr>
          <w:i/>
          <w:szCs w:val="24"/>
        </w:rPr>
        <w:t>),</w:t>
      </w:r>
      <w:r w:rsidRPr="00CC66C1">
        <w:rPr>
          <w:szCs w:val="24"/>
        </w:rPr>
        <w:t xml:space="preserve"> который исторически принято было называть физиологическим, таковым не является. Это связано с его высокой концентрацией ионов натрия 154 ммоль/л и хлорида 154 ммоль/л, что выше, чем в плазме здорового человека (см. таб. 1), и с отсутствием буфера. Поэтому инфузия изотонического раствора хлорида натрия может привести к гиперхлоремическому метаболическому ацидозу с развитием хлорид-индуцированного спазма почечных капилляров с последующей острой почечной недостаточностью</w:t>
      </w:r>
      <w:r>
        <w:rPr>
          <w:szCs w:val="24"/>
        </w:rPr>
        <w:t>.</w:t>
      </w:r>
      <w:r w:rsidRPr="00CC66C1">
        <w:rPr>
          <w:szCs w:val="24"/>
        </w:rPr>
        <w:t xml:space="preserve"> </w:t>
      </w:r>
    </w:p>
    <w:p w14:paraId="1876A384" w14:textId="77777777" w:rsidR="0034590E" w:rsidRPr="00CC66C1" w:rsidRDefault="0034590E" w:rsidP="0034590E">
      <w:pPr>
        <w:rPr>
          <w:szCs w:val="24"/>
        </w:rPr>
      </w:pPr>
      <w:r w:rsidRPr="00CC66C1">
        <w:rPr>
          <w:szCs w:val="24"/>
        </w:rPr>
        <w:t xml:space="preserve">Введение 1000 мл 0,9% натрия хлорида увеличивает объем плазмы на 275 мл, а интерстициальной жидкости на 875 мл,  суммарно 1100 мл  (на 100 мл больше за счет </w:t>
      </w:r>
      <w:r w:rsidRPr="00CC66C1">
        <w:rPr>
          <w:szCs w:val="24"/>
        </w:rPr>
        <w:lastRenderedPageBreak/>
        <w:t xml:space="preserve">диффузии воды из внутриклеточного пространства в интерстиций под действием концентрационного градиента, который создается ионами </w:t>
      </w:r>
      <w:r w:rsidRPr="00CC66C1">
        <w:rPr>
          <w:szCs w:val="24"/>
          <w:lang w:val="en-US"/>
        </w:rPr>
        <w:t>Na</w:t>
      </w:r>
      <w:r w:rsidRPr="00CC66C1">
        <w:rPr>
          <w:szCs w:val="24"/>
        </w:rPr>
        <w:t xml:space="preserve">).   Принимая во внимание побочные эффекты, следует избегать использования 0,9% </w:t>
      </w:r>
      <w:r w:rsidRPr="00CC66C1">
        <w:rPr>
          <w:szCs w:val="24"/>
          <w:lang w:val="en-US"/>
        </w:rPr>
        <w:t>NaCl</w:t>
      </w:r>
      <w:r w:rsidRPr="00CC66C1">
        <w:rPr>
          <w:szCs w:val="24"/>
        </w:rPr>
        <w:t xml:space="preserve"> для ИТ и применять его в качестве растворителя для фармакологических препаратов. </w:t>
      </w:r>
    </w:p>
    <w:p w14:paraId="1A6BCC6F" w14:textId="77777777" w:rsidR="0034590E" w:rsidRPr="00CC66C1" w:rsidRDefault="0034590E" w:rsidP="0034590E">
      <w:pPr>
        <w:rPr>
          <w:szCs w:val="24"/>
        </w:rPr>
      </w:pPr>
      <w:r w:rsidRPr="00CC66C1">
        <w:rPr>
          <w:i/>
          <w:szCs w:val="24"/>
        </w:rPr>
        <w:t>Сбалансированные кристаллоидные растворы (Стерофундин, Плазмалит, Рингер-лактат (таб.1))</w:t>
      </w:r>
      <w:r w:rsidRPr="00CC66C1">
        <w:rPr>
          <w:szCs w:val="24"/>
        </w:rPr>
        <w:t xml:space="preserve"> обладают меньшим количеством побочных эффектов за счет снижения концентрации ионов натрия и добавления буфера в раствор, что частично решает проблемы периферических отеков: низкая концентрация ионов натрия в растворе не создает градиент для диффузии воды из внутриклеточного пространства, как это происходит при использовании 0,9% натрия хлорида, а находящийся в растворе буфер предотвращает развитие ацидоза. Однако раствор Рингер-лактата</w:t>
      </w:r>
      <w:r w:rsidRPr="00CC66C1">
        <w:rPr>
          <w:i/>
          <w:szCs w:val="24"/>
        </w:rPr>
        <w:t xml:space="preserve"> </w:t>
      </w:r>
      <w:r w:rsidRPr="00CC66C1">
        <w:rPr>
          <w:szCs w:val="24"/>
        </w:rPr>
        <w:t xml:space="preserve">является гипоосмолярным – 256 ммоль/л, что делает его непригодным для использования у пациентов с отеком головного мозга. В настоящее время раствор Рингер-лактата успешно применяется для коррекции гипернатриемии, инфузионной терапии во время лечения сепсиса, панкреатита и др. </w:t>
      </w:r>
    </w:p>
    <w:p w14:paraId="348E7920" w14:textId="77777777" w:rsidR="0034590E" w:rsidRPr="00CC66C1" w:rsidRDefault="0034590E" w:rsidP="0034590E">
      <w:pPr>
        <w:rPr>
          <w:szCs w:val="24"/>
        </w:rPr>
      </w:pPr>
      <w:r w:rsidRPr="00CC66C1">
        <w:rPr>
          <w:szCs w:val="24"/>
        </w:rPr>
        <w:t xml:space="preserve">Следует помнить, что у пациентов с циркуляторным шоком (тканевой гипоксией) и с заболеваниями печени лактат из раствора не будет метаболизироваться в анаэробных условиях до бикарбоната, что может приводить к гиперлактатаемии. Следует ограничивать проведение ИТ раствором Рингер-лактата у пациентов с циркуляторным шоком. Необходимо с осторожностью использовать раствор Рингер – Лактата для разведения эритроцитарной массы, так как находящийся в растворе кальций может связать цитрат (антикоагулянт для компонентов крови) и вызвать образование сгустков крови в пакете с компонентами крови.  </w:t>
      </w:r>
    </w:p>
    <w:p w14:paraId="58C99280" w14:textId="77777777" w:rsidR="0034590E" w:rsidRPr="00CC66C1" w:rsidRDefault="0034590E" w:rsidP="0034590E">
      <w:pPr>
        <w:ind w:firstLine="708"/>
        <w:rPr>
          <w:szCs w:val="24"/>
        </w:rPr>
      </w:pPr>
      <w:r w:rsidRPr="00CC66C1">
        <w:rPr>
          <w:szCs w:val="24"/>
        </w:rPr>
        <w:t xml:space="preserve">Современные растворы, такие как </w:t>
      </w:r>
      <w:r w:rsidRPr="00CC66C1">
        <w:rPr>
          <w:i/>
          <w:szCs w:val="24"/>
        </w:rPr>
        <w:t>Стерофундин, Плазмалит</w:t>
      </w:r>
      <w:r w:rsidRPr="00CC66C1">
        <w:rPr>
          <w:szCs w:val="24"/>
        </w:rPr>
        <w:t xml:space="preserve"> и др.,  содержат в себе меньшую концентрацию кальция за счет добавления ионов магния, а в качестве буфера – ацетат. Таким образом, у этих растворов также имеется ряд преимуществ перед изотоническим раствором натрия и раствором Рингер-лактат: более низкая концентрация хлорида уменьшает риск развития гиперхлоремического ацидоза, а применение ацетата в качестве буфера дает возможность применять эти растворы у больных с печеночной недостаточностью и циркуляторным шоком без риска ятрогенной гиперлактатемии. Эти растворы также подходят для проведения регидратации при снижении объема жидкости при диареи, рвоте, лихорадке. </w:t>
      </w:r>
    </w:p>
    <w:p w14:paraId="48062EA9" w14:textId="77777777" w:rsidR="0034590E" w:rsidRPr="00CC66C1" w:rsidRDefault="0034590E" w:rsidP="0034590E">
      <w:pPr>
        <w:rPr>
          <w:szCs w:val="24"/>
        </w:rPr>
      </w:pPr>
      <w:r w:rsidRPr="00CC66C1">
        <w:rPr>
          <w:szCs w:val="24"/>
        </w:rPr>
        <w:t xml:space="preserve">Не рекомендуется использование изотонического раствора  натрия хлорида у пациентов с гиперкалиемией и почечной недостаточностью (например, при синдроме лизиса опухоли) вместо сбалансированных кристаллоидных растворов, несмотря на </w:t>
      </w:r>
      <w:r w:rsidRPr="00CC66C1">
        <w:rPr>
          <w:szCs w:val="24"/>
        </w:rPr>
        <w:lastRenderedPageBreak/>
        <w:t xml:space="preserve">наличие в составе последних ионов калия, так как ацидоз, возникающий при использовании 0,9% раствора натрия хлорида, может усугубить гиперкалиемию за счет трансклеточного сдвига калия, который происходит для поддержания электронейтральности плазмы во время ацидоза. Введение же сбалансированного кристаллоидного инфузионного раствора с концентрацией калия 4 ммоль/л больному с гиперкалиемией будет уменьшать концентрацию калия в сторону значения концентрации калия в вводимом растворе.     </w:t>
      </w:r>
    </w:p>
    <w:p w14:paraId="3038F465" w14:textId="77777777" w:rsidR="0034590E" w:rsidRPr="00CC66C1" w:rsidRDefault="0034590E" w:rsidP="0034590E">
      <w:pPr>
        <w:rPr>
          <w:szCs w:val="24"/>
        </w:rPr>
      </w:pPr>
      <w:r w:rsidRPr="00CC66C1">
        <w:rPr>
          <w:szCs w:val="24"/>
        </w:rPr>
        <w:t xml:space="preserve">Растворы глюкозы в настоящее время для инфузионной терапии практически не применяются. Это связано как с побочными эффектами – гипергликемия  и повышение концентрации лактата крови, так и с низкой волемической активностью 5% раствора глюкозы: при инфузии 1000 мл 5% раствора глюкозы только 100 мл остается в сосудистом русле, объем жидкости в интерстициальном пространстве увеличивается на 250 мл, 650 мл раствора перемещается во внутриклеточное пространство. </w:t>
      </w:r>
    </w:p>
    <w:p w14:paraId="140488DB" w14:textId="77777777" w:rsidR="0034590E" w:rsidRDefault="0034590E" w:rsidP="0034590E">
      <w:pPr>
        <w:rPr>
          <w:szCs w:val="24"/>
        </w:rPr>
      </w:pPr>
    </w:p>
    <w:p w14:paraId="0D02FBF3" w14:textId="77777777" w:rsidR="0034590E" w:rsidRPr="00CC66C1" w:rsidRDefault="0034590E" w:rsidP="0034590E">
      <w:pPr>
        <w:rPr>
          <w:szCs w:val="24"/>
        </w:rPr>
      </w:pPr>
      <w:r w:rsidRPr="00CC66C1">
        <w:rPr>
          <w:szCs w:val="24"/>
        </w:rPr>
        <w:t>Таблица 1. Кристаллоидные растворы</w:t>
      </w:r>
    </w:p>
    <w:tbl>
      <w:tblPr>
        <w:tblStyle w:val="aff8"/>
        <w:tblW w:w="0" w:type="auto"/>
        <w:tblLook w:val="04A0" w:firstRow="1" w:lastRow="0" w:firstColumn="1" w:lastColumn="0" w:noHBand="0" w:noVBand="1"/>
      </w:tblPr>
      <w:tblGrid>
        <w:gridCol w:w="1900"/>
        <w:gridCol w:w="1859"/>
        <w:gridCol w:w="1841"/>
        <w:gridCol w:w="1861"/>
        <w:gridCol w:w="1884"/>
      </w:tblGrid>
      <w:tr w:rsidR="0034590E" w:rsidRPr="00CC66C1" w14:paraId="3EC846C1" w14:textId="77777777" w:rsidTr="00EC1C67">
        <w:tc>
          <w:tcPr>
            <w:tcW w:w="1914" w:type="dxa"/>
          </w:tcPr>
          <w:p w14:paraId="46884A35" w14:textId="77777777" w:rsidR="0034590E" w:rsidRPr="00CC66C1" w:rsidRDefault="0034590E" w:rsidP="00EC1C67">
            <w:pPr>
              <w:ind w:firstLine="0"/>
              <w:jc w:val="center"/>
              <w:rPr>
                <w:b/>
                <w:szCs w:val="24"/>
              </w:rPr>
            </w:pPr>
            <w:r w:rsidRPr="00CC66C1">
              <w:rPr>
                <w:b/>
                <w:szCs w:val="24"/>
              </w:rPr>
              <w:t>Компоненты</w:t>
            </w:r>
          </w:p>
        </w:tc>
        <w:tc>
          <w:tcPr>
            <w:tcW w:w="1914" w:type="dxa"/>
          </w:tcPr>
          <w:p w14:paraId="75939E2E" w14:textId="77777777" w:rsidR="0034590E" w:rsidRPr="00CC66C1" w:rsidRDefault="0034590E" w:rsidP="00EC1C67">
            <w:pPr>
              <w:ind w:firstLine="0"/>
              <w:jc w:val="center"/>
              <w:rPr>
                <w:b/>
                <w:szCs w:val="24"/>
              </w:rPr>
            </w:pPr>
            <w:r w:rsidRPr="00CC66C1">
              <w:rPr>
                <w:b/>
                <w:szCs w:val="24"/>
              </w:rPr>
              <w:t>Плазма</w:t>
            </w:r>
          </w:p>
        </w:tc>
        <w:tc>
          <w:tcPr>
            <w:tcW w:w="1914" w:type="dxa"/>
          </w:tcPr>
          <w:p w14:paraId="3B283D21" w14:textId="77777777" w:rsidR="0034590E" w:rsidRPr="00CC66C1" w:rsidRDefault="0034590E" w:rsidP="00EC1C67">
            <w:pPr>
              <w:ind w:firstLine="0"/>
              <w:jc w:val="center"/>
              <w:rPr>
                <w:b/>
                <w:szCs w:val="24"/>
                <w:lang w:val="en-US"/>
              </w:rPr>
            </w:pPr>
            <w:r w:rsidRPr="00CC66C1">
              <w:rPr>
                <w:b/>
                <w:szCs w:val="24"/>
              </w:rPr>
              <w:t xml:space="preserve">0,9% </w:t>
            </w:r>
            <w:r w:rsidRPr="00CC66C1">
              <w:rPr>
                <w:b/>
                <w:szCs w:val="24"/>
                <w:lang w:val="en-US"/>
              </w:rPr>
              <w:t>NaCl</w:t>
            </w:r>
          </w:p>
        </w:tc>
        <w:tc>
          <w:tcPr>
            <w:tcW w:w="1914" w:type="dxa"/>
          </w:tcPr>
          <w:p w14:paraId="11BDDC8E" w14:textId="77777777" w:rsidR="0034590E" w:rsidRPr="00CC66C1" w:rsidRDefault="0034590E" w:rsidP="00EC1C67">
            <w:pPr>
              <w:ind w:firstLine="0"/>
              <w:jc w:val="center"/>
              <w:rPr>
                <w:b/>
                <w:szCs w:val="24"/>
              </w:rPr>
            </w:pPr>
            <w:r w:rsidRPr="00CC66C1">
              <w:rPr>
                <w:b/>
                <w:szCs w:val="24"/>
              </w:rPr>
              <w:t>Рингер-лактат</w:t>
            </w:r>
          </w:p>
        </w:tc>
        <w:tc>
          <w:tcPr>
            <w:tcW w:w="1915" w:type="dxa"/>
          </w:tcPr>
          <w:p w14:paraId="3BC2E497" w14:textId="77777777" w:rsidR="0034590E" w:rsidRPr="00CC66C1" w:rsidRDefault="0034590E" w:rsidP="00EC1C67">
            <w:pPr>
              <w:ind w:firstLine="0"/>
              <w:jc w:val="center"/>
              <w:rPr>
                <w:b/>
                <w:szCs w:val="24"/>
              </w:rPr>
            </w:pPr>
            <w:r w:rsidRPr="00CC66C1">
              <w:rPr>
                <w:b/>
                <w:szCs w:val="24"/>
              </w:rPr>
              <w:t>Плазмалит</w:t>
            </w:r>
          </w:p>
        </w:tc>
      </w:tr>
      <w:tr w:rsidR="0034590E" w:rsidRPr="00CC66C1" w14:paraId="5135C741" w14:textId="77777777" w:rsidTr="00EC1C67">
        <w:tc>
          <w:tcPr>
            <w:tcW w:w="1914" w:type="dxa"/>
          </w:tcPr>
          <w:p w14:paraId="244F220C" w14:textId="77777777" w:rsidR="0034590E" w:rsidRPr="00CC66C1" w:rsidRDefault="0034590E" w:rsidP="00EC1C67">
            <w:pPr>
              <w:ind w:firstLine="0"/>
              <w:jc w:val="center"/>
              <w:rPr>
                <w:szCs w:val="24"/>
              </w:rPr>
            </w:pPr>
            <w:r w:rsidRPr="00CC66C1">
              <w:rPr>
                <w:szCs w:val="24"/>
              </w:rPr>
              <w:t>Натрий (ммоль/л)</w:t>
            </w:r>
          </w:p>
        </w:tc>
        <w:tc>
          <w:tcPr>
            <w:tcW w:w="1914" w:type="dxa"/>
          </w:tcPr>
          <w:p w14:paraId="0AD9E83A" w14:textId="77777777" w:rsidR="0034590E" w:rsidRPr="00CC66C1" w:rsidRDefault="0034590E" w:rsidP="00EC1C67">
            <w:pPr>
              <w:ind w:firstLine="0"/>
              <w:jc w:val="center"/>
              <w:rPr>
                <w:szCs w:val="24"/>
              </w:rPr>
            </w:pPr>
            <w:r w:rsidRPr="00CC66C1">
              <w:rPr>
                <w:szCs w:val="24"/>
              </w:rPr>
              <w:t>135-145</w:t>
            </w:r>
          </w:p>
        </w:tc>
        <w:tc>
          <w:tcPr>
            <w:tcW w:w="1914" w:type="dxa"/>
          </w:tcPr>
          <w:p w14:paraId="64AE9F95" w14:textId="77777777" w:rsidR="0034590E" w:rsidRPr="00CC66C1" w:rsidRDefault="0034590E" w:rsidP="00EC1C67">
            <w:pPr>
              <w:ind w:firstLine="0"/>
              <w:jc w:val="center"/>
              <w:rPr>
                <w:szCs w:val="24"/>
                <w:lang w:val="en-US"/>
              </w:rPr>
            </w:pPr>
            <w:r w:rsidRPr="00CC66C1">
              <w:rPr>
                <w:szCs w:val="24"/>
                <w:lang w:val="en-US"/>
              </w:rPr>
              <w:t>154</w:t>
            </w:r>
          </w:p>
        </w:tc>
        <w:tc>
          <w:tcPr>
            <w:tcW w:w="1914" w:type="dxa"/>
          </w:tcPr>
          <w:p w14:paraId="1A2CFEE8" w14:textId="77777777" w:rsidR="0034590E" w:rsidRPr="00CC66C1" w:rsidRDefault="0034590E" w:rsidP="00EC1C67">
            <w:pPr>
              <w:ind w:firstLine="0"/>
              <w:jc w:val="center"/>
              <w:rPr>
                <w:szCs w:val="24"/>
                <w:lang w:val="en-US"/>
              </w:rPr>
            </w:pPr>
            <w:r w:rsidRPr="00CC66C1">
              <w:rPr>
                <w:szCs w:val="24"/>
                <w:lang w:val="en-US"/>
              </w:rPr>
              <w:t>130</w:t>
            </w:r>
          </w:p>
        </w:tc>
        <w:tc>
          <w:tcPr>
            <w:tcW w:w="1915" w:type="dxa"/>
          </w:tcPr>
          <w:p w14:paraId="4B3BD3B6" w14:textId="77777777" w:rsidR="0034590E" w:rsidRPr="00CC66C1" w:rsidRDefault="0034590E" w:rsidP="00EC1C67">
            <w:pPr>
              <w:ind w:firstLine="0"/>
              <w:jc w:val="center"/>
              <w:rPr>
                <w:szCs w:val="24"/>
              </w:rPr>
            </w:pPr>
            <w:r w:rsidRPr="00CC66C1">
              <w:rPr>
                <w:szCs w:val="24"/>
              </w:rPr>
              <w:t>140</w:t>
            </w:r>
          </w:p>
        </w:tc>
      </w:tr>
      <w:tr w:rsidR="0034590E" w:rsidRPr="00CC66C1" w14:paraId="515966BC" w14:textId="77777777" w:rsidTr="00EC1C67">
        <w:tc>
          <w:tcPr>
            <w:tcW w:w="1914" w:type="dxa"/>
          </w:tcPr>
          <w:p w14:paraId="1729F629" w14:textId="77777777" w:rsidR="0034590E" w:rsidRPr="00CC66C1" w:rsidRDefault="0034590E" w:rsidP="00EC1C67">
            <w:pPr>
              <w:ind w:firstLine="0"/>
              <w:jc w:val="center"/>
              <w:rPr>
                <w:szCs w:val="24"/>
              </w:rPr>
            </w:pPr>
            <w:r w:rsidRPr="00CC66C1">
              <w:rPr>
                <w:szCs w:val="24"/>
              </w:rPr>
              <w:t>Хлорид (ммоль/л)</w:t>
            </w:r>
          </w:p>
        </w:tc>
        <w:tc>
          <w:tcPr>
            <w:tcW w:w="1914" w:type="dxa"/>
          </w:tcPr>
          <w:p w14:paraId="3FD54BCD" w14:textId="77777777" w:rsidR="0034590E" w:rsidRPr="00CC66C1" w:rsidRDefault="0034590E" w:rsidP="00EC1C67">
            <w:pPr>
              <w:ind w:firstLine="0"/>
              <w:jc w:val="center"/>
              <w:rPr>
                <w:szCs w:val="24"/>
              </w:rPr>
            </w:pPr>
            <w:r w:rsidRPr="00CC66C1">
              <w:rPr>
                <w:szCs w:val="24"/>
              </w:rPr>
              <w:t>98-106</w:t>
            </w:r>
          </w:p>
        </w:tc>
        <w:tc>
          <w:tcPr>
            <w:tcW w:w="1914" w:type="dxa"/>
          </w:tcPr>
          <w:p w14:paraId="74C9C732" w14:textId="77777777" w:rsidR="0034590E" w:rsidRPr="00CC66C1" w:rsidRDefault="0034590E" w:rsidP="00EC1C67">
            <w:pPr>
              <w:ind w:firstLine="0"/>
              <w:jc w:val="center"/>
              <w:rPr>
                <w:szCs w:val="24"/>
                <w:lang w:val="en-US"/>
              </w:rPr>
            </w:pPr>
            <w:r w:rsidRPr="00CC66C1">
              <w:rPr>
                <w:szCs w:val="24"/>
                <w:lang w:val="en-US"/>
              </w:rPr>
              <w:t>154</w:t>
            </w:r>
          </w:p>
        </w:tc>
        <w:tc>
          <w:tcPr>
            <w:tcW w:w="1914" w:type="dxa"/>
          </w:tcPr>
          <w:p w14:paraId="7BEBAD31" w14:textId="77777777" w:rsidR="0034590E" w:rsidRPr="00CC66C1" w:rsidRDefault="0034590E" w:rsidP="00EC1C67">
            <w:pPr>
              <w:ind w:firstLine="0"/>
              <w:jc w:val="center"/>
              <w:rPr>
                <w:szCs w:val="24"/>
                <w:lang w:val="en-US"/>
              </w:rPr>
            </w:pPr>
            <w:r w:rsidRPr="00CC66C1">
              <w:rPr>
                <w:szCs w:val="24"/>
                <w:lang w:val="en-US"/>
              </w:rPr>
              <w:t>109</w:t>
            </w:r>
          </w:p>
        </w:tc>
        <w:tc>
          <w:tcPr>
            <w:tcW w:w="1915" w:type="dxa"/>
          </w:tcPr>
          <w:p w14:paraId="1B601D86" w14:textId="77777777" w:rsidR="0034590E" w:rsidRPr="00CC66C1" w:rsidRDefault="0034590E" w:rsidP="00EC1C67">
            <w:pPr>
              <w:ind w:firstLine="0"/>
              <w:jc w:val="center"/>
              <w:rPr>
                <w:szCs w:val="24"/>
              </w:rPr>
            </w:pPr>
            <w:r w:rsidRPr="00CC66C1">
              <w:rPr>
                <w:szCs w:val="24"/>
              </w:rPr>
              <w:t>98</w:t>
            </w:r>
          </w:p>
        </w:tc>
      </w:tr>
      <w:tr w:rsidR="0034590E" w:rsidRPr="00CC66C1" w14:paraId="33E8F1D7" w14:textId="77777777" w:rsidTr="00EC1C67">
        <w:tc>
          <w:tcPr>
            <w:tcW w:w="1914" w:type="dxa"/>
          </w:tcPr>
          <w:p w14:paraId="6DC717F4" w14:textId="77777777" w:rsidR="0034590E" w:rsidRPr="00CC66C1" w:rsidRDefault="0034590E" w:rsidP="00EC1C67">
            <w:pPr>
              <w:ind w:firstLine="0"/>
              <w:jc w:val="center"/>
              <w:rPr>
                <w:szCs w:val="24"/>
              </w:rPr>
            </w:pPr>
            <w:r w:rsidRPr="00CC66C1">
              <w:rPr>
                <w:szCs w:val="24"/>
              </w:rPr>
              <w:t>Калий (ммоль/л)</w:t>
            </w:r>
          </w:p>
        </w:tc>
        <w:tc>
          <w:tcPr>
            <w:tcW w:w="1914" w:type="dxa"/>
          </w:tcPr>
          <w:p w14:paraId="09EEEDCB" w14:textId="77777777" w:rsidR="0034590E" w:rsidRPr="00CC66C1" w:rsidRDefault="0034590E" w:rsidP="00EC1C67">
            <w:pPr>
              <w:ind w:firstLine="0"/>
              <w:jc w:val="center"/>
              <w:rPr>
                <w:szCs w:val="24"/>
              </w:rPr>
            </w:pPr>
            <w:r w:rsidRPr="00CC66C1">
              <w:rPr>
                <w:szCs w:val="24"/>
              </w:rPr>
              <w:t>3,5-5,0</w:t>
            </w:r>
          </w:p>
        </w:tc>
        <w:tc>
          <w:tcPr>
            <w:tcW w:w="1914" w:type="dxa"/>
          </w:tcPr>
          <w:p w14:paraId="2E254BDB" w14:textId="77777777" w:rsidR="0034590E" w:rsidRPr="00CC66C1" w:rsidRDefault="0034590E" w:rsidP="00EC1C67">
            <w:pPr>
              <w:ind w:firstLine="0"/>
              <w:jc w:val="center"/>
              <w:rPr>
                <w:szCs w:val="24"/>
                <w:lang w:val="en-US"/>
              </w:rPr>
            </w:pPr>
            <w:r w:rsidRPr="00CC66C1">
              <w:rPr>
                <w:szCs w:val="24"/>
                <w:lang w:val="en-US"/>
              </w:rPr>
              <w:t>-</w:t>
            </w:r>
          </w:p>
        </w:tc>
        <w:tc>
          <w:tcPr>
            <w:tcW w:w="1914" w:type="dxa"/>
          </w:tcPr>
          <w:p w14:paraId="67DBD27E" w14:textId="77777777" w:rsidR="0034590E" w:rsidRPr="00CC66C1" w:rsidRDefault="0034590E" w:rsidP="00EC1C67">
            <w:pPr>
              <w:ind w:firstLine="0"/>
              <w:jc w:val="center"/>
              <w:rPr>
                <w:szCs w:val="24"/>
                <w:lang w:val="en-US"/>
              </w:rPr>
            </w:pPr>
            <w:r w:rsidRPr="00CC66C1">
              <w:rPr>
                <w:szCs w:val="24"/>
                <w:lang w:val="en-US"/>
              </w:rPr>
              <w:t>4</w:t>
            </w:r>
          </w:p>
        </w:tc>
        <w:tc>
          <w:tcPr>
            <w:tcW w:w="1915" w:type="dxa"/>
          </w:tcPr>
          <w:p w14:paraId="772725FA" w14:textId="77777777" w:rsidR="0034590E" w:rsidRPr="00CC66C1" w:rsidRDefault="0034590E" w:rsidP="00EC1C67">
            <w:pPr>
              <w:ind w:firstLine="0"/>
              <w:jc w:val="center"/>
              <w:rPr>
                <w:szCs w:val="24"/>
              </w:rPr>
            </w:pPr>
            <w:r w:rsidRPr="00CC66C1">
              <w:rPr>
                <w:szCs w:val="24"/>
              </w:rPr>
              <w:t>5</w:t>
            </w:r>
          </w:p>
        </w:tc>
      </w:tr>
      <w:tr w:rsidR="0034590E" w:rsidRPr="00CC66C1" w14:paraId="599F6AE1" w14:textId="77777777" w:rsidTr="00EC1C67">
        <w:tc>
          <w:tcPr>
            <w:tcW w:w="1914" w:type="dxa"/>
          </w:tcPr>
          <w:p w14:paraId="0A928F10" w14:textId="77777777" w:rsidR="0034590E" w:rsidRPr="00CC66C1" w:rsidRDefault="0034590E" w:rsidP="00EC1C67">
            <w:pPr>
              <w:ind w:firstLine="0"/>
              <w:jc w:val="center"/>
              <w:rPr>
                <w:szCs w:val="24"/>
              </w:rPr>
            </w:pPr>
            <w:r w:rsidRPr="00CC66C1">
              <w:rPr>
                <w:szCs w:val="24"/>
              </w:rPr>
              <w:t>Кальций (мг/дл)</w:t>
            </w:r>
          </w:p>
        </w:tc>
        <w:tc>
          <w:tcPr>
            <w:tcW w:w="1914" w:type="dxa"/>
          </w:tcPr>
          <w:p w14:paraId="33871701" w14:textId="77777777" w:rsidR="0034590E" w:rsidRPr="00CC66C1" w:rsidRDefault="0034590E" w:rsidP="00EC1C67">
            <w:pPr>
              <w:ind w:firstLine="0"/>
              <w:jc w:val="center"/>
              <w:rPr>
                <w:szCs w:val="24"/>
              </w:rPr>
            </w:pPr>
            <w:r w:rsidRPr="00CC66C1">
              <w:rPr>
                <w:szCs w:val="24"/>
              </w:rPr>
              <w:t>3,0-4,5</w:t>
            </w:r>
          </w:p>
        </w:tc>
        <w:tc>
          <w:tcPr>
            <w:tcW w:w="1914" w:type="dxa"/>
          </w:tcPr>
          <w:p w14:paraId="608A520F" w14:textId="77777777" w:rsidR="0034590E" w:rsidRPr="00CC66C1" w:rsidRDefault="0034590E" w:rsidP="00EC1C67">
            <w:pPr>
              <w:ind w:firstLine="0"/>
              <w:jc w:val="center"/>
              <w:rPr>
                <w:szCs w:val="24"/>
                <w:lang w:val="en-US"/>
              </w:rPr>
            </w:pPr>
            <w:r w:rsidRPr="00CC66C1">
              <w:rPr>
                <w:szCs w:val="24"/>
                <w:lang w:val="en-US"/>
              </w:rPr>
              <w:t>-</w:t>
            </w:r>
          </w:p>
        </w:tc>
        <w:tc>
          <w:tcPr>
            <w:tcW w:w="1914" w:type="dxa"/>
          </w:tcPr>
          <w:p w14:paraId="357AFB57" w14:textId="77777777" w:rsidR="0034590E" w:rsidRPr="00CC66C1" w:rsidRDefault="0034590E" w:rsidP="00EC1C67">
            <w:pPr>
              <w:ind w:firstLine="0"/>
              <w:jc w:val="center"/>
              <w:rPr>
                <w:szCs w:val="24"/>
                <w:lang w:val="en-US"/>
              </w:rPr>
            </w:pPr>
            <w:r w:rsidRPr="00CC66C1">
              <w:rPr>
                <w:szCs w:val="24"/>
                <w:lang w:val="en-US"/>
              </w:rPr>
              <w:t>4</w:t>
            </w:r>
          </w:p>
        </w:tc>
        <w:tc>
          <w:tcPr>
            <w:tcW w:w="1915" w:type="dxa"/>
          </w:tcPr>
          <w:p w14:paraId="4A09160A" w14:textId="77777777" w:rsidR="0034590E" w:rsidRPr="00CC66C1" w:rsidRDefault="0034590E" w:rsidP="00EC1C67">
            <w:pPr>
              <w:ind w:firstLine="0"/>
              <w:jc w:val="center"/>
              <w:rPr>
                <w:szCs w:val="24"/>
              </w:rPr>
            </w:pPr>
            <w:r w:rsidRPr="00CC66C1">
              <w:rPr>
                <w:szCs w:val="24"/>
              </w:rPr>
              <w:t>-</w:t>
            </w:r>
          </w:p>
        </w:tc>
      </w:tr>
      <w:tr w:rsidR="0034590E" w:rsidRPr="00CC66C1" w14:paraId="47504B11" w14:textId="77777777" w:rsidTr="00EC1C67">
        <w:tc>
          <w:tcPr>
            <w:tcW w:w="1914" w:type="dxa"/>
          </w:tcPr>
          <w:p w14:paraId="53D40D22" w14:textId="77777777" w:rsidR="0034590E" w:rsidRPr="00CC66C1" w:rsidRDefault="0034590E" w:rsidP="00EC1C67">
            <w:pPr>
              <w:ind w:firstLine="0"/>
              <w:jc w:val="center"/>
              <w:rPr>
                <w:szCs w:val="24"/>
              </w:rPr>
            </w:pPr>
            <w:r w:rsidRPr="00CC66C1">
              <w:rPr>
                <w:szCs w:val="24"/>
              </w:rPr>
              <w:t>Магний (ммоль/л)</w:t>
            </w:r>
          </w:p>
        </w:tc>
        <w:tc>
          <w:tcPr>
            <w:tcW w:w="1914" w:type="dxa"/>
          </w:tcPr>
          <w:p w14:paraId="0908B190" w14:textId="77777777" w:rsidR="0034590E" w:rsidRPr="00CC66C1" w:rsidRDefault="0034590E" w:rsidP="00EC1C67">
            <w:pPr>
              <w:ind w:firstLine="0"/>
              <w:jc w:val="center"/>
              <w:rPr>
                <w:szCs w:val="24"/>
              </w:rPr>
            </w:pPr>
            <w:r w:rsidRPr="00CC66C1">
              <w:rPr>
                <w:szCs w:val="24"/>
              </w:rPr>
              <w:t>0,7-1,2</w:t>
            </w:r>
          </w:p>
        </w:tc>
        <w:tc>
          <w:tcPr>
            <w:tcW w:w="1914" w:type="dxa"/>
          </w:tcPr>
          <w:p w14:paraId="2D909D7B" w14:textId="77777777" w:rsidR="0034590E" w:rsidRPr="00CC66C1" w:rsidRDefault="0034590E" w:rsidP="00EC1C67">
            <w:pPr>
              <w:ind w:firstLine="0"/>
              <w:jc w:val="center"/>
              <w:rPr>
                <w:szCs w:val="24"/>
                <w:lang w:val="en-US"/>
              </w:rPr>
            </w:pPr>
            <w:r w:rsidRPr="00CC66C1">
              <w:rPr>
                <w:szCs w:val="24"/>
                <w:lang w:val="en-US"/>
              </w:rPr>
              <w:t>-</w:t>
            </w:r>
          </w:p>
        </w:tc>
        <w:tc>
          <w:tcPr>
            <w:tcW w:w="1914" w:type="dxa"/>
          </w:tcPr>
          <w:p w14:paraId="1FF64C0E" w14:textId="77777777" w:rsidR="0034590E" w:rsidRPr="00CC66C1" w:rsidRDefault="0034590E" w:rsidP="00EC1C67">
            <w:pPr>
              <w:ind w:firstLine="0"/>
              <w:jc w:val="center"/>
              <w:rPr>
                <w:szCs w:val="24"/>
                <w:lang w:val="en-US"/>
              </w:rPr>
            </w:pPr>
            <w:r w:rsidRPr="00CC66C1">
              <w:rPr>
                <w:szCs w:val="24"/>
                <w:lang w:val="en-US"/>
              </w:rPr>
              <w:t>-</w:t>
            </w:r>
          </w:p>
        </w:tc>
        <w:tc>
          <w:tcPr>
            <w:tcW w:w="1915" w:type="dxa"/>
          </w:tcPr>
          <w:p w14:paraId="46D07CCB" w14:textId="77777777" w:rsidR="0034590E" w:rsidRPr="00CC66C1" w:rsidRDefault="0034590E" w:rsidP="00EC1C67">
            <w:pPr>
              <w:ind w:firstLine="0"/>
              <w:jc w:val="center"/>
              <w:rPr>
                <w:szCs w:val="24"/>
              </w:rPr>
            </w:pPr>
            <w:r w:rsidRPr="00CC66C1">
              <w:rPr>
                <w:szCs w:val="24"/>
              </w:rPr>
              <w:t>3</w:t>
            </w:r>
          </w:p>
        </w:tc>
      </w:tr>
      <w:tr w:rsidR="0034590E" w:rsidRPr="00CC66C1" w14:paraId="3FF2BC76" w14:textId="77777777" w:rsidTr="00EC1C67">
        <w:tc>
          <w:tcPr>
            <w:tcW w:w="1914" w:type="dxa"/>
          </w:tcPr>
          <w:p w14:paraId="6E5CA46A" w14:textId="77777777" w:rsidR="0034590E" w:rsidRPr="00CC66C1" w:rsidRDefault="0034590E" w:rsidP="00EC1C67">
            <w:pPr>
              <w:ind w:firstLine="0"/>
              <w:jc w:val="center"/>
              <w:rPr>
                <w:szCs w:val="24"/>
              </w:rPr>
            </w:pPr>
            <w:r w:rsidRPr="00CC66C1">
              <w:rPr>
                <w:szCs w:val="24"/>
              </w:rPr>
              <w:t>Буфер (ммоль/л)</w:t>
            </w:r>
          </w:p>
        </w:tc>
        <w:tc>
          <w:tcPr>
            <w:tcW w:w="1914" w:type="dxa"/>
          </w:tcPr>
          <w:p w14:paraId="731C5D28" w14:textId="77777777" w:rsidR="0034590E" w:rsidRPr="00CC66C1" w:rsidRDefault="0034590E" w:rsidP="00EC1C67">
            <w:pPr>
              <w:ind w:firstLine="0"/>
              <w:jc w:val="center"/>
              <w:rPr>
                <w:szCs w:val="24"/>
                <w:vertAlign w:val="subscript"/>
                <w:lang w:val="en-US"/>
              </w:rPr>
            </w:pPr>
            <w:r w:rsidRPr="00CC66C1">
              <w:rPr>
                <w:szCs w:val="24"/>
                <w:lang w:val="en-US"/>
              </w:rPr>
              <w:t>HCO</w:t>
            </w:r>
            <w:r w:rsidRPr="00CC66C1">
              <w:rPr>
                <w:szCs w:val="24"/>
                <w:vertAlign w:val="superscript"/>
                <w:lang w:val="en-US"/>
              </w:rPr>
              <w:t>-</w:t>
            </w:r>
            <w:r w:rsidRPr="00CC66C1">
              <w:rPr>
                <w:szCs w:val="24"/>
                <w:vertAlign w:val="subscript"/>
                <w:lang w:val="en-US"/>
              </w:rPr>
              <w:t>3</w:t>
            </w:r>
          </w:p>
          <w:p w14:paraId="222EC20B" w14:textId="77777777" w:rsidR="0034590E" w:rsidRPr="00CC66C1" w:rsidRDefault="0034590E" w:rsidP="00EC1C67">
            <w:pPr>
              <w:ind w:firstLine="0"/>
              <w:jc w:val="center"/>
              <w:rPr>
                <w:szCs w:val="24"/>
                <w:lang w:val="en-US"/>
              </w:rPr>
            </w:pPr>
            <w:r w:rsidRPr="00CC66C1">
              <w:rPr>
                <w:szCs w:val="24"/>
                <w:lang w:val="en-US"/>
              </w:rPr>
              <w:t>(22-28)</w:t>
            </w:r>
          </w:p>
        </w:tc>
        <w:tc>
          <w:tcPr>
            <w:tcW w:w="1914" w:type="dxa"/>
          </w:tcPr>
          <w:p w14:paraId="76D6D2DF" w14:textId="77777777" w:rsidR="0034590E" w:rsidRPr="00CC66C1" w:rsidRDefault="0034590E" w:rsidP="00EC1C67">
            <w:pPr>
              <w:ind w:firstLine="0"/>
              <w:jc w:val="center"/>
              <w:rPr>
                <w:szCs w:val="24"/>
                <w:lang w:val="en-US"/>
              </w:rPr>
            </w:pPr>
            <w:r w:rsidRPr="00CC66C1">
              <w:rPr>
                <w:szCs w:val="24"/>
                <w:lang w:val="en-US"/>
              </w:rPr>
              <w:t>-</w:t>
            </w:r>
          </w:p>
        </w:tc>
        <w:tc>
          <w:tcPr>
            <w:tcW w:w="1914" w:type="dxa"/>
          </w:tcPr>
          <w:p w14:paraId="2A649BAA" w14:textId="77777777" w:rsidR="0034590E" w:rsidRPr="00CC66C1" w:rsidRDefault="0034590E" w:rsidP="00EC1C67">
            <w:pPr>
              <w:ind w:firstLine="0"/>
              <w:jc w:val="center"/>
              <w:rPr>
                <w:szCs w:val="24"/>
              </w:rPr>
            </w:pPr>
            <w:r w:rsidRPr="00CC66C1">
              <w:rPr>
                <w:szCs w:val="24"/>
              </w:rPr>
              <w:t>Лактат (28)</w:t>
            </w:r>
          </w:p>
        </w:tc>
        <w:tc>
          <w:tcPr>
            <w:tcW w:w="1915" w:type="dxa"/>
          </w:tcPr>
          <w:p w14:paraId="70B49CE6" w14:textId="77777777" w:rsidR="0034590E" w:rsidRPr="00CC66C1" w:rsidRDefault="0034590E" w:rsidP="00EC1C67">
            <w:pPr>
              <w:ind w:firstLine="0"/>
              <w:jc w:val="center"/>
              <w:rPr>
                <w:szCs w:val="24"/>
              </w:rPr>
            </w:pPr>
            <w:r w:rsidRPr="00CC66C1">
              <w:rPr>
                <w:szCs w:val="24"/>
              </w:rPr>
              <w:t>Ацетат (27)</w:t>
            </w:r>
          </w:p>
          <w:p w14:paraId="5BF42315" w14:textId="77777777" w:rsidR="0034590E" w:rsidRPr="00CC66C1" w:rsidRDefault="0034590E" w:rsidP="00EC1C67">
            <w:pPr>
              <w:ind w:firstLine="0"/>
              <w:jc w:val="center"/>
              <w:rPr>
                <w:szCs w:val="24"/>
              </w:rPr>
            </w:pPr>
            <w:r w:rsidRPr="00CC66C1">
              <w:rPr>
                <w:szCs w:val="24"/>
              </w:rPr>
              <w:t>Глюканат (23)</w:t>
            </w:r>
          </w:p>
        </w:tc>
      </w:tr>
      <w:tr w:rsidR="0034590E" w:rsidRPr="00CC66C1" w14:paraId="019C6653" w14:textId="77777777" w:rsidTr="00EC1C67">
        <w:tc>
          <w:tcPr>
            <w:tcW w:w="1914" w:type="dxa"/>
          </w:tcPr>
          <w:p w14:paraId="5E34E0EB" w14:textId="77777777" w:rsidR="0034590E" w:rsidRPr="00CC66C1" w:rsidRDefault="0034590E" w:rsidP="00EC1C67">
            <w:pPr>
              <w:ind w:firstLine="0"/>
              <w:jc w:val="center"/>
              <w:rPr>
                <w:szCs w:val="24"/>
              </w:rPr>
            </w:pPr>
            <w:r w:rsidRPr="00CC66C1">
              <w:rPr>
                <w:szCs w:val="24"/>
              </w:rPr>
              <w:t>Осмолярность  (мОсм/л)</w:t>
            </w:r>
          </w:p>
        </w:tc>
        <w:tc>
          <w:tcPr>
            <w:tcW w:w="1914" w:type="dxa"/>
          </w:tcPr>
          <w:p w14:paraId="2DA58059" w14:textId="77777777" w:rsidR="0034590E" w:rsidRPr="00CC66C1" w:rsidRDefault="0034590E" w:rsidP="00EC1C67">
            <w:pPr>
              <w:ind w:firstLine="0"/>
              <w:jc w:val="center"/>
              <w:rPr>
                <w:szCs w:val="24"/>
                <w:lang w:val="en-US"/>
              </w:rPr>
            </w:pPr>
            <w:r w:rsidRPr="00CC66C1">
              <w:rPr>
                <w:szCs w:val="24"/>
                <w:lang w:val="en-US"/>
              </w:rPr>
              <w:t>290</w:t>
            </w:r>
          </w:p>
        </w:tc>
        <w:tc>
          <w:tcPr>
            <w:tcW w:w="1914" w:type="dxa"/>
          </w:tcPr>
          <w:p w14:paraId="41399C2A" w14:textId="77777777" w:rsidR="0034590E" w:rsidRPr="00CC66C1" w:rsidRDefault="0034590E" w:rsidP="00EC1C67">
            <w:pPr>
              <w:ind w:firstLine="0"/>
              <w:jc w:val="center"/>
              <w:rPr>
                <w:szCs w:val="24"/>
                <w:lang w:val="en-US"/>
              </w:rPr>
            </w:pPr>
            <w:r w:rsidRPr="00CC66C1">
              <w:rPr>
                <w:szCs w:val="24"/>
                <w:lang w:val="en-US"/>
              </w:rPr>
              <w:t>308</w:t>
            </w:r>
          </w:p>
        </w:tc>
        <w:tc>
          <w:tcPr>
            <w:tcW w:w="1914" w:type="dxa"/>
          </w:tcPr>
          <w:p w14:paraId="5A28DC2F" w14:textId="77777777" w:rsidR="0034590E" w:rsidRPr="00CC66C1" w:rsidRDefault="0034590E" w:rsidP="00EC1C67">
            <w:pPr>
              <w:ind w:firstLine="0"/>
              <w:jc w:val="center"/>
              <w:rPr>
                <w:szCs w:val="24"/>
              </w:rPr>
            </w:pPr>
            <w:r w:rsidRPr="00CC66C1">
              <w:rPr>
                <w:szCs w:val="24"/>
              </w:rPr>
              <w:t>273</w:t>
            </w:r>
          </w:p>
        </w:tc>
        <w:tc>
          <w:tcPr>
            <w:tcW w:w="1915" w:type="dxa"/>
          </w:tcPr>
          <w:p w14:paraId="6C93EA9C" w14:textId="77777777" w:rsidR="0034590E" w:rsidRPr="00CC66C1" w:rsidRDefault="0034590E" w:rsidP="00EC1C67">
            <w:pPr>
              <w:ind w:firstLine="0"/>
              <w:jc w:val="center"/>
              <w:rPr>
                <w:szCs w:val="24"/>
              </w:rPr>
            </w:pPr>
            <w:r w:rsidRPr="00CC66C1">
              <w:rPr>
                <w:szCs w:val="24"/>
              </w:rPr>
              <w:t>295</w:t>
            </w:r>
          </w:p>
        </w:tc>
      </w:tr>
    </w:tbl>
    <w:p w14:paraId="680E372C" w14:textId="77777777" w:rsidR="0034590E" w:rsidRPr="00CC66C1" w:rsidRDefault="0034590E" w:rsidP="0034590E">
      <w:pPr>
        <w:rPr>
          <w:szCs w:val="24"/>
        </w:rPr>
      </w:pPr>
    </w:p>
    <w:p w14:paraId="04677598" w14:textId="77777777" w:rsidR="0034590E" w:rsidRPr="00CC66C1" w:rsidRDefault="0034590E" w:rsidP="0034590E">
      <w:pPr>
        <w:rPr>
          <w:i/>
          <w:szCs w:val="24"/>
          <w:u w:val="single"/>
        </w:rPr>
      </w:pPr>
      <w:r w:rsidRPr="00CC66C1">
        <w:rPr>
          <w:i/>
          <w:szCs w:val="24"/>
          <w:u w:val="single"/>
        </w:rPr>
        <w:t>Показания к проведению инфузионной терапии</w:t>
      </w:r>
    </w:p>
    <w:p w14:paraId="101708A9" w14:textId="77777777" w:rsidR="0034590E" w:rsidRPr="00CC66C1" w:rsidRDefault="0034590E" w:rsidP="0034590E">
      <w:pPr>
        <w:rPr>
          <w:szCs w:val="24"/>
        </w:rPr>
      </w:pPr>
      <w:r w:rsidRPr="00CC66C1">
        <w:rPr>
          <w:szCs w:val="24"/>
        </w:rPr>
        <w:t>Основными показаниями для инфузионной терапии у пацментов с онкогематологическими заболеваниями (лейкозы, лимфомы) являются:</w:t>
      </w:r>
    </w:p>
    <w:p w14:paraId="5EB3F6F6" w14:textId="77777777" w:rsidR="0034590E" w:rsidRPr="00CC66C1" w:rsidRDefault="0034590E" w:rsidP="00A72B1B">
      <w:pPr>
        <w:pStyle w:val="afd"/>
        <w:numPr>
          <w:ilvl w:val="0"/>
          <w:numId w:val="37"/>
        </w:numPr>
        <w:rPr>
          <w:szCs w:val="24"/>
        </w:rPr>
      </w:pPr>
      <w:r w:rsidRPr="00CC66C1">
        <w:rPr>
          <w:szCs w:val="24"/>
        </w:rPr>
        <w:t>Дегидратация,</w:t>
      </w:r>
      <w:r w:rsidRPr="00CC66C1">
        <w:rPr>
          <w:i/>
          <w:szCs w:val="24"/>
        </w:rPr>
        <w:t xml:space="preserve"> </w:t>
      </w:r>
      <w:r w:rsidRPr="00CC66C1">
        <w:rPr>
          <w:szCs w:val="24"/>
        </w:rPr>
        <w:t>причинами которой могут быть диарея, перспирация (вследствие лихорадки), рвота, алиментарная недостаточность.</w:t>
      </w:r>
    </w:p>
    <w:p w14:paraId="391624B8" w14:textId="77777777" w:rsidR="0034590E" w:rsidRPr="00CC66C1" w:rsidRDefault="0034590E" w:rsidP="00A72B1B">
      <w:pPr>
        <w:pStyle w:val="afd"/>
        <w:numPr>
          <w:ilvl w:val="0"/>
          <w:numId w:val="37"/>
        </w:numPr>
        <w:rPr>
          <w:szCs w:val="24"/>
        </w:rPr>
      </w:pPr>
      <w:r w:rsidRPr="00CC66C1">
        <w:rPr>
          <w:szCs w:val="24"/>
        </w:rPr>
        <w:lastRenderedPageBreak/>
        <w:t>Гиповолемия или дефицит объема циркулирующей крови (например, при кровотечении у гематологических пациентов).</w:t>
      </w:r>
    </w:p>
    <w:p w14:paraId="218B6928" w14:textId="77777777" w:rsidR="0034590E" w:rsidRPr="00CC66C1" w:rsidRDefault="0034590E" w:rsidP="00A72B1B">
      <w:pPr>
        <w:pStyle w:val="afd"/>
        <w:numPr>
          <w:ilvl w:val="0"/>
          <w:numId w:val="37"/>
        </w:numPr>
        <w:rPr>
          <w:szCs w:val="24"/>
        </w:rPr>
      </w:pPr>
      <w:r w:rsidRPr="00CC66C1">
        <w:rPr>
          <w:szCs w:val="24"/>
        </w:rPr>
        <w:t xml:space="preserve">Проведение форсированного диуреза для профилактики синдрома лизиса опухоли. </w:t>
      </w:r>
    </w:p>
    <w:p w14:paraId="7C4DF3DA" w14:textId="77777777" w:rsidR="0034590E" w:rsidRPr="00CC66C1" w:rsidRDefault="0034590E" w:rsidP="00A72B1B">
      <w:pPr>
        <w:pStyle w:val="afd"/>
        <w:numPr>
          <w:ilvl w:val="0"/>
          <w:numId w:val="37"/>
        </w:numPr>
        <w:rPr>
          <w:szCs w:val="24"/>
        </w:rPr>
      </w:pPr>
      <w:r w:rsidRPr="00CC66C1">
        <w:rPr>
          <w:szCs w:val="24"/>
        </w:rPr>
        <w:t xml:space="preserve">Проведение терапевтической гемоделюции (для лечения ишемических и тромботических осложнений). </w:t>
      </w:r>
    </w:p>
    <w:p w14:paraId="5590E79B" w14:textId="77777777" w:rsidR="0034590E" w:rsidRPr="00CC66C1" w:rsidRDefault="0034590E" w:rsidP="00A72B1B">
      <w:pPr>
        <w:pStyle w:val="afd"/>
        <w:numPr>
          <w:ilvl w:val="0"/>
          <w:numId w:val="37"/>
        </w:numPr>
        <w:rPr>
          <w:szCs w:val="24"/>
        </w:rPr>
      </w:pPr>
      <w:r w:rsidRPr="00CC66C1">
        <w:rPr>
          <w:szCs w:val="24"/>
        </w:rPr>
        <w:t xml:space="preserve">Коррекция электролитных нарушений. </w:t>
      </w:r>
    </w:p>
    <w:p w14:paraId="3312176D" w14:textId="77777777" w:rsidR="0034590E" w:rsidRPr="00CC66C1" w:rsidRDefault="0034590E" w:rsidP="00A72B1B">
      <w:pPr>
        <w:pStyle w:val="afd"/>
        <w:numPr>
          <w:ilvl w:val="0"/>
          <w:numId w:val="37"/>
        </w:numPr>
        <w:rPr>
          <w:szCs w:val="24"/>
        </w:rPr>
      </w:pPr>
      <w:r w:rsidRPr="00CC66C1">
        <w:rPr>
          <w:szCs w:val="24"/>
        </w:rPr>
        <w:t xml:space="preserve">Дезинтоксикационная терапия. </w:t>
      </w:r>
    </w:p>
    <w:p w14:paraId="58197C93" w14:textId="77777777" w:rsidR="0034590E" w:rsidRDefault="0034590E" w:rsidP="0034590E">
      <w:pPr>
        <w:rPr>
          <w:b/>
          <w:szCs w:val="24"/>
        </w:rPr>
      </w:pPr>
    </w:p>
    <w:p w14:paraId="64CCF448" w14:textId="496B6F95" w:rsidR="0034590E" w:rsidRPr="0048699E" w:rsidRDefault="0034590E" w:rsidP="0034590E">
      <w:pPr>
        <w:rPr>
          <w:i/>
          <w:szCs w:val="24"/>
          <w:u w:val="single"/>
          <w:lang w:val="en-US"/>
        </w:rPr>
      </w:pPr>
      <w:r w:rsidRPr="00CC66C1">
        <w:rPr>
          <w:i/>
          <w:szCs w:val="24"/>
          <w:u w:val="single"/>
        </w:rPr>
        <w:t>Выбор инфузионных растворов</w:t>
      </w:r>
      <w:r>
        <w:rPr>
          <w:i/>
          <w:szCs w:val="24"/>
          <w:u w:val="single"/>
        </w:rPr>
        <w:t xml:space="preserve"> </w:t>
      </w:r>
      <w:r>
        <w:rPr>
          <w:i/>
          <w:szCs w:val="24"/>
          <w:u w:val="single"/>
        </w:rPr>
        <w:fldChar w:fldCharType="begin" w:fldLock="1"/>
      </w:r>
      <w:r w:rsidR="00F44253">
        <w:rPr>
          <w:i/>
          <w:szCs w:val="24"/>
          <w:u w:val="single"/>
        </w:rPr>
        <w:instrText>ADDIN CSL_CITATION {"citationItems":[{"id":"ITEM-1","itemData":{"DOI":"10.1007/s40620-016-0363-9","ISSN":"17246059","PMID":"27900717","abstract":"The topic of intravenous (IV) fluids may be regarded as “reverse nephrology”, because nephrologists usually treat to remove fluids rather than to infuse them. However, because nephrology is deeply rooted in fluid, electrolyte, and acid-base balance, IV fluids belong in the realm of our specialty. The field of IV fluid therapy is in motion due to the increasing use of balanced crystalloids, partly fueled by the advent of new solutions. This review aims to capture these recent developments by critically evaluating the current evidence base. It will review both indications and complications of IV fluid therapy, including the characteristics of the currently available solutions. It will also cover the use of IV fluids in specific settings such as kidney transplantation and pediatrics. Finally, this review will address the pathogenesis of saline-induced hyperchloremic acidosis, its potential effect on outcomes, and the question if this should lead to a definitive switch to balanced solutions.","author":[{"dropping-particle":"","family":"Hoorn","given":"Ewout J.","non-dropping-particle":"","parse-names":false,"suffix":""}],"container-title":"Journal of Nephrology","id":"ITEM-1","issue":"4","issued":{"date-parts":[["2017","8","1"]]},"page":"485-492","publisher":"Springer New York LLC","title":"Intravenous fluids: balancing solutions","type":"article","volume":"30"},"uris":["http://www.mendeley.com/documents/?uuid=5b8712a4-69fa-3f35-a7d0-5673405bd845"]}],"mendeley":{"formattedCitation":"[82]","plainTextFormattedCitation":"[82]","previouslyFormattedCitation":"[82]"},"properties":{"noteIndex":0},"schema":"https://github.com/citation-style-language/schema/raw/master/csl-citation.json"}</w:instrText>
      </w:r>
      <w:r>
        <w:rPr>
          <w:i/>
          <w:szCs w:val="24"/>
          <w:u w:val="single"/>
        </w:rPr>
        <w:fldChar w:fldCharType="separate"/>
      </w:r>
      <w:r w:rsidR="004D13EB" w:rsidRPr="004D13EB">
        <w:rPr>
          <w:noProof/>
          <w:szCs w:val="24"/>
        </w:rPr>
        <w:t>[82]</w:t>
      </w:r>
      <w:r>
        <w:rPr>
          <w:i/>
          <w:szCs w:val="24"/>
          <w:u w:val="single"/>
        </w:rPr>
        <w:fldChar w:fldCharType="end"/>
      </w:r>
    </w:p>
    <w:p w14:paraId="25C4690A" w14:textId="77777777" w:rsidR="0034590E" w:rsidRPr="00CC66C1" w:rsidRDefault="0034590E" w:rsidP="0034590E">
      <w:pPr>
        <w:rPr>
          <w:szCs w:val="24"/>
        </w:rPr>
      </w:pPr>
      <w:r w:rsidRPr="00CC66C1">
        <w:rPr>
          <w:szCs w:val="24"/>
        </w:rPr>
        <w:t>Сбалансированные полиэлектролитные растворы применяются для коррекции дегидратации, форсированного диуреза, терапевтической гемоделюции.</w:t>
      </w:r>
    </w:p>
    <w:p w14:paraId="7AFE7A46" w14:textId="77777777" w:rsidR="0034590E" w:rsidRPr="00CC66C1" w:rsidRDefault="0034590E" w:rsidP="0034590E">
      <w:pPr>
        <w:rPr>
          <w:szCs w:val="24"/>
        </w:rPr>
      </w:pPr>
      <w:r w:rsidRPr="00CC66C1">
        <w:rPr>
          <w:szCs w:val="24"/>
        </w:rPr>
        <w:t>Коллоидные растворы (такие как раствор альбумина), используются в сочетании с кристаллоидными для коррекции гиповолемии. Допустимо использовать только кристаллоидные растворы для коррекции гиповолемии легкой степени.</w:t>
      </w:r>
    </w:p>
    <w:p w14:paraId="0FA5C0E0" w14:textId="77777777" w:rsidR="0034590E" w:rsidRPr="00CC66C1" w:rsidRDefault="0034590E" w:rsidP="0034590E">
      <w:pPr>
        <w:rPr>
          <w:szCs w:val="24"/>
        </w:rPr>
      </w:pPr>
      <w:r w:rsidRPr="00CC66C1">
        <w:rPr>
          <w:szCs w:val="24"/>
        </w:rPr>
        <w:t>Для разведения лекарственных препаратов используется 0,9% раствор натрия хлорида, что исключает выпадения солей кальция в приготовленном растворе.</w:t>
      </w:r>
    </w:p>
    <w:p w14:paraId="64E50526" w14:textId="77777777" w:rsidR="0034590E" w:rsidRPr="00CC66C1" w:rsidRDefault="0034590E" w:rsidP="0034590E">
      <w:pPr>
        <w:rPr>
          <w:szCs w:val="24"/>
        </w:rPr>
      </w:pPr>
      <w:r w:rsidRPr="00CC66C1">
        <w:rPr>
          <w:szCs w:val="24"/>
        </w:rPr>
        <w:t xml:space="preserve">Объем инфузионной терапии определяется клиническими показаниями. </w:t>
      </w:r>
    </w:p>
    <w:p w14:paraId="4103705A" w14:textId="77777777" w:rsidR="0034590E" w:rsidRDefault="0034590E" w:rsidP="0034590E">
      <w:pPr>
        <w:rPr>
          <w:b/>
          <w:szCs w:val="24"/>
        </w:rPr>
      </w:pPr>
    </w:p>
    <w:p w14:paraId="3BF9F59A" w14:textId="77777777" w:rsidR="0034590E" w:rsidRPr="00CC66C1" w:rsidRDefault="0034590E" w:rsidP="0034590E">
      <w:pPr>
        <w:rPr>
          <w:i/>
          <w:szCs w:val="24"/>
          <w:u w:val="single"/>
        </w:rPr>
      </w:pPr>
      <w:r w:rsidRPr="00CC66C1">
        <w:rPr>
          <w:i/>
          <w:szCs w:val="24"/>
          <w:u w:val="single"/>
        </w:rPr>
        <w:t>Алгоритм действия врача</w:t>
      </w:r>
    </w:p>
    <w:p w14:paraId="7F4FE4AA" w14:textId="77777777" w:rsidR="0034590E" w:rsidRPr="00CC66C1" w:rsidRDefault="0034590E" w:rsidP="00A72B1B">
      <w:pPr>
        <w:pStyle w:val="afd"/>
        <w:numPr>
          <w:ilvl w:val="0"/>
          <w:numId w:val="38"/>
        </w:numPr>
        <w:rPr>
          <w:szCs w:val="24"/>
        </w:rPr>
      </w:pPr>
      <w:r w:rsidRPr="00CC66C1">
        <w:rPr>
          <w:szCs w:val="24"/>
        </w:rPr>
        <w:t>Определение показаний для инфузионная терапии.</w:t>
      </w:r>
    </w:p>
    <w:p w14:paraId="37045827" w14:textId="77777777" w:rsidR="0034590E" w:rsidRPr="00CC66C1" w:rsidRDefault="0034590E" w:rsidP="00A72B1B">
      <w:pPr>
        <w:pStyle w:val="afd"/>
        <w:numPr>
          <w:ilvl w:val="0"/>
          <w:numId w:val="38"/>
        </w:numPr>
        <w:rPr>
          <w:szCs w:val="24"/>
        </w:rPr>
      </w:pPr>
      <w:r w:rsidRPr="00CC66C1">
        <w:rPr>
          <w:szCs w:val="24"/>
        </w:rPr>
        <w:t>Выбор инфузионного раствора в зависимости от показаний.</w:t>
      </w:r>
    </w:p>
    <w:p w14:paraId="3CB69687" w14:textId="77777777" w:rsidR="0034590E" w:rsidRPr="00CC66C1" w:rsidRDefault="0034590E" w:rsidP="00A72B1B">
      <w:pPr>
        <w:pStyle w:val="afd"/>
        <w:numPr>
          <w:ilvl w:val="0"/>
          <w:numId w:val="38"/>
        </w:numPr>
        <w:rPr>
          <w:szCs w:val="24"/>
        </w:rPr>
      </w:pPr>
      <w:r w:rsidRPr="00CC66C1">
        <w:rPr>
          <w:szCs w:val="24"/>
        </w:rPr>
        <w:t>Оценка волемического статуса пациента (оценка частоты сердечных сокращений, артериального давления, тургора кожи, влажности слизистых, темпа диуреза и др.). Центральное венозное давление (ЦВД) не является единственным показателем волемического статуса больного и часто может не отражать истинное состояние. Так, у больного с легочной гипертензией и гиповолемией ЦВД может превышать нормальные значения.</w:t>
      </w:r>
    </w:p>
    <w:p w14:paraId="43B98206" w14:textId="77777777" w:rsidR="0034590E" w:rsidRPr="00CC66C1" w:rsidRDefault="0034590E" w:rsidP="00A72B1B">
      <w:pPr>
        <w:pStyle w:val="afd"/>
        <w:numPr>
          <w:ilvl w:val="0"/>
          <w:numId w:val="38"/>
        </w:numPr>
        <w:rPr>
          <w:szCs w:val="24"/>
        </w:rPr>
      </w:pPr>
      <w:r w:rsidRPr="00CC66C1">
        <w:rPr>
          <w:szCs w:val="24"/>
        </w:rPr>
        <w:t>Обеспечение сосудистого доступа. Проведение инфузионной терапии и оценка ее эффекта (частота сердечных сокращений, артериальное давление, тургор кожи, влажность слизистых, темп диуреза и др.).</w:t>
      </w:r>
    </w:p>
    <w:p w14:paraId="3EBDF6DF" w14:textId="77777777" w:rsidR="0034590E" w:rsidRPr="00CC66C1" w:rsidRDefault="0034590E" w:rsidP="0034590E">
      <w:pPr>
        <w:widowControl w:val="0"/>
        <w:autoSpaceDE w:val="0"/>
        <w:autoSpaceDN w:val="0"/>
        <w:adjustRightInd w:val="0"/>
        <w:rPr>
          <w:szCs w:val="24"/>
        </w:rPr>
      </w:pPr>
    </w:p>
    <w:p w14:paraId="18B4A8EC" w14:textId="77777777" w:rsidR="0034590E" w:rsidRDefault="0034590E" w:rsidP="0034590E">
      <w:pPr>
        <w:pStyle w:val="2"/>
        <w:spacing w:before="0"/>
      </w:pPr>
      <w:bookmarkStart w:id="121" w:name="_Toc101882894"/>
      <w:r w:rsidRPr="006641A3">
        <w:t>Приложение А3.</w:t>
      </w:r>
      <w:r>
        <w:t xml:space="preserve">5. </w:t>
      </w:r>
      <w:bookmarkStart w:id="122" w:name="_Toc64477951"/>
      <w:r>
        <w:t>Применение</w:t>
      </w:r>
      <w:r w:rsidRPr="009848E0">
        <w:t xml:space="preserve"> компонентов донорской крови у </w:t>
      </w:r>
      <w:r>
        <w:t xml:space="preserve">гематологических </w:t>
      </w:r>
      <w:r w:rsidRPr="009848E0">
        <w:t>пациентов</w:t>
      </w:r>
      <w:bookmarkEnd w:id="121"/>
      <w:bookmarkEnd w:id="122"/>
    </w:p>
    <w:p w14:paraId="65C12C64" w14:textId="77777777" w:rsidR="0034590E" w:rsidRPr="00BE7AD6" w:rsidRDefault="0034590E" w:rsidP="0034590E">
      <w:pPr>
        <w:pStyle w:val="affff"/>
        <w:spacing w:beforeAutospacing="0" w:afterAutospacing="0" w:line="360" w:lineRule="auto"/>
      </w:pPr>
      <w:r w:rsidRPr="00BE7AD6">
        <w:lastRenderedPageBreak/>
        <w:t xml:space="preserve">Основным медицинским показанием к трансфузии эритроцитов у гематологических пациентов является неадекватная оксигенация органов и тканей и связанный с этим риск осложнений. Переливание донорских тромбоцитов гематологическим пациентам проводят c целью профилактики спонтанных геморрагических осложнений на фоне глубокой тромбоцитопении, индуцированной проведением интенсивной химиотерапии, или с лечебной целью пациентам с уже имеющимися геморрагическими осложнениями. При необходимости восполнения дефицита факторов свертывания универсальным препаратом на сегодняшний день является свежезамороженная плазма (СЗП).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факторы свертывания крови (B02BD по АТХ классификации), ингибиторы протеаз, ингибиторы фибринолиза (B02A по АТХ классификации). Трансфузии СЗП показаны также для возмещения объема при проведении процедур плазмафереза при гиперлейкоцитозе, Выбор конкретного вида компонента крови для гемотрансфузии (тип эритроцитосодержащего компонента крови, тип концентрата тромбоцитов, тип препарата плазмы) осуществляется лечащим врачом или врачом-трансфузиологом в соответствии с клинической ситуаций и на основании Приказа Минздрава России от 28.10.2020 N 1170н </w:t>
      </w:r>
      <w:r>
        <w:t>«</w:t>
      </w:r>
      <w:r w:rsidRPr="00BE7AD6">
        <w:t>Об утверждении порядка оказания медицинской помощи населению по профилю "трансфузиология"</w:t>
      </w:r>
      <w:r>
        <w:t>»</w:t>
      </w:r>
      <w:r w:rsidRPr="00BE7AD6">
        <w:t>, Приказа Минздрава России от 20.10.2020 N 1134н «О порядке медицинского обследования реципиента, проведения проб на индивидуальную совместимость, включая биологическую пробу, при трансфузии донорской крови и (или) ее компонентов», рекомендациями «Клиническое использование эритроцитсодержащих компонентов крови»  (2018 г.), Постановления от 22.06.2019 г. N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  другими нормативными актами.</w:t>
      </w:r>
    </w:p>
    <w:p w14:paraId="3ED0DD2F" w14:textId="77777777" w:rsidR="0034590E" w:rsidRPr="00BE7AD6" w:rsidRDefault="0034590E" w:rsidP="0034590E"/>
    <w:p w14:paraId="6DC21A48" w14:textId="77777777" w:rsidR="0034590E" w:rsidRPr="00334941" w:rsidRDefault="0034590E" w:rsidP="0034590E">
      <w:pPr>
        <w:pStyle w:val="affff"/>
        <w:spacing w:beforeAutospacing="0" w:afterAutospacing="0" w:line="360" w:lineRule="auto"/>
        <w:rPr>
          <w:b/>
          <w:bCs/>
        </w:rPr>
      </w:pPr>
      <w:r w:rsidRPr="00334941">
        <w:rPr>
          <w:b/>
          <w:bCs/>
        </w:rPr>
        <w:t>Трансфузии эритроцитосодержащих компонентов крови (ЭСК)</w:t>
      </w:r>
    </w:p>
    <w:p w14:paraId="4A771D90" w14:textId="77777777" w:rsidR="0034590E" w:rsidRPr="00334941" w:rsidRDefault="0034590E" w:rsidP="0034590E">
      <w:pPr>
        <w:pStyle w:val="affff"/>
        <w:spacing w:beforeAutospacing="0" w:afterAutospacing="0" w:line="360" w:lineRule="auto"/>
        <w:rPr>
          <w:i/>
          <w:iCs/>
        </w:rPr>
      </w:pPr>
      <w:r w:rsidRPr="00334941">
        <w:rPr>
          <w:i/>
          <w:iCs/>
        </w:rPr>
        <w:t>Необходимые исследования до трансфузии</w:t>
      </w:r>
    </w:p>
    <w:p w14:paraId="56B5FC3F" w14:textId="77777777" w:rsidR="0034590E" w:rsidRPr="00BE7AD6" w:rsidRDefault="0034590E" w:rsidP="0034590E">
      <w:pPr>
        <w:pStyle w:val="affff"/>
        <w:spacing w:beforeAutospacing="0" w:afterAutospacing="0" w:line="360" w:lineRule="auto"/>
      </w:pPr>
      <w:r w:rsidRPr="00BE7AD6">
        <w:t xml:space="preserve">Всем гематологическим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резус-принадлежности с внесением результатов определения в </w:t>
      </w:r>
      <w:r w:rsidRPr="00BE7AD6">
        <w:lastRenderedPageBreak/>
        <w:t xml:space="preserve">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1E9ADC0C" w14:textId="77777777" w:rsidR="0034590E" w:rsidRPr="00BE7AD6" w:rsidRDefault="0034590E" w:rsidP="00A72B1B">
      <w:pPr>
        <w:pStyle w:val="affff"/>
        <w:numPr>
          <w:ilvl w:val="0"/>
          <w:numId w:val="61"/>
        </w:numPr>
        <w:spacing w:beforeAutospacing="0" w:afterAutospacing="0" w:line="360" w:lineRule="auto"/>
      </w:pPr>
      <w:r w:rsidRPr="00BE7AD6">
        <w:t xml:space="preserve">определение основных групп крови по системе AB0, определение антигена D системы Резус (резус-фактор); </w:t>
      </w:r>
    </w:p>
    <w:p w14:paraId="35F88610" w14:textId="77777777" w:rsidR="0034590E" w:rsidRPr="00BE7AD6" w:rsidRDefault="0034590E" w:rsidP="00A72B1B">
      <w:pPr>
        <w:pStyle w:val="affff"/>
        <w:numPr>
          <w:ilvl w:val="0"/>
          <w:numId w:val="61"/>
        </w:numPr>
        <w:spacing w:beforeAutospacing="0" w:afterAutospacing="0" w:line="360" w:lineRule="auto"/>
      </w:pPr>
      <w:r w:rsidRPr="00BE7AD6">
        <w:t xml:space="preserve">определение подгруппы и других групп крови меньшего значения A-1, A-2, D, Cc, E, Kell, Duffy; </w:t>
      </w:r>
    </w:p>
    <w:p w14:paraId="1A3BD527" w14:textId="77777777" w:rsidR="0034590E" w:rsidRPr="00BE7AD6" w:rsidRDefault="0034590E" w:rsidP="00A72B1B">
      <w:pPr>
        <w:pStyle w:val="affff"/>
        <w:numPr>
          <w:ilvl w:val="0"/>
          <w:numId w:val="61"/>
        </w:numPr>
        <w:spacing w:beforeAutospacing="0" w:afterAutospacing="0" w:line="360" w:lineRule="auto"/>
      </w:pPr>
      <w:r w:rsidRPr="00BE7AD6">
        <w:t>определение содержания аллоиммунных антител к антигенам гранулоцитов с использованием не менее 3 образцов тест-эритроцитов.</w:t>
      </w:r>
    </w:p>
    <w:p w14:paraId="046CFBA2" w14:textId="77777777" w:rsidR="0034590E" w:rsidRPr="00BE7AD6" w:rsidRDefault="0034590E" w:rsidP="0034590E">
      <w:pPr>
        <w:pStyle w:val="affff"/>
        <w:spacing w:beforeAutospacing="0" w:afterAutospacing="0" w:line="360" w:lineRule="auto"/>
      </w:pPr>
      <w:r w:rsidRPr="00BE7AD6">
        <w:t>При совпадении результатов определения антигенов эритроцитов Cc, E, Kell, проведенных дважды в организации, осуществляющей клиническое использование донорской крови и ее компонентов, антигены эритроцитов Cc, E, Kell считаются установленными и в дальнейшем не определяются.</w:t>
      </w:r>
    </w:p>
    <w:p w14:paraId="63FE2DBF" w14:textId="77777777" w:rsidR="0034590E" w:rsidRPr="00BE7AD6" w:rsidRDefault="0034590E" w:rsidP="0034590E">
      <w:pPr>
        <w:pStyle w:val="affff"/>
        <w:spacing w:beforeAutospacing="0" w:afterAutospacing="0" w:line="360" w:lineRule="auto"/>
      </w:pPr>
      <w:r w:rsidRPr="00BE7AD6">
        <w:t>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иными медицинскими организациями, в которых больному ранее была оказана медицинская помощь или проводилось медицинское обследование.</w:t>
      </w:r>
    </w:p>
    <w:p w14:paraId="292DE58F" w14:textId="77777777" w:rsidR="0034590E" w:rsidRPr="00BE7AD6" w:rsidRDefault="0034590E" w:rsidP="0034590E">
      <w:pPr>
        <w:pStyle w:val="affff"/>
        <w:spacing w:beforeAutospacing="0" w:afterAutospacing="0" w:line="360" w:lineRule="auto"/>
      </w:pPr>
      <w:r w:rsidRPr="00BE7AD6">
        <w:t>В целях профилактики реакций и осложнений в связи с трансфузией используются ЭСК, идентичные или совместимые по системе AB0, резус-принадлежности и K. При плановых трансфузиях ЭСК дополнительно учитывают совместимость донора и реципиента по антигенам эритроцитов C, c, E, e, СW.</w:t>
      </w:r>
    </w:p>
    <w:p w14:paraId="60CC6B60" w14:textId="77777777" w:rsidR="0034590E" w:rsidRPr="00BE7AD6" w:rsidRDefault="0034590E" w:rsidP="0034590E">
      <w:pPr>
        <w:pStyle w:val="affff"/>
        <w:spacing w:beforeAutospacing="0" w:afterAutospacing="0" w:line="360" w:lineRule="auto"/>
      </w:pPr>
      <w:r w:rsidRPr="00BE7AD6">
        <w:t xml:space="preserve">Индивидуальный подбор компонентов крови осуществляется реципиентам, имеющим: </w:t>
      </w:r>
    </w:p>
    <w:p w14:paraId="1D402635" w14:textId="77777777" w:rsidR="0034590E" w:rsidRPr="00BE7AD6" w:rsidRDefault="0034590E" w:rsidP="00A72B1B">
      <w:pPr>
        <w:pStyle w:val="affff"/>
        <w:numPr>
          <w:ilvl w:val="0"/>
          <w:numId w:val="62"/>
        </w:numPr>
        <w:spacing w:beforeAutospacing="0" w:afterAutospacing="0" w:line="360" w:lineRule="auto"/>
      </w:pPr>
      <w:r w:rsidRPr="00BE7AD6">
        <w:t>посттрансфузионные осложнения в анамнезе</w:t>
      </w:r>
    </w:p>
    <w:p w14:paraId="41067B0C" w14:textId="77777777" w:rsidR="0034590E" w:rsidRPr="00BE7AD6" w:rsidRDefault="0034590E" w:rsidP="00A72B1B">
      <w:pPr>
        <w:pStyle w:val="affff"/>
        <w:numPr>
          <w:ilvl w:val="0"/>
          <w:numId w:val="62"/>
        </w:numPr>
        <w:spacing w:beforeAutospacing="0" w:afterAutospacing="0" w:line="360" w:lineRule="auto"/>
      </w:pPr>
      <w:r w:rsidRPr="00BE7AD6">
        <w:t>беременность</w:t>
      </w:r>
    </w:p>
    <w:p w14:paraId="30AB5340" w14:textId="77777777" w:rsidR="0034590E" w:rsidRPr="00BE7AD6" w:rsidRDefault="0034590E" w:rsidP="00A72B1B">
      <w:pPr>
        <w:pStyle w:val="affff"/>
        <w:numPr>
          <w:ilvl w:val="0"/>
          <w:numId w:val="62"/>
        </w:numPr>
        <w:spacing w:beforeAutospacing="0" w:afterAutospacing="0" w:line="360" w:lineRule="auto"/>
      </w:pPr>
      <w:r w:rsidRPr="00BE7AD6">
        <w:t>рождение детей с гемолитической болезнью новорожденного в анамнезе</w:t>
      </w:r>
    </w:p>
    <w:p w14:paraId="37A59A90" w14:textId="77777777" w:rsidR="0034590E" w:rsidRPr="00BE7AD6" w:rsidRDefault="0034590E" w:rsidP="00A72B1B">
      <w:pPr>
        <w:pStyle w:val="affff"/>
        <w:numPr>
          <w:ilvl w:val="0"/>
          <w:numId w:val="62"/>
        </w:numPr>
        <w:spacing w:beforeAutospacing="0" w:afterAutospacing="0" w:line="360" w:lineRule="auto"/>
      </w:pPr>
      <w:r w:rsidRPr="00BE7AD6">
        <w:t xml:space="preserve">аллоиммунные антитела. </w:t>
      </w:r>
    </w:p>
    <w:p w14:paraId="672757C2" w14:textId="77777777" w:rsidR="0034590E" w:rsidRPr="00BE7AD6" w:rsidRDefault="0034590E" w:rsidP="0034590E">
      <w:pPr>
        <w:pStyle w:val="affff"/>
        <w:spacing w:beforeAutospacing="0" w:afterAutospacing="0" w:line="360" w:lineRule="auto"/>
      </w:pPr>
      <w:r w:rsidRPr="00BE7AD6">
        <w:t>Индивидуальный подбор не отменяет постановку пробы на совместимость на плоскости при комнатной температуре и биологическую пробу врачом, проводящим трансфузию.</w:t>
      </w:r>
    </w:p>
    <w:p w14:paraId="6B5E9852" w14:textId="77777777" w:rsidR="0034590E" w:rsidRPr="00BE7AD6" w:rsidRDefault="0034590E" w:rsidP="0034590E">
      <w:pPr>
        <w:pStyle w:val="affff"/>
        <w:spacing w:beforeAutospacing="0" w:afterAutospacing="0" w:line="360" w:lineRule="auto"/>
      </w:pPr>
      <w:r w:rsidRPr="00BE7AD6">
        <w:t>При определении показаний к трансфузиям компонентов донорской крови обязательно проводятся следующие лабораторные исследования:</w:t>
      </w:r>
    </w:p>
    <w:p w14:paraId="270682BE" w14:textId="77777777" w:rsidR="0034590E" w:rsidRPr="00BE7AD6" w:rsidRDefault="0034590E" w:rsidP="0034590E">
      <w:pPr>
        <w:pStyle w:val="affff"/>
        <w:spacing w:beforeAutospacing="0" w:afterAutospacing="0" w:line="360" w:lineRule="auto"/>
      </w:pPr>
      <w:r w:rsidRPr="00BE7AD6">
        <w:lastRenderedPageBreak/>
        <w:t>Перед трансфузией клеточных компонентов донорской крови (эритроцитная взвесь, концентрат тромбоцитов) - общий (клинический) анализ крови</w:t>
      </w:r>
    </w:p>
    <w:p w14:paraId="3FD27DBA" w14:textId="77777777" w:rsidR="0034590E" w:rsidRPr="00BE7AD6" w:rsidRDefault="0034590E" w:rsidP="0034590E">
      <w:pPr>
        <w:pStyle w:val="affff"/>
        <w:spacing w:beforeAutospacing="0" w:afterAutospacing="0" w:line="360" w:lineRule="auto"/>
      </w:pPr>
      <w:r w:rsidRPr="00BE7AD6">
        <w:t>Перед трансфузией СЗП, криопреципитата и криосупернатантной плазмы - коагулограмма (ориентировочное исследования системы гемостаза).</w:t>
      </w:r>
    </w:p>
    <w:p w14:paraId="092E2616" w14:textId="77777777" w:rsidR="0034590E" w:rsidRDefault="0034590E" w:rsidP="0034590E">
      <w:pPr>
        <w:pStyle w:val="affff"/>
        <w:spacing w:beforeAutospacing="0" w:afterAutospacing="0" w:line="360" w:lineRule="auto"/>
      </w:pPr>
    </w:p>
    <w:p w14:paraId="4A77C17B" w14:textId="77777777" w:rsidR="0034590E" w:rsidRPr="00334941" w:rsidRDefault="0034590E" w:rsidP="0034590E">
      <w:pPr>
        <w:pStyle w:val="affff"/>
        <w:spacing w:beforeAutospacing="0" w:afterAutospacing="0" w:line="360" w:lineRule="auto"/>
        <w:rPr>
          <w:i/>
          <w:iCs/>
        </w:rPr>
      </w:pPr>
      <w:r w:rsidRPr="00334941">
        <w:rPr>
          <w:i/>
          <w:iCs/>
        </w:rPr>
        <w:t>Показания к переливанию ЭСК</w:t>
      </w:r>
    </w:p>
    <w:p w14:paraId="6F465AF5" w14:textId="77777777" w:rsidR="0034590E" w:rsidRPr="00BE7AD6" w:rsidRDefault="0034590E" w:rsidP="0034590E">
      <w:pPr>
        <w:pStyle w:val="affff"/>
        <w:spacing w:beforeAutospacing="0" w:afterAutospacing="0" w:line="360" w:lineRule="auto"/>
      </w:pPr>
      <w:r w:rsidRPr="00BE7AD6">
        <w:t>Пациентам с хронической анемией переливание показано при уровне гемоглобина &lt; 60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791C4995" w14:textId="77777777" w:rsidR="0034590E" w:rsidRPr="00BE7AD6" w:rsidRDefault="0034590E" w:rsidP="0034590E">
      <w:pPr>
        <w:pStyle w:val="affff"/>
        <w:spacing w:beforeAutospacing="0" w:afterAutospacing="0" w:line="360" w:lineRule="auto"/>
      </w:pPr>
      <w:r w:rsidRPr="00BE7AD6">
        <w:t>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 уровне гемоглобина &lt; 100 г/л.</w:t>
      </w:r>
    </w:p>
    <w:p w14:paraId="4D3FDE93" w14:textId="77777777" w:rsidR="0034590E" w:rsidRPr="00BE7AD6" w:rsidRDefault="0034590E" w:rsidP="0034590E">
      <w:pPr>
        <w:pStyle w:val="affff"/>
        <w:spacing w:beforeAutospacing="0" w:afterAutospacing="0" w:line="360" w:lineRule="auto"/>
      </w:pPr>
      <w:r w:rsidRPr="00BE7AD6">
        <w:t>Пациентам старше 60 лет трансфузии эритроцитов показаны при уровне гемоглобина &lt; 100 г/л.</w:t>
      </w:r>
    </w:p>
    <w:p w14:paraId="264A9A93" w14:textId="77777777" w:rsidR="0034590E" w:rsidRPr="00BE7AD6" w:rsidRDefault="0034590E" w:rsidP="0034590E">
      <w:pPr>
        <w:pStyle w:val="affff"/>
        <w:spacing w:beforeAutospacing="0" w:afterAutospacing="0" w:line="360" w:lineRule="auto"/>
      </w:pPr>
      <w:r w:rsidRPr="00BE7AD6">
        <w:t>Беременным пациенткам с заболеваниями системы крови рекомендовано обеспечивать уровень гемоглобина в крови не менее 80 г/л.</w:t>
      </w:r>
    </w:p>
    <w:p w14:paraId="1718C5D5" w14:textId="77777777" w:rsidR="0034590E" w:rsidRPr="00BE7AD6" w:rsidRDefault="0034590E" w:rsidP="0034590E">
      <w:pPr>
        <w:pStyle w:val="affff"/>
        <w:spacing w:beforeAutospacing="0" w:afterAutospacing="0" w:line="360" w:lineRule="auto"/>
      </w:pPr>
      <w:r w:rsidRPr="00BE7AD6">
        <w:t>Кровопотеря, составляющая 15—30% от объема циркулирующей крови при наличии предшествующей анемии или сопутствующих кардиологических или пульмонологических заболеваниях.</w:t>
      </w:r>
    </w:p>
    <w:p w14:paraId="2C6A3A59" w14:textId="77777777" w:rsidR="0034590E" w:rsidRPr="00BE7AD6" w:rsidRDefault="0034590E" w:rsidP="0034590E">
      <w:pPr>
        <w:pStyle w:val="affff"/>
        <w:spacing w:beforeAutospacing="0" w:afterAutospacing="0" w:line="360" w:lineRule="auto"/>
      </w:pPr>
      <w:r w:rsidRPr="00BE7AD6">
        <w:t>Уровень гемоглобина ниже 70—90 г/л при активном кровотечении.</w:t>
      </w:r>
    </w:p>
    <w:p w14:paraId="024D2421" w14:textId="77777777" w:rsidR="0034590E" w:rsidRPr="00BE7AD6" w:rsidRDefault="0034590E" w:rsidP="0034590E">
      <w:pPr>
        <w:pStyle w:val="affff"/>
        <w:spacing w:beforeAutospacing="0" w:afterAutospacing="0" w:line="360" w:lineRule="auto"/>
      </w:pPr>
      <w:r w:rsidRPr="00BE7AD6">
        <w:t>Уровень гемоглобина &lt; 100 г/л у пациентов с черепно-мозговой травмой, субарахноидальным кровоизлиянием, хронической дыхательной недостаточностью, ишемической болезнью сердца, кардиохирургических пациентов, пожилых пациентов</w:t>
      </w:r>
      <w:r>
        <w:t>.</w:t>
      </w:r>
    </w:p>
    <w:p w14:paraId="646FB784" w14:textId="77777777" w:rsidR="0034590E" w:rsidRPr="00BE7AD6" w:rsidRDefault="0034590E" w:rsidP="0034590E">
      <w:pPr>
        <w:pStyle w:val="affff"/>
        <w:spacing w:beforeAutospacing="0" w:afterAutospacing="0" w:line="360" w:lineRule="auto"/>
      </w:pPr>
      <w:r w:rsidRPr="00BE7AD6">
        <w:t>Рекомендуется соблюдение формулы 1:1:1, обозначающей должное соотношение эритроцитов, СЗП и тромбоцитов.</w:t>
      </w:r>
    </w:p>
    <w:p w14:paraId="2CE01F45" w14:textId="77777777" w:rsidR="0034590E" w:rsidRPr="00BE7AD6" w:rsidRDefault="0034590E" w:rsidP="0034590E">
      <w:pPr>
        <w:pStyle w:val="affff"/>
        <w:spacing w:beforeAutospacing="0" w:afterAutospacing="0" w:line="360" w:lineRule="auto"/>
      </w:pPr>
    </w:p>
    <w:p w14:paraId="2D1C5C28" w14:textId="77777777" w:rsidR="0034590E" w:rsidRPr="00732ADF" w:rsidRDefault="0034590E" w:rsidP="0034590E">
      <w:pPr>
        <w:pStyle w:val="affff"/>
        <w:spacing w:beforeAutospacing="0" w:afterAutospacing="0" w:line="360" w:lineRule="auto"/>
        <w:rPr>
          <w:b/>
          <w:bCs/>
        </w:rPr>
      </w:pPr>
      <w:r w:rsidRPr="00732ADF">
        <w:rPr>
          <w:b/>
          <w:bCs/>
        </w:rPr>
        <w:t>Трансфузии концентрата тромбоцитов</w:t>
      </w:r>
    </w:p>
    <w:p w14:paraId="340825F3" w14:textId="77777777" w:rsidR="0034590E" w:rsidRPr="00BE7AD6" w:rsidRDefault="0034590E" w:rsidP="0034590E">
      <w:pPr>
        <w:pStyle w:val="affff"/>
        <w:spacing w:beforeAutospacing="0" w:afterAutospacing="0" w:line="360" w:lineRule="auto"/>
      </w:pPr>
      <w:r w:rsidRPr="00BE7AD6">
        <w:t>Считается, что пороговый уровень тромбоцитов у пациентов в стационаре, при котором проводятся профилактические трансфузии концентрата тромбоцитов, составляет 10х10</w:t>
      </w:r>
      <w:r w:rsidRPr="00732ADF">
        <w:rPr>
          <w:vertAlign w:val="superscript"/>
        </w:rPr>
        <w:t>9</w:t>
      </w:r>
      <w:r w:rsidRPr="00BE7AD6">
        <w:t>/л при условии отсутствия факторов риска кровотечения. Для амбулаторных пациентов это значение может быть увеличено. Медицинские манипуляции, например</w:t>
      </w:r>
      <w:r>
        <w:t xml:space="preserve"> </w:t>
      </w:r>
      <w:r w:rsidRPr="00BE7AD6">
        <w:t xml:space="preserve">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w:t>
      </w:r>
      <w:r w:rsidRPr="00BE7AD6">
        <w:lastRenderedPageBreak/>
        <w:t>периферической крови 20-30х10</w:t>
      </w:r>
      <w:r w:rsidRPr="00732ADF">
        <w:rPr>
          <w:vertAlign w:val="superscript"/>
        </w:rPr>
        <w:t>9</w:t>
      </w:r>
      <w:r w:rsidRPr="00BE7AD6">
        <w:t>/л и ниже, а перед люмбальной пункцией или объемной операцией пороговый уровень тромбоцитов повышается до 50х10</w:t>
      </w:r>
      <w:r w:rsidRPr="00732ADF">
        <w:rPr>
          <w:vertAlign w:val="superscript"/>
        </w:rPr>
        <w:t>9</w:t>
      </w:r>
      <w:r w:rsidRPr="00BE7AD6">
        <w:t xml:space="preserve">/л. </w:t>
      </w:r>
    </w:p>
    <w:p w14:paraId="37A4B6B1" w14:textId="77777777" w:rsidR="0034590E" w:rsidRPr="00BE7AD6" w:rsidRDefault="0034590E" w:rsidP="0034590E">
      <w:pPr>
        <w:pStyle w:val="affff"/>
        <w:spacing w:beforeAutospacing="0" w:afterAutospacing="0" w:line="360" w:lineRule="auto"/>
      </w:pPr>
      <w:r w:rsidRPr="00BE7AD6">
        <w:t xml:space="preserve">При некоторых гематологических заболеваниях, ассоциированных с повышенным риском геморрагических осложнений, пороговый уровень тромбоцитов должен быть увеличен. </w:t>
      </w:r>
      <w:r>
        <w:t>У</w:t>
      </w:r>
      <w:r w:rsidRPr="00BE7AD6">
        <w:t xml:space="preserve"> беременных пациенток с опухолевыми гематологическими заболеваниями пороговый уровень тромбоцитов составляет 30х10</w:t>
      </w:r>
      <w:r w:rsidRPr="00732ADF">
        <w:rPr>
          <w:vertAlign w:val="superscript"/>
        </w:rPr>
        <w:t>9</w:t>
      </w:r>
      <w:r w:rsidRPr="00BE7AD6">
        <w:t>/л.</w:t>
      </w:r>
    </w:p>
    <w:p w14:paraId="45016EDB" w14:textId="77777777" w:rsidR="0034590E" w:rsidRPr="00BE7AD6" w:rsidRDefault="0034590E" w:rsidP="0034590E">
      <w:pPr>
        <w:pStyle w:val="affff"/>
        <w:spacing w:beforeAutospacing="0" w:afterAutospacing="0" w:line="360" w:lineRule="auto"/>
      </w:pPr>
      <w:r w:rsidRPr="00BE7AD6">
        <w:t>Переливание тромбоцитов не показано при тромбоцитопении иммунного генеза, за исключением случаев, когда оно необходимо по жизненным показаниям при развившемся кровотечении. При тромбоцитопатиях трансфузия тромбоцитов также рутинно не показана, и осуществляется только в неотложных ситуациях: при массивных кровотечениях, операциях, родах.</w:t>
      </w:r>
    </w:p>
    <w:p w14:paraId="63069721" w14:textId="77777777" w:rsidR="0034590E" w:rsidRPr="00BE7AD6" w:rsidRDefault="0034590E" w:rsidP="0034590E">
      <w:pPr>
        <w:pStyle w:val="affff"/>
        <w:spacing w:beforeAutospacing="0" w:afterAutospacing="0" w:line="360" w:lineRule="auto"/>
      </w:pPr>
      <w:r w:rsidRPr="00BE7AD6">
        <w:t>Показания к переливанию концентрата тромбоцитов с профилактической целью приведены в табл. </w:t>
      </w:r>
      <w:r>
        <w:t>А3.5.</w:t>
      </w:r>
      <w:r w:rsidRPr="00BE7AD6">
        <w:t>1.</w:t>
      </w:r>
    </w:p>
    <w:p w14:paraId="0EE0C973" w14:textId="77777777" w:rsidR="0034590E" w:rsidRPr="00BE7AD6" w:rsidRDefault="0034590E" w:rsidP="0034590E">
      <w:pPr>
        <w:pStyle w:val="affff"/>
        <w:spacing w:beforeAutospacing="0" w:afterAutospacing="0" w:line="360" w:lineRule="auto"/>
      </w:pPr>
    </w:p>
    <w:p w14:paraId="609CE8F0" w14:textId="77777777" w:rsidR="0034590E" w:rsidRPr="00BE7AD6" w:rsidRDefault="0034590E" w:rsidP="0034590E">
      <w:pPr>
        <w:pStyle w:val="affff"/>
        <w:spacing w:beforeAutospacing="0" w:afterAutospacing="0" w:line="360" w:lineRule="auto"/>
      </w:pPr>
      <w:r w:rsidRPr="00BE7AD6">
        <w:t xml:space="preserve">Таблица </w:t>
      </w:r>
      <w:r>
        <w:t>А3.5.</w:t>
      </w:r>
      <w:r w:rsidRPr="00BE7AD6">
        <w:t>1. Показания к переливанию концентрата тромбоцитов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663"/>
        <w:gridCol w:w="3690"/>
      </w:tblGrid>
      <w:tr w:rsidR="0034590E" w:rsidRPr="00BE7AD6" w14:paraId="7E8495C9" w14:textId="77777777" w:rsidTr="00EC1C67">
        <w:tc>
          <w:tcPr>
            <w:tcW w:w="3007" w:type="dxa"/>
            <w:vAlign w:val="center"/>
          </w:tcPr>
          <w:p w14:paraId="7EA126CF" w14:textId="77777777" w:rsidR="0034590E" w:rsidRPr="00BE7AD6" w:rsidRDefault="0034590E" w:rsidP="00EC1C67">
            <w:pPr>
              <w:ind w:firstLine="0"/>
            </w:pPr>
            <w:r w:rsidRPr="00BE7AD6">
              <w:t>Показание</w:t>
            </w:r>
          </w:p>
        </w:tc>
        <w:tc>
          <w:tcPr>
            <w:tcW w:w="2663" w:type="dxa"/>
            <w:vAlign w:val="center"/>
          </w:tcPr>
          <w:p w14:paraId="075ADB6C" w14:textId="77777777" w:rsidR="0034590E" w:rsidRPr="00BE7AD6" w:rsidRDefault="0034590E" w:rsidP="00EC1C67">
            <w:pPr>
              <w:ind w:firstLine="0"/>
            </w:pPr>
            <w:r w:rsidRPr="00BE7AD6">
              <w:t>Количество тромбоцитов в периферической крови</w:t>
            </w:r>
          </w:p>
        </w:tc>
        <w:tc>
          <w:tcPr>
            <w:tcW w:w="3690" w:type="dxa"/>
            <w:vAlign w:val="center"/>
          </w:tcPr>
          <w:p w14:paraId="43A07A67" w14:textId="77777777" w:rsidR="0034590E" w:rsidRPr="00BE7AD6" w:rsidRDefault="0034590E" w:rsidP="00EC1C67">
            <w:pPr>
              <w:ind w:firstLine="0"/>
            </w:pPr>
            <w:r w:rsidRPr="00BE7AD6">
              <w:t>Примечания</w:t>
            </w:r>
          </w:p>
        </w:tc>
      </w:tr>
      <w:tr w:rsidR="0034590E" w:rsidRPr="00BE7AD6" w14:paraId="08B79D8A" w14:textId="77777777" w:rsidTr="00EC1C67">
        <w:tc>
          <w:tcPr>
            <w:tcW w:w="3007" w:type="dxa"/>
          </w:tcPr>
          <w:p w14:paraId="3F732E17" w14:textId="77777777" w:rsidR="0034590E" w:rsidRPr="00BE7AD6" w:rsidRDefault="0034590E" w:rsidP="00EC1C67">
            <w:pPr>
              <w:ind w:firstLine="0"/>
            </w:pPr>
            <w:r w:rsidRPr="00BE7AD6">
              <w:t>Во время или после химиотерапии, в период миелотоксического агранулоцитоза</w:t>
            </w:r>
          </w:p>
        </w:tc>
        <w:tc>
          <w:tcPr>
            <w:tcW w:w="2663" w:type="dxa"/>
            <w:vAlign w:val="center"/>
          </w:tcPr>
          <w:p w14:paraId="40BBFBC0" w14:textId="77777777" w:rsidR="0034590E" w:rsidRPr="00BE7AD6" w:rsidRDefault="0034590E" w:rsidP="00EC1C67">
            <w:pPr>
              <w:ind w:firstLine="0"/>
            </w:pPr>
            <w:r w:rsidRPr="00BE7AD6">
              <w:t>Менее 20 </w:t>
            </w:r>
            <w:r>
              <w:t xml:space="preserve">х </w:t>
            </w:r>
            <w:r w:rsidRPr="00BE7AD6">
              <w:t>10</w:t>
            </w:r>
            <w:r w:rsidRPr="00732ADF">
              <w:rPr>
                <w:vertAlign w:val="superscript"/>
              </w:rPr>
              <w:t>9</w:t>
            </w:r>
            <w:r w:rsidRPr="00BE7AD6">
              <w:t>/л</w:t>
            </w:r>
          </w:p>
        </w:tc>
        <w:tc>
          <w:tcPr>
            <w:tcW w:w="3690" w:type="dxa"/>
          </w:tcPr>
          <w:p w14:paraId="06B5D4F6" w14:textId="77777777" w:rsidR="0034590E" w:rsidRPr="00BE7AD6" w:rsidRDefault="0034590E" w:rsidP="00EC1C67">
            <w:pPr>
              <w:ind w:firstLine="0"/>
            </w:pPr>
            <w:r w:rsidRPr="00BE7AD6">
              <w:t>При синдроме повышенного потребления тромбоцитов* данный порог необходимо повысить</w:t>
            </w:r>
          </w:p>
        </w:tc>
      </w:tr>
      <w:tr w:rsidR="0034590E" w:rsidRPr="00BE7AD6" w14:paraId="62F951D8" w14:textId="77777777" w:rsidTr="00EC1C67">
        <w:tc>
          <w:tcPr>
            <w:tcW w:w="3007" w:type="dxa"/>
          </w:tcPr>
          <w:p w14:paraId="07236525" w14:textId="77777777" w:rsidR="0034590E" w:rsidRPr="00BE7AD6" w:rsidRDefault="0034590E" w:rsidP="00EC1C67">
            <w:pPr>
              <w:ind w:firstLine="0"/>
            </w:pPr>
            <w:r w:rsidRPr="00BE7AD6">
              <w:t>Установка ЦВК</w:t>
            </w:r>
          </w:p>
        </w:tc>
        <w:tc>
          <w:tcPr>
            <w:tcW w:w="2663" w:type="dxa"/>
            <w:vAlign w:val="center"/>
          </w:tcPr>
          <w:p w14:paraId="73EBDDC8" w14:textId="77777777" w:rsidR="0034590E" w:rsidRPr="00BE7AD6" w:rsidRDefault="0034590E" w:rsidP="00EC1C67">
            <w:pPr>
              <w:ind w:firstLine="0"/>
            </w:pPr>
            <w:r w:rsidRPr="00BE7AD6">
              <w:t>Менее 30 </w:t>
            </w:r>
            <w:r>
              <w:t xml:space="preserve">х </w:t>
            </w:r>
            <w:r w:rsidRPr="00BE7AD6">
              <w:t>10</w:t>
            </w:r>
            <w:r w:rsidRPr="00732ADF">
              <w:rPr>
                <w:vertAlign w:val="superscript"/>
              </w:rPr>
              <w:t>9</w:t>
            </w:r>
            <w:r w:rsidRPr="00BE7AD6">
              <w:t>/л</w:t>
            </w:r>
          </w:p>
        </w:tc>
        <w:tc>
          <w:tcPr>
            <w:tcW w:w="3690" w:type="dxa"/>
          </w:tcPr>
          <w:p w14:paraId="3AA83B57" w14:textId="77777777" w:rsidR="0034590E" w:rsidRPr="00BE7AD6" w:rsidRDefault="0034590E" w:rsidP="00EC1C67">
            <w:pPr>
              <w:ind w:firstLine="0"/>
            </w:pPr>
            <w:r w:rsidRPr="00BE7AD6">
              <w:t>-</w:t>
            </w:r>
          </w:p>
        </w:tc>
      </w:tr>
      <w:tr w:rsidR="0034590E" w:rsidRPr="00BE7AD6" w14:paraId="4045C0D1" w14:textId="77777777" w:rsidTr="00EC1C67">
        <w:tc>
          <w:tcPr>
            <w:tcW w:w="3007" w:type="dxa"/>
          </w:tcPr>
          <w:p w14:paraId="11C5B220" w14:textId="77777777" w:rsidR="0034590E" w:rsidRPr="00BE7AD6" w:rsidRDefault="0034590E" w:rsidP="00EC1C67">
            <w:pPr>
              <w:ind w:firstLine="0"/>
            </w:pPr>
            <w:r w:rsidRPr="00BE7AD6">
              <w:t>Люмбальная пункция</w:t>
            </w:r>
          </w:p>
        </w:tc>
        <w:tc>
          <w:tcPr>
            <w:tcW w:w="2663" w:type="dxa"/>
            <w:vAlign w:val="center"/>
          </w:tcPr>
          <w:p w14:paraId="684F2341" w14:textId="77777777" w:rsidR="0034590E" w:rsidRPr="00BE7AD6" w:rsidRDefault="0034590E" w:rsidP="00EC1C67">
            <w:pPr>
              <w:ind w:firstLine="0"/>
            </w:pPr>
            <w:r w:rsidRPr="00BE7AD6">
              <w:t>Менее 50 </w:t>
            </w:r>
            <w:r>
              <w:t xml:space="preserve">х </w:t>
            </w:r>
            <w:r w:rsidRPr="00BE7AD6">
              <w:t>10</w:t>
            </w:r>
            <w:r w:rsidRPr="00732ADF">
              <w:rPr>
                <w:vertAlign w:val="superscript"/>
              </w:rPr>
              <w:t>9</w:t>
            </w:r>
            <w:r w:rsidRPr="00BE7AD6">
              <w:t>/л</w:t>
            </w:r>
          </w:p>
        </w:tc>
        <w:tc>
          <w:tcPr>
            <w:tcW w:w="3690" w:type="dxa"/>
          </w:tcPr>
          <w:p w14:paraId="3F086634" w14:textId="77777777" w:rsidR="0034590E" w:rsidRPr="00BE7AD6" w:rsidRDefault="0034590E" w:rsidP="00EC1C67">
            <w:pPr>
              <w:ind w:firstLine="0"/>
            </w:pPr>
            <w:r w:rsidRPr="00BE7AD6">
              <w:t>-</w:t>
            </w:r>
          </w:p>
        </w:tc>
      </w:tr>
      <w:tr w:rsidR="0034590E" w:rsidRPr="00BE7AD6" w14:paraId="3F229FBD" w14:textId="77777777" w:rsidTr="00EC1C67">
        <w:tc>
          <w:tcPr>
            <w:tcW w:w="3007" w:type="dxa"/>
          </w:tcPr>
          <w:p w14:paraId="4F02E94B" w14:textId="77777777" w:rsidR="0034590E" w:rsidRPr="00BE7AD6" w:rsidRDefault="0034590E" w:rsidP="00EC1C67">
            <w:pPr>
              <w:ind w:firstLine="0"/>
            </w:pPr>
            <w:r w:rsidRPr="00BE7AD6">
              <w:t>Объемные операции и малообъемные инвазивные вмешательства</w:t>
            </w:r>
          </w:p>
        </w:tc>
        <w:tc>
          <w:tcPr>
            <w:tcW w:w="2663" w:type="dxa"/>
            <w:vAlign w:val="center"/>
          </w:tcPr>
          <w:p w14:paraId="3DBCB425" w14:textId="77777777" w:rsidR="0034590E" w:rsidRPr="00BE7AD6" w:rsidRDefault="0034590E" w:rsidP="00EC1C67">
            <w:pPr>
              <w:ind w:firstLine="0"/>
            </w:pPr>
            <w:r w:rsidRPr="00BE7AD6">
              <w:t>Менее 50 </w:t>
            </w:r>
            <w:r>
              <w:t>х</w:t>
            </w:r>
            <w:r w:rsidRPr="00BE7AD6">
              <w:t xml:space="preserve"> 10</w:t>
            </w:r>
            <w:r w:rsidRPr="00732ADF">
              <w:rPr>
                <w:vertAlign w:val="superscript"/>
              </w:rPr>
              <w:t>9</w:t>
            </w:r>
            <w:r w:rsidRPr="00BE7AD6">
              <w:t>/л</w:t>
            </w:r>
          </w:p>
        </w:tc>
        <w:tc>
          <w:tcPr>
            <w:tcW w:w="3690" w:type="dxa"/>
          </w:tcPr>
          <w:p w14:paraId="0B57B760" w14:textId="77777777" w:rsidR="0034590E" w:rsidRPr="00BE7AD6" w:rsidRDefault="0034590E" w:rsidP="00EC1C67">
            <w:pPr>
              <w:ind w:firstLine="0"/>
            </w:pPr>
            <w:r w:rsidRPr="00BE7AD6">
              <w:t>Помимо профилактической трансфузии, необходимо резервирование концентрата тромбоцитов для проведения операции. Доза определяется массой тела пациента, а количество трансфузий — объемом операции</w:t>
            </w:r>
          </w:p>
        </w:tc>
      </w:tr>
      <w:tr w:rsidR="0034590E" w:rsidRPr="00BE7AD6" w14:paraId="54E9B605" w14:textId="77777777" w:rsidTr="00EC1C67">
        <w:tc>
          <w:tcPr>
            <w:tcW w:w="3007" w:type="dxa"/>
          </w:tcPr>
          <w:p w14:paraId="2E56E28A" w14:textId="77777777" w:rsidR="0034590E" w:rsidRPr="00BE7AD6" w:rsidRDefault="0034590E" w:rsidP="00EC1C67">
            <w:pPr>
              <w:ind w:firstLine="0"/>
            </w:pPr>
            <w:r w:rsidRPr="00BE7AD6">
              <w:t>Беременные</w:t>
            </w:r>
          </w:p>
        </w:tc>
        <w:tc>
          <w:tcPr>
            <w:tcW w:w="2663" w:type="dxa"/>
          </w:tcPr>
          <w:p w14:paraId="563D898B" w14:textId="77777777" w:rsidR="0034590E" w:rsidRPr="00BE7AD6" w:rsidRDefault="0034590E" w:rsidP="00EC1C67">
            <w:pPr>
              <w:ind w:firstLine="0"/>
            </w:pPr>
            <w:r w:rsidRPr="00BE7AD6">
              <w:t>Менее 30 </w:t>
            </w:r>
            <w:r>
              <w:t>х</w:t>
            </w:r>
            <w:r w:rsidRPr="00BE7AD6">
              <w:t xml:space="preserve"> 10</w:t>
            </w:r>
            <w:r w:rsidRPr="00732ADF">
              <w:rPr>
                <w:vertAlign w:val="superscript"/>
              </w:rPr>
              <w:t>9</w:t>
            </w:r>
            <w:r w:rsidRPr="00BE7AD6">
              <w:t>/л</w:t>
            </w:r>
          </w:p>
        </w:tc>
        <w:tc>
          <w:tcPr>
            <w:tcW w:w="3690" w:type="dxa"/>
          </w:tcPr>
          <w:p w14:paraId="11D2894B" w14:textId="77777777" w:rsidR="0034590E" w:rsidRPr="00BE7AD6" w:rsidRDefault="0034590E" w:rsidP="00EC1C67">
            <w:pPr>
              <w:ind w:firstLine="0"/>
            </w:pPr>
            <w:r w:rsidRPr="00BE7AD6">
              <w:t>-</w:t>
            </w:r>
          </w:p>
        </w:tc>
      </w:tr>
      <w:tr w:rsidR="0034590E" w:rsidRPr="00BE7AD6" w14:paraId="01627737" w14:textId="77777777" w:rsidTr="00EC1C67">
        <w:tc>
          <w:tcPr>
            <w:tcW w:w="3007" w:type="dxa"/>
          </w:tcPr>
          <w:p w14:paraId="24F8CB5D" w14:textId="77777777" w:rsidR="0034590E" w:rsidRPr="00BE7AD6" w:rsidRDefault="0034590E" w:rsidP="00EC1C67">
            <w:pPr>
              <w:ind w:firstLine="0"/>
            </w:pPr>
            <w:r w:rsidRPr="00BE7AD6">
              <w:t>Пациенты с ОПЛ</w:t>
            </w:r>
          </w:p>
        </w:tc>
        <w:tc>
          <w:tcPr>
            <w:tcW w:w="2663" w:type="dxa"/>
          </w:tcPr>
          <w:p w14:paraId="779E77B0" w14:textId="77777777" w:rsidR="0034590E" w:rsidRPr="00BE7AD6" w:rsidRDefault="0034590E" w:rsidP="00EC1C67">
            <w:pPr>
              <w:ind w:firstLine="0"/>
            </w:pPr>
            <w:r w:rsidRPr="00BE7AD6">
              <w:t>Менее 50 </w:t>
            </w:r>
            <w:r>
              <w:t>х</w:t>
            </w:r>
            <w:r w:rsidRPr="00BE7AD6">
              <w:t xml:space="preserve"> 10</w:t>
            </w:r>
            <w:r w:rsidRPr="00732ADF">
              <w:rPr>
                <w:vertAlign w:val="superscript"/>
              </w:rPr>
              <w:t>9</w:t>
            </w:r>
            <w:r w:rsidRPr="00BE7AD6">
              <w:t>/л</w:t>
            </w:r>
          </w:p>
        </w:tc>
        <w:tc>
          <w:tcPr>
            <w:tcW w:w="3690" w:type="dxa"/>
          </w:tcPr>
          <w:p w14:paraId="15629107" w14:textId="77777777" w:rsidR="0034590E" w:rsidRPr="00BE7AD6" w:rsidRDefault="0034590E" w:rsidP="00EC1C67">
            <w:pPr>
              <w:ind w:firstLine="0"/>
            </w:pPr>
            <w:r w:rsidRPr="00BE7AD6">
              <w:t>-</w:t>
            </w:r>
          </w:p>
        </w:tc>
      </w:tr>
      <w:tr w:rsidR="0034590E" w:rsidRPr="00BE7AD6" w14:paraId="7DD6892C" w14:textId="77777777" w:rsidTr="00EC1C67">
        <w:tc>
          <w:tcPr>
            <w:tcW w:w="3007" w:type="dxa"/>
          </w:tcPr>
          <w:p w14:paraId="398418E7" w14:textId="77777777" w:rsidR="0034590E" w:rsidRPr="00BE7AD6" w:rsidRDefault="0034590E" w:rsidP="00EC1C67">
            <w:pPr>
              <w:ind w:firstLine="0"/>
            </w:pPr>
            <w:r w:rsidRPr="00BE7AD6">
              <w:lastRenderedPageBreak/>
              <w:t>ДВС-синдром</w:t>
            </w:r>
          </w:p>
        </w:tc>
        <w:tc>
          <w:tcPr>
            <w:tcW w:w="2663" w:type="dxa"/>
          </w:tcPr>
          <w:p w14:paraId="1BBC17EF" w14:textId="77777777" w:rsidR="0034590E" w:rsidRPr="00BE7AD6" w:rsidRDefault="0034590E" w:rsidP="00EC1C67">
            <w:pPr>
              <w:ind w:firstLine="0"/>
            </w:pPr>
            <w:r w:rsidRPr="00BE7AD6">
              <w:t>Менее 50 </w:t>
            </w:r>
            <w:r>
              <w:t>х</w:t>
            </w:r>
            <w:r w:rsidRPr="00BE7AD6">
              <w:t xml:space="preserve"> 10</w:t>
            </w:r>
            <w:r w:rsidRPr="00732ADF">
              <w:rPr>
                <w:vertAlign w:val="superscript"/>
              </w:rPr>
              <w:t>9</w:t>
            </w:r>
            <w:r w:rsidRPr="00BE7AD6">
              <w:t>/л</w:t>
            </w:r>
          </w:p>
        </w:tc>
        <w:tc>
          <w:tcPr>
            <w:tcW w:w="3690" w:type="dxa"/>
          </w:tcPr>
          <w:p w14:paraId="19EEEBBE" w14:textId="77777777" w:rsidR="0034590E" w:rsidRPr="00BE7AD6" w:rsidRDefault="0034590E" w:rsidP="00EC1C67">
            <w:pPr>
              <w:ind w:firstLine="0"/>
            </w:pPr>
            <w:r w:rsidRPr="00BE7AD6">
              <w:t>Как часть основной терапии ДВС- синдрома</w:t>
            </w:r>
          </w:p>
        </w:tc>
      </w:tr>
    </w:tbl>
    <w:p w14:paraId="2A59632F" w14:textId="77777777" w:rsidR="0034590E" w:rsidRPr="00BE7AD6" w:rsidRDefault="0034590E" w:rsidP="0034590E">
      <w:r w:rsidRPr="00BE7AD6">
        <w:t>* Сепсис, пульмонологические заболевания, лихорадка.</w:t>
      </w:r>
    </w:p>
    <w:p w14:paraId="423EC1D7" w14:textId="77777777" w:rsidR="0034590E" w:rsidRPr="00BE7AD6" w:rsidRDefault="0034590E" w:rsidP="0034590E"/>
    <w:p w14:paraId="7C9F1EAF" w14:textId="77777777" w:rsidR="0034590E" w:rsidRPr="00BE7AD6" w:rsidRDefault="0034590E" w:rsidP="0034590E">
      <w:pPr>
        <w:pStyle w:val="affff"/>
        <w:spacing w:beforeAutospacing="0" w:afterAutospacing="0" w:line="360" w:lineRule="auto"/>
      </w:pPr>
      <w:r w:rsidRPr="00BE7AD6">
        <w:t>Наличие у пациента геморрагического синдрома — прямое показание к переливанию концентрата тромбоцитов независимо от лабораторных показателей. Оценка тяжести геморрагического синдрома проводится по шкале ВОЗ (табл. </w:t>
      </w:r>
      <w:r>
        <w:t>А3.5.</w:t>
      </w:r>
      <w:r w:rsidRPr="00BE7AD6">
        <w:t>2).</w:t>
      </w:r>
    </w:p>
    <w:p w14:paraId="7F6907A5" w14:textId="77777777" w:rsidR="0034590E" w:rsidRPr="00BE7AD6" w:rsidRDefault="0034590E" w:rsidP="0034590E">
      <w:pPr>
        <w:pStyle w:val="affff"/>
        <w:spacing w:beforeAutospacing="0" w:afterAutospacing="0" w:line="360" w:lineRule="auto"/>
      </w:pPr>
    </w:p>
    <w:p w14:paraId="7B5750AE" w14:textId="77777777" w:rsidR="0034590E" w:rsidRPr="00BE7AD6" w:rsidRDefault="0034590E" w:rsidP="0034590E">
      <w:pPr>
        <w:pStyle w:val="affff"/>
        <w:spacing w:beforeAutospacing="0" w:afterAutospacing="0" w:line="360" w:lineRule="auto"/>
      </w:pPr>
      <w:r w:rsidRPr="00BE7AD6">
        <w:t xml:space="preserve">Таблица </w:t>
      </w:r>
      <w:r>
        <w:t>А3.5.</w:t>
      </w:r>
      <w:r w:rsidRPr="00BE7AD6">
        <w:t>2. Шкала кровотечений по ВОЗ</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5"/>
      </w:tblGrid>
      <w:tr w:rsidR="0034590E" w:rsidRPr="00BE7AD6" w14:paraId="415FBB08" w14:textId="77777777" w:rsidTr="00EC1C67">
        <w:tc>
          <w:tcPr>
            <w:tcW w:w="9121" w:type="dxa"/>
            <w:shd w:val="clear" w:color="auto" w:fill="auto"/>
          </w:tcPr>
          <w:p w14:paraId="5FBF1A45" w14:textId="77777777" w:rsidR="0034590E" w:rsidRPr="00BE7AD6" w:rsidRDefault="0034590E" w:rsidP="00EC1C67">
            <w:pPr>
              <w:ind w:firstLine="0"/>
            </w:pPr>
            <w:r w:rsidRPr="00BE7AD6">
              <w:t>1 степень (не требует трансфузии)</w:t>
            </w:r>
          </w:p>
        </w:tc>
      </w:tr>
      <w:tr w:rsidR="0034590E" w:rsidRPr="00BE7AD6" w14:paraId="52F9D10A" w14:textId="77777777" w:rsidTr="00EC1C67">
        <w:tc>
          <w:tcPr>
            <w:tcW w:w="9121" w:type="dxa"/>
            <w:shd w:val="clear" w:color="auto" w:fill="auto"/>
          </w:tcPr>
          <w:p w14:paraId="10970650" w14:textId="77777777" w:rsidR="0034590E" w:rsidRPr="00BE7AD6" w:rsidRDefault="0034590E" w:rsidP="00EC1C67">
            <w:pPr>
              <w:ind w:firstLine="0"/>
            </w:pPr>
            <w:r w:rsidRPr="00BE7AD6">
              <w:t>Кровоточивость кожи и слизистых, включая полость рта</w:t>
            </w:r>
          </w:p>
          <w:p w14:paraId="0CD9EDD4" w14:textId="77777777" w:rsidR="0034590E" w:rsidRPr="00BE7AD6" w:rsidRDefault="0034590E" w:rsidP="00EC1C67">
            <w:pPr>
              <w:ind w:firstLine="0"/>
            </w:pPr>
            <w:r w:rsidRPr="00BE7AD6">
              <w:t>Петехии менее 2 мм</w:t>
            </w:r>
          </w:p>
          <w:p w14:paraId="1F858B6D" w14:textId="77777777" w:rsidR="0034590E" w:rsidRPr="00BE7AD6" w:rsidRDefault="0034590E" w:rsidP="00EC1C67">
            <w:pPr>
              <w:ind w:firstLine="0"/>
            </w:pPr>
            <w:r w:rsidRPr="00BE7AD6">
              <w:t>Пурпура менее 2,54 см в диаметре</w:t>
            </w:r>
          </w:p>
          <w:p w14:paraId="61428AEB" w14:textId="77777777" w:rsidR="0034590E" w:rsidRPr="00BE7AD6" w:rsidRDefault="0034590E" w:rsidP="00EC1C67">
            <w:pPr>
              <w:ind w:firstLine="0"/>
            </w:pPr>
            <w:r w:rsidRPr="00BE7AD6">
              <w:t>Экхимозы (очаги менее 10 см в диаметре)</w:t>
            </w:r>
          </w:p>
          <w:p w14:paraId="50D84DA9" w14:textId="77777777" w:rsidR="0034590E" w:rsidRPr="00BE7AD6" w:rsidRDefault="0034590E" w:rsidP="00EC1C67">
            <w:pPr>
              <w:ind w:firstLine="0"/>
            </w:pPr>
            <w:r w:rsidRPr="00BE7AD6">
              <w:t>Ротоглоточные кровотечения</w:t>
            </w:r>
          </w:p>
          <w:p w14:paraId="152822A4" w14:textId="77777777" w:rsidR="0034590E" w:rsidRPr="00BE7AD6" w:rsidRDefault="0034590E" w:rsidP="00EC1C67">
            <w:pPr>
              <w:ind w:firstLine="0"/>
            </w:pPr>
            <w:r w:rsidRPr="00BE7AD6">
              <w:t>Кровоизлияния в конъюнктиву</w:t>
            </w:r>
          </w:p>
          <w:p w14:paraId="3FC5A3AD" w14:textId="77777777" w:rsidR="0034590E" w:rsidRPr="00BE7AD6" w:rsidRDefault="0034590E" w:rsidP="00EC1C67">
            <w:pPr>
              <w:ind w:firstLine="0"/>
            </w:pPr>
            <w:r w:rsidRPr="00BE7AD6">
              <w:t>Носовые кровотечения продолжительностью менее 1 часа, не требующие вмешательства</w:t>
            </w:r>
          </w:p>
          <w:p w14:paraId="1C25033C" w14:textId="77777777" w:rsidR="0034590E" w:rsidRPr="00BE7AD6" w:rsidRDefault="0034590E" w:rsidP="00EC1C67">
            <w:pPr>
              <w:ind w:firstLine="0"/>
            </w:pPr>
            <w:r w:rsidRPr="00BE7AD6">
              <w:t>Аномальные ациклические маточные кровотечения (менее двух прокладок в сутки)</w:t>
            </w:r>
          </w:p>
        </w:tc>
      </w:tr>
      <w:tr w:rsidR="0034590E" w:rsidRPr="00BE7AD6" w14:paraId="1536DF0C" w14:textId="77777777" w:rsidTr="00EC1C67">
        <w:tc>
          <w:tcPr>
            <w:tcW w:w="9121" w:type="dxa"/>
            <w:shd w:val="clear" w:color="auto" w:fill="auto"/>
          </w:tcPr>
          <w:p w14:paraId="54D547F8" w14:textId="77777777" w:rsidR="0034590E" w:rsidRPr="00BE7AD6" w:rsidRDefault="0034590E" w:rsidP="00EC1C67">
            <w:pPr>
              <w:ind w:firstLine="0"/>
            </w:pPr>
            <w:r w:rsidRPr="00BE7AD6">
              <w:t>2 степень (в основном не требуют трансфузии)</w:t>
            </w:r>
          </w:p>
        </w:tc>
      </w:tr>
      <w:tr w:rsidR="0034590E" w:rsidRPr="00BE7AD6" w14:paraId="5C388F44" w14:textId="77777777" w:rsidTr="00EC1C67">
        <w:tc>
          <w:tcPr>
            <w:tcW w:w="9121" w:type="dxa"/>
            <w:shd w:val="clear" w:color="auto" w:fill="auto"/>
          </w:tcPr>
          <w:p w14:paraId="75177CB0" w14:textId="77777777" w:rsidR="0034590E" w:rsidRPr="00BE7AD6" w:rsidRDefault="0034590E" w:rsidP="00EC1C67">
            <w:pPr>
              <w:ind w:firstLine="0"/>
            </w:pPr>
            <w:r w:rsidRPr="00BE7AD6">
              <w:t>Экхимозы (более 10 см в диаметре)</w:t>
            </w:r>
          </w:p>
          <w:p w14:paraId="21176805" w14:textId="77777777" w:rsidR="0034590E" w:rsidRPr="00BE7AD6" w:rsidRDefault="0034590E" w:rsidP="00EC1C67">
            <w:pPr>
              <w:ind w:firstLine="0"/>
            </w:pPr>
            <w:r w:rsidRPr="00BE7AD6">
              <w:t>Гематомы</w:t>
            </w:r>
          </w:p>
          <w:p w14:paraId="19FE59DE" w14:textId="77777777" w:rsidR="0034590E" w:rsidRPr="00BE7AD6" w:rsidRDefault="0034590E" w:rsidP="00EC1C67">
            <w:pPr>
              <w:ind w:firstLine="0"/>
            </w:pPr>
            <w:r w:rsidRPr="00BE7AD6">
              <w:t>Носовые кровотечения продолжительностью более 1 часа или требующие тампонады</w:t>
            </w:r>
          </w:p>
          <w:p w14:paraId="4DCA4927" w14:textId="77777777" w:rsidR="0034590E" w:rsidRPr="00BE7AD6" w:rsidRDefault="0034590E" w:rsidP="00EC1C67">
            <w:pPr>
              <w:ind w:firstLine="0"/>
            </w:pPr>
            <w:r w:rsidRPr="00BE7AD6">
              <w:t>Кровоизлияния в сетчатку без ухудшения зрения</w:t>
            </w:r>
          </w:p>
          <w:p w14:paraId="64653D26" w14:textId="77777777" w:rsidR="0034590E" w:rsidRPr="00BE7AD6" w:rsidRDefault="0034590E" w:rsidP="00EC1C67">
            <w:pPr>
              <w:ind w:firstLine="0"/>
            </w:pPr>
            <w:r w:rsidRPr="00BE7AD6">
              <w:t>Аномальные ациклические маточные кровотечения (более двух прокладок в сутки)</w:t>
            </w:r>
          </w:p>
          <w:p w14:paraId="1AE7CECC" w14:textId="77777777" w:rsidR="0034590E" w:rsidRPr="00BE7AD6" w:rsidRDefault="0034590E" w:rsidP="00EC1C67">
            <w:pPr>
              <w:ind w:firstLine="0"/>
            </w:pPr>
            <w:r w:rsidRPr="00BE7AD6">
              <w:t>Мелена, рвота с кровью, кровохарканье, гематурия, стул с кровью</w:t>
            </w:r>
          </w:p>
          <w:p w14:paraId="49F5227A" w14:textId="77777777" w:rsidR="0034590E" w:rsidRPr="00BE7AD6" w:rsidRDefault="0034590E" w:rsidP="00EC1C67">
            <w:pPr>
              <w:ind w:firstLine="0"/>
            </w:pPr>
            <w:r w:rsidRPr="00BE7AD6">
              <w:t>Кровотечения после инвазивных вмешательств, мышечно-суставные кровоизлияния</w:t>
            </w:r>
          </w:p>
        </w:tc>
      </w:tr>
      <w:tr w:rsidR="0034590E" w:rsidRPr="00BE7AD6" w14:paraId="3992C82F" w14:textId="77777777" w:rsidTr="00EC1C67">
        <w:tc>
          <w:tcPr>
            <w:tcW w:w="9121" w:type="dxa"/>
            <w:shd w:val="clear" w:color="auto" w:fill="auto"/>
          </w:tcPr>
          <w:p w14:paraId="00DD0198" w14:textId="77777777" w:rsidR="0034590E" w:rsidRPr="00BE7AD6" w:rsidRDefault="0034590E" w:rsidP="00EC1C67">
            <w:pPr>
              <w:ind w:firstLine="0"/>
            </w:pPr>
            <w:r w:rsidRPr="00BE7AD6">
              <w:t>3 степень (требуют трансфузии)</w:t>
            </w:r>
          </w:p>
        </w:tc>
      </w:tr>
      <w:tr w:rsidR="0034590E" w:rsidRPr="00BE7AD6" w14:paraId="65D8EB92" w14:textId="77777777" w:rsidTr="00EC1C67">
        <w:tc>
          <w:tcPr>
            <w:tcW w:w="9121" w:type="dxa"/>
            <w:shd w:val="clear" w:color="auto" w:fill="auto"/>
          </w:tcPr>
          <w:p w14:paraId="4F16941B" w14:textId="77777777" w:rsidR="0034590E" w:rsidRPr="00BE7AD6" w:rsidRDefault="0034590E" w:rsidP="00EC1C67">
            <w:pPr>
              <w:ind w:firstLine="0"/>
            </w:pPr>
            <w:r w:rsidRPr="00BE7AD6">
              <w:t>Мелена</w:t>
            </w:r>
          </w:p>
          <w:p w14:paraId="303CBDBB" w14:textId="77777777" w:rsidR="0034590E" w:rsidRPr="00BE7AD6" w:rsidRDefault="0034590E" w:rsidP="00EC1C67">
            <w:pPr>
              <w:ind w:firstLine="0"/>
            </w:pPr>
            <w:r w:rsidRPr="00BE7AD6">
              <w:t>Рвота с кровью</w:t>
            </w:r>
          </w:p>
          <w:p w14:paraId="25477452" w14:textId="77777777" w:rsidR="0034590E" w:rsidRPr="00BE7AD6" w:rsidRDefault="0034590E" w:rsidP="00EC1C67">
            <w:pPr>
              <w:ind w:firstLine="0"/>
            </w:pPr>
            <w:r w:rsidRPr="00BE7AD6">
              <w:t>Кровохарканье</w:t>
            </w:r>
          </w:p>
          <w:p w14:paraId="414628E8" w14:textId="77777777" w:rsidR="0034590E" w:rsidRPr="00BE7AD6" w:rsidRDefault="0034590E" w:rsidP="00EC1C67">
            <w:pPr>
              <w:ind w:firstLine="0"/>
            </w:pPr>
            <w:r w:rsidRPr="00BE7AD6">
              <w:t xml:space="preserve">Гематурия, включая непрекращающееся кровотечение без свертывания </w:t>
            </w:r>
          </w:p>
          <w:p w14:paraId="3B9C322F" w14:textId="77777777" w:rsidR="0034590E" w:rsidRPr="00BE7AD6" w:rsidRDefault="0034590E" w:rsidP="00EC1C67">
            <w:pPr>
              <w:ind w:firstLine="0"/>
            </w:pPr>
            <w:r w:rsidRPr="00BE7AD6">
              <w:t>Аномальные маточные кровотечения</w:t>
            </w:r>
          </w:p>
          <w:p w14:paraId="723E101C" w14:textId="77777777" w:rsidR="0034590E" w:rsidRPr="00BE7AD6" w:rsidRDefault="0034590E" w:rsidP="00EC1C67">
            <w:pPr>
              <w:ind w:firstLine="0"/>
            </w:pPr>
            <w:r w:rsidRPr="00BE7AD6">
              <w:lastRenderedPageBreak/>
              <w:t>Стул с кровью</w:t>
            </w:r>
          </w:p>
          <w:p w14:paraId="51FCF69C" w14:textId="77777777" w:rsidR="0034590E" w:rsidRPr="00BE7AD6" w:rsidRDefault="0034590E" w:rsidP="00EC1C67">
            <w:pPr>
              <w:ind w:firstLine="0"/>
            </w:pPr>
            <w:r w:rsidRPr="00BE7AD6">
              <w:t xml:space="preserve">Носовое кровотечение </w:t>
            </w:r>
          </w:p>
          <w:p w14:paraId="708DA300" w14:textId="77777777" w:rsidR="0034590E" w:rsidRPr="00BE7AD6" w:rsidRDefault="0034590E" w:rsidP="00EC1C67">
            <w:pPr>
              <w:ind w:firstLine="0"/>
            </w:pPr>
            <w:r w:rsidRPr="00BE7AD6">
              <w:t>Ротоглоточное кровотечение</w:t>
            </w:r>
          </w:p>
          <w:p w14:paraId="04B31929" w14:textId="77777777" w:rsidR="0034590E" w:rsidRPr="00BE7AD6" w:rsidRDefault="0034590E" w:rsidP="00EC1C67">
            <w:pPr>
              <w:ind w:firstLine="0"/>
            </w:pPr>
            <w:r w:rsidRPr="00BE7AD6">
              <w:t>Кровотечения после инвазивных вмешательств, мышечно-суставные кровоизлияния или кровоизлияния в мягкие ткани</w:t>
            </w:r>
          </w:p>
        </w:tc>
      </w:tr>
      <w:tr w:rsidR="0034590E" w:rsidRPr="00BE7AD6" w14:paraId="12AD2217" w14:textId="77777777" w:rsidTr="00EC1C67">
        <w:tc>
          <w:tcPr>
            <w:tcW w:w="9121" w:type="dxa"/>
            <w:shd w:val="clear" w:color="auto" w:fill="auto"/>
          </w:tcPr>
          <w:p w14:paraId="4DD22A49" w14:textId="77777777" w:rsidR="0034590E" w:rsidRPr="00BE7AD6" w:rsidRDefault="0034590E" w:rsidP="00EC1C67">
            <w:pPr>
              <w:ind w:firstLine="0"/>
            </w:pPr>
            <w:r w:rsidRPr="00BE7AD6">
              <w:lastRenderedPageBreak/>
              <w:t>4 степень (требуют трансфузии)</w:t>
            </w:r>
          </w:p>
        </w:tc>
      </w:tr>
      <w:tr w:rsidR="0034590E" w:rsidRPr="00BE7AD6" w14:paraId="5B4862D1" w14:textId="77777777" w:rsidTr="00EC1C67">
        <w:tc>
          <w:tcPr>
            <w:tcW w:w="9121" w:type="dxa"/>
            <w:shd w:val="clear" w:color="auto" w:fill="auto"/>
          </w:tcPr>
          <w:p w14:paraId="17019198" w14:textId="77777777" w:rsidR="0034590E" w:rsidRPr="00BE7AD6" w:rsidRDefault="0034590E" w:rsidP="00EC1C67">
            <w:pPr>
              <w:ind w:firstLine="0"/>
            </w:pPr>
            <w:r w:rsidRPr="00BE7AD6">
              <w:t>Кровоизлияния в сетчатку с нарушением зрения</w:t>
            </w:r>
          </w:p>
          <w:p w14:paraId="323B2167" w14:textId="77777777" w:rsidR="0034590E" w:rsidRPr="00BE7AD6" w:rsidRDefault="0034590E" w:rsidP="00EC1C67">
            <w:pPr>
              <w:ind w:firstLine="0"/>
            </w:pPr>
            <w:r w:rsidRPr="00BE7AD6">
              <w:t>Нефатальные кровоизлияния в ЦНС с неврологической симптоматикой</w:t>
            </w:r>
          </w:p>
          <w:p w14:paraId="217D3434" w14:textId="77777777" w:rsidR="0034590E" w:rsidRPr="00BE7AD6" w:rsidRDefault="0034590E" w:rsidP="00EC1C67">
            <w:pPr>
              <w:ind w:firstLine="0"/>
            </w:pPr>
            <w:r w:rsidRPr="00BE7AD6">
              <w:t>Фатальные кровотечения вне зависимости от источника</w:t>
            </w:r>
          </w:p>
        </w:tc>
      </w:tr>
    </w:tbl>
    <w:p w14:paraId="0303C10C" w14:textId="77777777" w:rsidR="0034590E" w:rsidRPr="00BE7AD6" w:rsidRDefault="0034590E" w:rsidP="0034590E"/>
    <w:p w14:paraId="4211AA06" w14:textId="77777777" w:rsidR="0034590E" w:rsidRPr="00732ADF" w:rsidRDefault="0034590E" w:rsidP="0034590E">
      <w:pPr>
        <w:pStyle w:val="affff"/>
        <w:spacing w:beforeAutospacing="0" w:afterAutospacing="0" w:line="360" w:lineRule="auto"/>
        <w:rPr>
          <w:i/>
          <w:iCs/>
        </w:rPr>
      </w:pPr>
      <w:r w:rsidRPr="00732ADF">
        <w:rPr>
          <w:i/>
          <w:iCs/>
        </w:rPr>
        <w:t>Расчет дозы концентрата тромбоцитов для трансфузий</w:t>
      </w:r>
    </w:p>
    <w:p w14:paraId="3AB478A8" w14:textId="77777777" w:rsidR="0034590E" w:rsidRPr="00BE7AD6" w:rsidRDefault="0034590E" w:rsidP="0034590E">
      <w:pPr>
        <w:pStyle w:val="affff"/>
        <w:spacing w:beforeAutospacing="0" w:afterAutospacing="0" w:line="360" w:lineRule="auto"/>
      </w:pPr>
      <w:r w:rsidRPr="00BE7AD6">
        <w:t>Количество концентрата тромбоцитов для трансфузии необходимо использовать из расчета 50-70</w:t>
      </w:r>
      <w:r>
        <w:t> </w:t>
      </w:r>
      <w:r w:rsidRPr="00BE7AD6">
        <w:t>х</w:t>
      </w:r>
      <w:r>
        <w:t> </w:t>
      </w:r>
      <w:r w:rsidRPr="00BE7AD6">
        <w:t>10</w:t>
      </w:r>
      <w:r w:rsidRPr="00732ADF">
        <w:rPr>
          <w:vertAlign w:val="superscript"/>
        </w:rPr>
        <w:t>9</w:t>
      </w:r>
      <w:r w:rsidRPr="00BE7AD6">
        <w:t xml:space="preserve"> тромбоцитов на 10 кг массы тела реципиента или 200-250</w:t>
      </w:r>
      <w:r>
        <w:t> </w:t>
      </w:r>
      <w:r w:rsidRPr="00BE7AD6">
        <w:t>х</w:t>
      </w:r>
      <w:r>
        <w:t> </w:t>
      </w:r>
      <w:r w:rsidRPr="00BE7AD6">
        <w:t>10</w:t>
      </w:r>
      <w:r w:rsidRPr="00732ADF">
        <w:rPr>
          <w:vertAlign w:val="superscript"/>
        </w:rPr>
        <w:t>9</w:t>
      </w:r>
      <w:r w:rsidRPr="00BE7AD6">
        <w:t xml:space="preserve"> тромбоцитов на 1</w:t>
      </w:r>
      <w:r>
        <w:t> </w:t>
      </w:r>
      <w:r w:rsidRPr="00BE7AD6">
        <w:t>м</w:t>
      </w:r>
      <w:r w:rsidRPr="00732ADF">
        <w:rPr>
          <w:vertAlign w:val="superscript"/>
        </w:rPr>
        <w:t>2</w:t>
      </w:r>
      <w:r w:rsidRPr="00BE7AD6">
        <w:t xml:space="preserve"> поверхности тела реципиента.</w:t>
      </w:r>
    </w:p>
    <w:p w14:paraId="388592A8" w14:textId="77777777" w:rsidR="0034590E" w:rsidRPr="00BE7AD6" w:rsidRDefault="0034590E" w:rsidP="0034590E">
      <w:pPr>
        <w:pStyle w:val="affff"/>
        <w:spacing w:beforeAutospacing="0" w:afterAutospacing="0" w:line="360" w:lineRule="auto"/>
      </w:pPr>
      <w:r w:rsidRPr="00BE7AD6">
        <w:t xml:space="preserve">Оптимальная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 </w:t>
      </w:r>
    </w:p>
    <w:p w14:paraId="775817C3" w14:textId="77777777" w:rsidR="0034590E" w:rsidRPr="00BE7AD6" w:rsidRDefault="0034590E" w:rsidP="0034590E">
      <w:pPr>
        <w:pStyle w:val="affff"/>
        <w:spacing w:beforeAutospacing="0" w:afterAutospacing="0" w:line="360" w:lineRule="auto"/>
      </w:pPr>
    </w:p>
    <w:p w14:paraId="099480CA" w14:textId="77777777" w:rsidR="0034590E" w:rsidRPr="00732ADF" w:rsidRDefault="0034590E" w:rsidP="0034590E">
      <w:pPr>
        <w:pStyle w:val="affff"/>
        <w:spacing w:beforeAutospacing="0" w:afterAutospacing="0" w:line="360" w:lineRule="auto"/>
        <w:rPr>
          <w:i/>
          <w:iCs/>
        </w:rPr>
      </w:pPr>
      <w:r w:rsidRPr="00732ADF">
        <w:rPr>
          <w:i/>
          <w:iCs/>
        </w:rPr>
        <w:t>Критерии эффективности трансфузий концентрата тромбоцитов</w:t>
      </w:r>
    </w:p>
    <w:p w14:paraId="211D7D0F" w14:textId="77777777" w:rsidR="0034590E" w:rsidRPr="00BE7AD6" w:rsidRDefault="0034590E" w:rsidP="0034590E">
      <w:pPr>
        <w:pStyle w:val="affff"/>
        <w:spacing w:beforeAutospacing="0" w:afterAutospacing="0" w:line="360" w:lineRule="auto"/>
      </w:pPr>
      <w:r w:rsidRPr="00BE7AD6">
        <w:t>Клиническими критериями эффективности трансфузии концентрата 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03535A5B" w14:textId="77777777" w:rsidR="0034590E" w:rsidRPr="00BE7AD6" w:rsidRDefault="0034590E" w:rsidP="0034590E">
      <w:pPr>
        <w:pStyle w:val="affff"/>
        <w:spacing w:beforeAutospacing="0" w:afterAutospacing="0" w:line="360" w:lineRule="auto"/>
      </w:pPr>
      <w:r w:rsidRPr="00BE7AD6">
        <w:t>Лабораторными критериями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w:t>
      </w:r>
      <w:r>
        <w:t>-</w:t>
      </w:r>
      <w:r w:rsidRPr="00BE7AD6">
        <w:t>24 ч после окончания трансфузии, а также показатели максимальной амплитуды на тромбоэластограмме.</w:t>
      </w:r>
    </w:p>
    <w:p w14:paraId="2FBE077D" w14:textId="77777777" w:rsidR="0034590E" w:rsidRPr="00732ADF" w:rsidRDefault="0034590E" w:rsidP="0034590E">
      <w:pPr>
        <w:pStyle w:val="affff"/>
        <w:spacing w:beforeAutospacing="0" w:afterAutospacing="0" w:line="360" w:lineRule="auto"/>
      </w:pPr>
      <w:r w:rsidRPr="00BE7AD6">
        <w:t>Трансфузию считают эффективной, если абсолютный прирост тромбоцитов через 1 час составил 10х10</w:t>
      </w:r>
      <w:r w:rsidRPr="00732ADF">
        <w:rPr>
          <w:vertAlign w:val="superscript"/>
        </w:rPr>
        <w:t>9</w:t>
      </w:r>
      <w:r w:rsidRPr="00BE7AD6">
        <w:t>/л от исходного уровня. Для стандартизации оценки эффективности трансфузий скорректированный прирост тромбоцитов рассчитывается по формуле и выражается в расчетных единицах (РЕ):</w:t>
      </w:r>
      <w:r>
        <w:t xml:space="preserve"> </w:t>
      </w:r>
      <w:r w:rsidRPr="00BE7AD6">
        <w:t>СПТ = (АПТ х площадь поверхности тела, м</w:t>
      </w:r>
      <w:r w:rsidRPr="00732ADF">
        <w:rPr>
          <w:vertAlign w:val="superscript"/>
        </w:rPr>
        <w:t>2</w:t>
      </w:r>
      <w:r w:rsidRPr="00BE7AD6">
        <w:t>) / количество перелитых тромбоцитов х 10</w:t>
      </w:r>
      <w:r w:rsidRPr="00732ADF">
        <w:rPr>
          <w:vertAlign w:val="superscript"/>
        </w:rPr>
        <w:t>11</w:t>
      </w:r>
      <w:r>
        <w:t>.</w:t>
      </w:r>
    </w:p>
    <w:p w14:paraId="28320342" w14:textId="77777777" w:rsidR="0034590E" w:rsidRPr="00BE7AD6" w:rsidRDefault="0034590E" w:rsidP="0034590E">
      <w:pPr>
        <w:pStyle w:val="affff"/>
        <w:spacing w:beforeAutospacing="0" w:afterAutospacing="0" w:line="360" w:lineRule="auto"/>
      </w:pPr>
      <w:r w:rsidRPr="00BE7AD6">
        <w:t xml:space="preserve">Трансфузию считают эффективной, если СПТ через 1 час составил &gt; 7,5 РЕ, а СПТ через 24 ч &gt; 4,5 РЕ. В случае неэффективности трансфузий необходимо определить </w:t>
      </w:r>
      <w:r w:rsidRPr="00BE7AD6">
        <w:lastRenderedPageBreak/>
        <w:t>возможные причины. При возникновении рефрактерности к трансфузиям или наличия в анамнезе посттрансфузионных реакций и осложнений показан индивидуальный подбор тромбоцитов донора, применение плазмафереза.</w:t>
      </w:r>
    </w:p>
    <w:p w14:paraId="21B3B1FA" w14:textId="77777777" w:rsidR="0034590E" w:rsidRPr="00BE7AD6" w:rsidRDefault="0034590E" w:rsidP="0034590E">
      <w:pPr>
        <w:pStyle w:val="affff"/>
        <w:spacing w:beforeAutospacing="0" w:afterAutospacing="0" w:line="360" w:lineRule="auto"/>
      </w:pPr>
    </w:p>
    <w:p w14:paraId="05BF83BD" w14:textId="77777777" w:rsidR="0034590E" w:rsidRPr="00732ADF" w:rsidRDefault="0034590E" w:rsidP="0034590E">
      <w:pPr>
        <w:pStyle w:val="affff"/>
        <w:spacing w:beforeAutospacing="0" w:afterAutospacing="0" w:line="360" w:lineRule="auto"/>
        <w:rPr>
          <w:b/>
          <w:bCs/>
        </w:rPr>
      </w:pPr>
      <w:r w:rsidRPr="00732ADF">
        <w:rPr>
          <w:b/>
          <w:bCs/>
        </w:rPr>
        <w:t>Трансфузии СЗП</w:t>
      </w:r>
    </w:p>
    <w:p w14:paraId="1F2D9AD1" w14:textId="77777777" w:rsidR="0034590E" w:rsidRPr="00732ADF" w:rsidRDefault="0034590E" w:rsidP="0034590E">
      <w:pPr>
        <w:pStyle w:val="affff"/>
        <w:spacing w:beforeAutospacing="0" w:afterAutospacing="0" w:line="360" w:lineRule="auto"/>
        <w:rPr>
          <w:i/>
          <w:iCs/>
        </w:rPr>
      </w:pPr>
      <w:r w:rsidRPr="00732ADF">
        <w:rPr>
          <w:i/>
          <w:iCs/>
        </w:rPr>
        <w:t>Показания к переливанию СЗП:</w:t>
      </w:r>
    </w:p>
    <w:p w14:paraId="3398FD66" w14:textId="77777777" w:rsidR="0034590E" w:rsidRPr="00BE7AD6" w:rsidRDefault="0034590E" w:rsidP="00A72B1B">
      <w:pPr>
        <w:pStyle w:val="affff"/>
        <w:numPr>
          <w:ilvl w:val="0"/>
          <w:numId w:val="63"/>
        </w:numPr>
        <w:spacing w:beforeAutospacing="0" w:afterAutospacing="0" w:line="360" w:lineRule="auto"/>
      </w:pPr>
      <w:r w:rsidRPr="00BE7AD6">
        <w:t>Экстренная реверсия действия антагонистов витамина К (группа В01АА по АТХ классификации); переливают СЗП из расчета 5</w:t>
      </w:r>
      <w:r>
        <w:t>-</w:t>
      </w:r>
      <w:r w:rsidRPr="00BE7AD6">
        <w:t>8 мл/кг.</w:t>
      </w:r>
    </w:p>
    <w:p w14:paraId="0F3DF1BF" w14:textId="77777777" w:rsidR="0034590E" w:rsidRPr="00BE7AD6" w:rsidRDefault="0034590E" w:rsidP="00A72B1B">
      <w:pPr>
        <w:pStyle w:val="affff"/>
        <w:numPr>
          <w:ilvl w:val="0"/>
          <w:numId w:val="63"/>
        </w:numPr>
        <w:spacing w:beforeAutospacing="0" w:afterAutospacing="0" w:line="360" w:lineRule="auto"/>
      </w:pPr>
      <w:r w:rsidRPr="00BE7AD6">
        <w:t>Коррекция геморрагического синдрома при увеличении (&gt; 1,5 раз по сравнению с нормой) протромбинового времени или АЧТВ.</w:t>
      </w:r>
    </w:p>
    <w:p w14:paraId="566FEEFF" w14:textId="77777777" w:rsidR="0034590E" w:rsidRPr="00BE7AD6" w:rsidRDefault="0034590E" w:rsidP="00A72B1B">
      <w:pPr>
        <w:pStyle w:val="affff"/>
        <w:numPr>
          <w:ilvl w:val="0"/>
          <w:numId w:val="63"/>
        </w:numPr>
        <w:spacing w:beforeAutospacing="0" w:afterAutospacing="0" w:line="360" w:lineRule="auto"/>
      </w:pPr>
      <w:r w:rsidRPr="00BE7AD6">
        <w:t>Возмещение объема при проведении плазмафереза.</w:t>
      </w:r>
    </w:p>
    <w:p w14:paraId="1F3098D6" w14:textId="77777777" w:rsidR="0034590E" w:rsidRPr="00BE7AD6" w:rsidRDefault="0034590E" w:rsidP="00A72B1B">
      <w:pPr>
        <w:pStyle w:val="affff"/>
        <w:numPr>
          <w:ilvl w:val="0"/>
          <w:numId w:val="63"/>
        </w:numPr>
        <w:spacing w:beforeAutospacing="0" w:afterAutospacing="0" w:line="360" w:lineRule="auto"/>
      </w:pPr>
      <w:r w:rsidRPr="00BE7AD6">
        <w:t>Показания к переливанию криопреципитата</w:t>
      </w:r>
    </w:p>
    <w:p w14:paraId="2664084F" w14:textId="77777777" w:rsidR="0034590E" w:rsidRPr="00BE7AD6" w:rsidRDefault="0034590E" w:rsidP="00A72B1B">
      <w:pPr>
        <w:pStyle w:val="affff"/>
        <w:numPr>
          <w:ilvl w:val="0"/>
          <w:numId w:val="63"/>
        </w:numPr>
        <w:spacing w:beforeAutospacing="0" w:afterAutospacing="0" w:line="360" w:lineRule="auto"/>
      </w:pPr>
      <w:r w:rsidRPr="00BE7AD6">
        <w:t>Гипофибриногенемия (&lt; 1 г/л).</w:t>
      </w:r>
    </w:p>
    <w:p w14:paraId="669F8BE0" w14:textId="77777777" w:rsidR="0034590E" w:rsidRPr="00BE7AD6" w:rsidRDefault="0034590E" w:rsidP="00A72B1B">
      <w:pPr>
        <w:pStyle w:val="affff"/>
        <w:numPr>
          <w:ilvl w:val="0"/>
          <w:numId w:val="63"/>
        </w:numPr>
        <w:spacing w:beforeAutospacing="0" w:afterAutospacing="0" w:line="360" w:lineRule="auto"/>
      </w:pPr>
      <w:r w:rsidRPr="00BE7AD6">
        <w:t>Периоперационный период или массивные кровотечения при уровне фибриногена &lt; 1,5 г/л.</w:t>
      </w:r>
    </w:p>
    <w:p w14:paraId="11C5EDAA" w14:textId="77777777" w:rsidR="0034590E" w:rsidRPr="00BE7AD6" w:rsidRDefault="0034590E" w:rsidP="0034590E">
      <w:pPr>
        <w:pStyle w:val="affff"/>
        <w:spacing w:beforeAutospacing="0" w:afterAutospacing="0" w:line="360" w:lineRule="auto"/>
      </w:pPr>
      <w:r w:rsidRPr="00BE7AD6">
        <w:t>Расчетная доза криопреципитата составляет 1 ед на 5 кг массы тела пациента или 15—20 ед при массе тела 70 кг. В 1 единице содержится: фибриногена не менее 140 мг, FVIII — не менее 70 МЕ.</w:t>
      </w:r>
    </w:p>
    <w:p w14:paraId="713B4BB3" w14:textId="77777777" w:rsidR="0034590E" w:rsidRPr="00BE7AD6" w:rsidRDefault="0034590E" w:rsidP="0034590E">
      <w:pPr>
        <w:pStyle w:val="affff"/>
        <w:spacing w:beforeAutospacing="0" w:afterAutospacing="0" w:line="360" w:lineRule="auto"/>
      </w:pPr>
    </w:p>
    <w:p w14:paraId="0AD41408" w14:textId="77777777" w:rsidR="0034590E" w:rsidRPr="00051772" w:rsidRDefault="0034590E" w:rsidP="0034590E">
      <w:pPr>
        <w:pStyle w:val="affff"/>
        <w:spacing w:beforeAutospacing="0" w:afterAutospacing="0" w:line="360" w:lineRule="auto"/>
        <w:rPr>
          <w:b/>
          <w:bCs/>
        </w:rPr>
      </w:pPr>
      <w:r w:rsidRPr="00051772">
        <w:rPr>
          <w:b/>
          <w:bCs/>
        </w:rPr>
        <w:t xml:space="preserve">Качество компонентов крови, применяемых при сопроводительной терапии гематологических пациентов </w:t>
      </w:r>
    </w:p>
    <w:p w14:paraId="05113015" w14:textId="77777777" w:rsidR="0034590E" w:rsidRPr="00BE7AD6" w:rsidRDefault="0034590E" w:rsidP="0034590E">
      <w:pPr>
        <w:pStyle w:val="affff"/>
        <w:spacing w:beforeAutospacing="0" w:afterAutospacing="0" w:line="360" w:lineRule="auto"/>
      </w:pPr>
      <w:r w:rsidRPr="00BE7AD6">
        <w:t>При гематологических заболеваниях с известными показаниями к неоднократным трансфузиям компонентов крови (лейкозы, лимфомы, миелодиспластические синдромы, апластическая анемия и др), с целью профилактики нежелательных реакций и осложнений, связанных с трансфузиями, рекомендуется использование компонентов крови со следующими характеристиками:</w:t>
      </w:r>
    </w:p>
    <w:p w14:paraId="7F6E3971" w14:textId="77777777" w:rsidR="0034590E" w:rsidRPr="00051772" w:rsidRDefault="0034590E" w:rsidP="00A72B1B">
      <w:pPr>
        <w:pStyle w:val="affff"/>
        <w:numPr>
          <w:ilvl w:val="0"/>
          <w:numId w:val="64"/>
        </w:numPr>
        <w:spacing w:beforeAutospacing="0" w:afterAutospacing="0" w:line="360" w:lineRule="auto"/>
      </w:pPr>
      <w:r w:rsidRPr="00051772">
        <w:t>лейкоредуцированные — содержание лейкоцитов в дозе переливаемой среды снижено до 1 х 10</w:t>
      </w:r>
      <w:r w:rsidRPr="00051772">
        <w:rPr>
          <w:vertAlign w:val="superscript"/>
        </w:rPr>
        <w:t>6</w:t>
      </w:r>
      <w:r w:rsidRPr="00051772">
        <w:t> клеток</w:t>
      </w:r>
      <w:r>
        <w:t>;</w:t>
      </w:r>
    </w:p>
    <w:p w14:paraId="429E9D82" w14:textId="77777777" w:rsidR="0034590E" w:rsidRPr="00051772" w:rsidRDefault="0034590E" w:rsidP="00A72B1B">
      <w:pPr>
        <w:pStyle w:val="affff"/>
        <w:numPr>
          <w:ilvl w:val="0"/>
          <w:numId w:val="64"/>
        </w:numPr>
        <w:spacing w:beforeAutospacing="0" w:afterAutospacing="0" w:line="360" w:lineRule="auto"/>
      </w:pPr>
      <w:r w:rsidRPr="00051772">
        <w:t>облученные эритроциты и тромбоциты (гамма-излучение или рентегновское излучение в дозе 25</w:t>
      </w:r>
      <w:r>
        <w:t>-</w:t>
      </w:r>
      <w:r w:rsidRPr="00051772">
        <w:t>50 Гр)</w:t>
      </w:r>
      <w:r>
        <w:t>;</w:t>
      </w:r>
    </w:p>
    <w:p w14:paraId="5A0D6F00" w14:textId="77777777" w:rsidR="0034590E" w:rsidRPr="00051772" w:rsidRDefault="0034590E" w:rsidP="00A72B1B">
      <w:pPr>
        <w:pStyle w:val="affff"/>
        <w:numPr>
          <w:ilvl w:val="0"/>
          <w:numId w:val="64"/>
        </w:numPr>
        <w:spacing w:beforeAutospacing="0" w:afterAutospacing="0" w:line="360" w:lineRule="auto"/>
      </w:pPr>
      <w:r w:rsidRPr="00051772">
        <w:t>ограничение использования донорской плазмы путем использования взвешивающих растворов для эритроцитов</w:t>
      </w:r>
      <w:r>
        <w:t>;</w:t>
      </w:r>
    </w:p>
    <w:p w14:paraId="5068269F" w14:textId="77777777" w:rsidR="0034590E" w:rsidRPr="00051772" w:rsidRDefault="0034590E" w:rsidP="00A72B1B">
      <w:pPr>
        <w:pStyle w:val="affff"/>
        <w:numPr>
          <w:ilvl w:val="0"/>
          <w:numId w:val="64"/>
        </w:numPr>
        <w:spacing w:beforeAutospacing="0" w:afterAutospacing="0" w:line="360" w:lineRule="auto"/>
      </w:pPr>
      <w:r w:rsidRPr="00051772">
        <w:t>после исследования донорской крови на маркеры вирусных инфекций посредством молекулярно-биологических методов.</w:t>
      </w:r>
    </w:p>
    <w:p w14:paraId="469E7083" w14:textId="77777777" w:rsidR="0034590E" w:rsidRPr="00BE7AD6" w:rsidRDefault="0034590E" w:rsidP="0034590E">
      <w:pPr>
        <w:pStyle w:val="affff"/>
        <w:spacing w:beforeAutospacing="0" w:afterAutospacing="0" w:line="360" w:lineRule="auto"/>
      </w:pPr>
      <w:r w:rsidRPr="00BE7AD6">
        <w:lastRenderedPageBreak/>
        <w:t>С целью повышения безопасности трансфузий дополнительно могут применяться следующие технологии:</w:t>
      </w:r>
    </w:p>
    <w:p w14:paraId="474F27C2" w14:textId="77777777" w:rsidR="0034590E" w:rsidRPr="00BE7AD6" w:rsidRDefault="0034590E" w:rsidP="00A72B1B">
      <w:pPr>
        <w:pStyle w:val="affff"/>
        <w:numPr>
          <w:ilvl w:val="0"/>
          <w:numId w:val="65"/>
        </w:numPr>
        <w:spacing w:beforeAutospacing="0" w:afterAutospacing="0" w:line="360" w:lineRule="auto"/>
      </w:pPr>
      <w:r w:rsidRPr="00BE7AD6">
        <w:t>инактивация патогенов в концентрате тромбоцитов</w:t>
      </w:r>
      <w:r>
        <w:t>;</w:t>
      </w:r>
    </w:p>
    <w:p w14:paraId="42B512F8" w14:textId="77777777" w:rsidR="0034590E" w:rsidRPr="00BE7AD6" w:rsidRDefault="0034590E" w:rsidP="00A72B1B">
      <w:pPr>
        <w:pStyle w:val="affff"/>
        <w:numPr>
          <w:ilvl w:val="0"/>
          <w:numId w:val="65"/>
        </w:numPr>
        <w:spacing w:beforeAutospacing="0" w:afterAutospacing="0" w:line="360" w:lineRule="auto"/>
      </w:pPr>
      <w:r w:rsidRPr="00BE7AD6">
        <w:t>применение добавочных растворов для замещения донорской плазмы в концентрате тромбоцитов</w:t>
      </w:r>
      <w:r>
        <w:t>;</w:t>
      </w:r>
    </w:p>
    <w:p w14:paraId="37A59799" w14:textId="77777777" w:rsidR="0034590E" w:rsidRPr="00BE7AD6" w:rsidRDefault="0034590E" w:rsidP="00A72B1B">
      <w:pPr>
        <w:pStyle w:val="affff"/>
        <w:numPr>
          <w:ilvl w:val="0"/>
          <w:numId w:val="65"/>
        </w:numPr>
        <w:spacing w:beforeAutospacing="0" w:afterAutospacing="0" w:line="360" w:lineRule="auto"/>
      </w:pPr>
      <w:r w:rsidRPr="00BE7AD6">
        <w:t>расширение спектра тестируемых маркеров вирусных инфекций (цитомегаловирус, вирус гепатита B, T-лимфотропный вирус человека и другие).</w:t>
      </w:r>
    </w:p>
    <w:p w14:paraId="66B5AAD0" w14:textId="77777777" w:rsidR="0034590E" w:rsidRPr="00BE7AD6" w:rsidRDefault="0034590E" w:rsidP="0034590E">
      <w:pPr>
        <w:pStyle w:val="affff"/>
        <w:spacing w:beforeAutospacing="0" w:afterAutospacing="0" w:line="360" w:lineRule="auto"/>
      </w:pPr>
      <w:r w:rsidRPr="00BE7AD6">
        <w:t>Основные реакции и осложнения, связанные с трансфузией приведены в табл. </w:t>
      </w:r>
      <w:r>
        <w:t>А3.5.</w:t>
      </w:r>
      <w:r w:rsidRPr="00BE7AD6">
        <w:t>3.</w:t>
      </w:r>
    </w:p>
    <w:p w14:paraId="6266CC6C" w14:textId="77777777" w:rsidR="0034590E" w:rsidRPr="00BE7AD6" w:rsidRDefault="0034590E" w:rsidP="0034590E">
      <w:pPr>
        <w:pStyle w:val="affff"/>
        <w:spacing w:beforeAutospacing="0" w:afterAutospacing="0" w:line="360" w:lineRule="auto"/>
      </w:pPr>
    </w:p>
    <w:p w14:paraId="1CBD236D" w14:textId="77777777" w:rsidR="0034590E" w:rsidRPr="00BE7AD6" w:rsidRDefault="0034590E" w:rsidP="0034590E">
      <w:pPr>
        <w:pStyle w:val="affff"/>
        <w:spacing w:beforeAutospacing="0" w:afterAutospacing="0" w:line="360" w:lineRule="auto"/>
      </w:pPr>
      <w:r w:rsidRPr="00BE7AD6">
        <w:t xml:space="preserve">Таблица </w:t>
      </w:r>
      <w:r>
        <w:t>А3.5.</w:t>
      </w:r>
      <w:r w:rsidRPr="00BE7AD6">
        <w:t>3. Основные реакции и осложнения, связанные с трансфузией (переливанием) компонентов донорской крови</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0"/>
        <w:gridCol w:w="2340"/>
        <w:gridCol w:w="2520"/>
        <w:gridCol w:w="2284"/>
      </w:tblGrid>
      <w:tr w:rsidR="0034590E" w:rsidRPr="00BE7AD6" w14:paraId="2CD17BA7" w14:textId="77777777" w:rsidTr="00EC1C67">
        <w:tc>
          <w:tcPr>
            <w:tcW w:w="2110" w:type="dxa"/>
          </w:tcPr>
          <w:p w14:paraId="1F04DE6C" w14:textId="77777777" w:rsidR="0034590E" w:rsidRPr="00BE7AD6" w:rsidRDefault="0034590E" w:rsidP="00EC1C67">
            <w:pPr>
              <w:ind w:firstLine="0"/>
              <w:jc w:val="left"/>
            </w:pPr>
            <w:r w:rsidRPr="00BE7AD6">
              <w:t>Реакция (осложнение)</w:t>
            </w:r>
          </w:p>
        </w:tc>
        <w:tc>
          <w:tcPr>
            <w:tcW w:w="2340" w:type="dxa"/>
          </w:tcPr>
          <w:p w14:paraId="18D59633" w14:textId="77777777" w:rsidR="0034590E" w:rsidRPr="00BE7AD6" w:rsidRDefault="0034590E" w:rsidP="00EC1C67">
            <w:pPr>
              <w:ind w:firstLine="0"/>
              <w:jc w:val="left"/>
            </w:pPr>
            <w:r w:rsidRPr="00BE7AD6">
              <w:t>Причина</w:t>
            </w:r>
          </w:p>
        </w:tc>
        <w:tc>
          <w:tcPr>
            <w:tcW w:w="2520" w:type="dxa"/>
          </w:tcPr>
          <w:p w14:paraId="54EFE882" w14:textId="77777777" w:rsidR="0034590E" w:rsidRPr="00BE7AD6" w:rsidRDefault="0034590E" w:rsidP="00EC1C67">
            <w:pPr>
              <w:ind w:firstLine="0"/>
              <w:jc w:val="left"/>
            </w:pPr>
            <w:r w:rsidRPr="00BE7AD6">
              <w:t>Лечение</w:t>
            </w:r>
          </w:p>
        </w:tc>
        <w:tc>
          <w:tcPr>
            <w:tcW w:w="2284" w:type="dxa"/>
          </w:tcPr>
          <w:p w14:paraId="12B7B618" w14:textId="77777777" w:rsidR="0034590E" w:rsidRPr="00BE7AD6" w:rsidRDefault="0034590E" w:rsidP="00EC1C67">
            <w:pPr>
              <w:ind w:firstLine="0"/>
              <w:jc w:val="left"/>
            </w:pPr>
            <w:r w:rsidRPr="00BE7AD6">
              <w:t>Обязательные и дополнительные лабораторные и инструментальные исследования*</w:t>
            </w:r>
          </w:p>
        </w:tc>
      </w:tr>
      <w:tr w:rsidR="0034590E" w:rsidRPr="00BE7AD6" w14:paraId="46D3B647" w14:textId="77777777" w:rsidTr="00EC1C67">
        <w:tc>
          <w:tcPr>
            <w:tcW w:w="2110" w:type="dxa"/>
            <w:vAlign w:val="center"/>
          </w:tcPr>
          <w:p w14:paraId="7B8193B3" w14:textId="77777777" w:rsidR="0034590E" w:rsidRPr="00BE7AD6" w:rsidRDefault="0034590E" w:rsidP="00EC1C67">
            <w:pPr>
              <w:ind w:firstLine="0"/>
              <w:jc w:val="left"/>
            </w:pPr>
            <w:r w:rsidRPr="00BE7AD6">
              <w:t>Острая сердечно-сосудистая недостаточность, отек легких (синдром TACO, от transfusion associated circulatory overload)</w:t>
            </w:r>
          </w:p>
        </w:tc>
        <w:tc>
          <w:tcPr>
            <w:tcW w:w="2340" w:type="dxa"/>
          </w:tcPr>
          <w:p w14:paraId="350C38A8" w14:textId="77777777" w:rsidR="0034590E" w:rsidRPr="00BE7AD6" w:rsidRDefault="0034590E" w:rsidP="00EC1C67">
            <w:pPr>
              <w:ind w:firstLine="0"/>
              <w:jc w:val="left"/>
            </w:pPr>
            <w:r w:rsidRPr="00BE7AD6">
              <w:t>Перегрузка объемом</w:t>
            </w:r>
          </w:p>
        </w:tc>
        <w:tc>
          <w:tcPr>
            <w:tcW w:w="2520" w:type="dxa"/>
          </w:tcPr>
          <w:p w14:paraId="30E65DF9" w14:textId="77777777" w:rsidR="0034590E" w:rsidRPr="00BE7AD6" w:rsidRDefault="0034590E" w:rsidP="00EC1C67">
            <w:pPr>
              <w:ind w:firstLine="0"/>
              <w:jc w:val="left"/>
            </w:pPr>
            <w:r w:rsidRPr="00BE7AD6">
              <w:t xml:space="preserve">Симптоматическая терапия отека легких </w:t>
            </w:r>
          </w:p>
        </w:tc>
        <w:tc>
          <w:tcPr>
            <w:tcW w:w="2284" w:type="dxa"/>
          </w:tcPr>
          <w:p w14:paraId="10AFE43D" w14:textId="77777777" w:rsidR="0034590E" w:rsidRPr="00BE7AD6" w:rsidRDefault="0034590E" w:rsidP="00EC1C67">
            <w:pPr>
              <w:ind w:firstLine="0"/>
              <w:jc w:val="left"/>
            </w:pPr>
          </w:p>
        </w:tc>
      </w:tr>
      <w:tr w:rsidR="0034590E" w:rsidRPr="00BE7AD6" w14:paraId="6724D118" w14:textId="77777777" w:rsidTr="00EC1C67">
        <w:tc>
          <w:tcPr>
            <w:tcW w:w="2110" w:type="dxa"/>
          </w:tcPr>
          <w:p w14:paraId="43048B86" w14:textId="77777777" w:rsidR="0034590E" w:rsidRPr="00BE7AD6" w:rsidRDefault="0034590E" w:rsidP="00EC1C67">
            <w:pPr>
              <w:ind w:firstLine="0"/>
              <w:jc w:val="left"/>
            </w:pPr>
            <w:r w:rsidRPr="00BE7AD6">
              <w:t xml:space="preserve">Острое обусловленное трансфузией повреждение легких (синдром </w:t>
            </w:r>
            <w:r w:rsidRPr="00BE7AD6">
              <w:lastRenderedPageBreak/>
              <w:t>TRALI, от transfusion-related acute lung injury)</w:t>
            </w:r>
          </w:p>
        </w:tc>
        <w:tc>
          <w:tcPr>
            <w:tcW w:w="2340" w:type="dxa"/>
          </w:tcPr>
          <w:p w14:paraId="20696355" w14:textId="77777777" w:rsidR="0034590E" w:rsidRPr="00BE7AD6" w:rsidRDefault="0034590E" w:rsidP="00EC1C67">
            <w:pPr>
              <w:ind w:firstLine="0"/>
              <w:jc w:val="left"/>
            </w:pPr>
            <w:r w:rsidRPr="00BE7AD6">
              <w:lastRenderedPageBreak/>
              <w:t>Наличие донорских антилейкоцитарных антител в крови реципиента</w:t>
            </w:r>
          </w:p>
        </w:tc>
        <w:tc>
          <w:tcPr>
            <w:tcW w:w="2520" w:type="dxa"/>
          </w:tcPr>
          <w:p w14:paraId="06146A95" w14:textId="77777777" w:rsidR="0034590E" w:rsidRPr="00BE7AD6" w:rsidRDefault="0034590E" w:rsidP="00EC1C67">
            <w:pPr>
              <w:ind w:firstLine="0"/>
              <w:jc w:val="left"/>
            </w:pPr>
            <w:r w:rsidRPr="00BE7AD6">
              <w:t>Глюкокортикоиды Симптоматическая терапия отека легких</w:t>
            </w:r>
          </w:p>
        </w:tc>
        <w:tc>
          <w:tcPr>
            <w:tcW w:w="2284" w:type="dxa"/>
          </w:tcPr>
          <w:p w14:paraId="58497A2B" w14:textId="77777777" w:rsidR="0034590E" w:rsidRPr="00BE7AD6" w:rsidRDefault="0034590E" w:rsidP="00EC1C67">
            <w:pPr>
              <w:ind w:firstLine="0"/>
              <w:jc w:val="left"/>
            </w:pPr>
            <w:r w:rsidRPr="00BE7AD6">
              <w:t>Обязательные: прицельная рентгенография органов грудной клетки</w:t>
            </w:r>
          </w:p>
          <w:p w14:paraId="15E0ABA0" w14:textId="77777777" w:rsidR="0034590E" w:rsidRPr="00BE7AD6" w:rsidRDefault="0034590E" w:rsidP="00EC1C67">
            <w:pPr>
              <w:ind w:firstLine="0"/>
              <w:jc w:val="left"/>
            </w:pPr>
            <w:r w:rsidRPr="00BE7AD6">
              <w:lastRenderedPageBreak/>
              <w:t xml:space="preserve">Дополнительные: определение содержания антилейкоцитарных антител, определение содержания антител к цитоплазме нейтрофилов в крови </w:t>
            </w:r>
          </w:p>
        </w:tc>
      </w:tr>
      <w:tr w:rsidR="0034590E" w:rsidRPr="00BE7AD6" w14:paraId="035225F7" w14:textId="77777777" w:rsidTr="00EC1C67">
        <w:tc>
          <w:tcPr>
            <w:tcW w:w="2110" w:type="dxa"/>
          </w:tcPr>
          <w:p w14:paraId="0A7679DC" w14:textId="77777777" w:rsidR="0034590E" w:rsidRPr="00BE7AD6" w:rsidRDefault="0034590E" w:rsidP="00EC1C67">
            <w:pPr>
              <w:ind w:firstLine="0"/>
              <w:jc w:val="left"/>
            </w:pPr>
            <w:r w:rsidRPr="00BE7AD6">
              <w:lastRenderedPageBreak/>
              <w:t>Одышка, связанная с трансфузией (синдром TAD, от transfusion-associated dyspnea)</w:t>
            </w:r>
          </w:p>
        </w:tc>
        <w:tc>
          <w:tcPr>
            <w:tcW w:w="2340" w:type="dxa"/>
          </w:tcPr>
          <w:p w14:paraId="7E2DB539" w14:textId="77777777" w:rsidR="0034590E" w:rsidRPr="00BE7AD6" w:rsidRDefault="0034590E" w:rsidP="00EC1C67">
            <w:pPr>
              <w:ind w:firstLine="0"/>
              <w:jc w:val="left"/>
            </w:pPr>
            <w:r w:rsidRPr="00BE7AD6">
              <w:t>Острый респираторный дистресс-синдром, развивающийся в течение 24 часов после трансфузии</w:t>
            </w:r>
          </w:p>
        </w:tc>
        <w:tc>
          <w:tcPr>
            <w:tcW w:w="2520" w:type="dxa"/>
          </w:tcPr>
          <w:p w14:paraId="3A8E56C6" w14:textId="77777777" w:rsidR="0034590E" w:rsidRPr="00BE7AD6" w:rsidRDefault="0034590E" w:rsidP="00EC1C67">
            <w:pPr>
              <w:ind w:firstLine="0"/>
              <w:jc w:val="left"/>
            </w:pPr>
            <w:r w:rsidRPr="00BE7AD6">
              <w:t>Симптоматическая терапия</w:t>
            </w:r>
          </w:p>
        </w:tc>
        <w:tc>
          <w:tcPr>
            <w:tcW w:w="2284" w:type="dxa"/>
          </w:tcPr>
          <w:p w14:paraId="01A3C891" w14:textId="77777777" w:rsidR="0034590E" w:rsidRPr="00BE7AD6" w:rsidRDefault="0034590E" w:rsidP="00EC1C67">
            <w:pPr>
              <w:ind w:firstLine="0"/>
              <w:jc w:val="left"/>
            </w:pPr>
          </w:p>
        </w:tc>
      </w:tr>
      <w:tr w:rsidR="0034590E" w:rsidRPr="00BE7AD6" w14:paraId="624C0019" w14:textId="77777777" w:rsidTr="00EC1C67">
        <w:tc>
          <w:tcPr>
            <w:tcW w:w="2110" w:type="dxa"/>
            <w:vMerge w:val="restart"/>
          </w:tcPr>
          <w:p w14:paraId="01872C8F" w14:textId="77777777" w:rsidR="0034590E" w:rsidRPr="00BE7AD6" w:rsidRDefault="0034590E" w:rsidP="00EC1C67">
            <w:pPr>
              <w:ind w:firstLine="0"/>
              <w:jc w:val="left"/>
            </w:pPr>
            <w:r w:rsidRPr="00BE7AD6">
              <w:t>Аллергические реакции (крапивница, анафилактический шок и др.)</w:t>
            </w:r>
          </w:p>
        </w:tc>
        <w:tc>
          <w:tcPr>
            <w:tcW w:w="2340" w:type="dxa"/>
          </w:tcPr>
          <w:p w14:paraId="39C50EED" w14:textId="77777777" w:rsidR="0034590E" w:rsidRPr="00BE7AD6" w:rsidRDefault="0034590E" w:rsidP="00EC1C67">
            <w:pPr>
              <w:ind w:firstLine="0"/>
              <w:jc w:val="left"/>
            </w:pPr>
            <w:r w:rsidRPr="00BE7AD6">
              <w:t>Крапивница: наличие антител к белкам плазмы</w:t>
            </w:r>
          </w:p>
        </w:tc>
        <w:tc>
          <w:tcPr>
            <w:tcW w:w="2520" w:type="dxa"/>
          </w:tcPr>
          <w:p w14:paraId="57DA624C" w14:textId="77777777" w:rsidR="0034590E" w:rsidRPr="00BE7AD6" w:rsidRDefault="0034590E" w:rsidP="00EC1C67">
            <w:pPr>
              <w:ind w:firstLine="0"/>
              <w:jc w:val="left"/>
            </w:pPr>
            <w:r w:rsidRPr="00BE7AD6">
              <w:t>Антигистаминные средства системного действия (клемастин, 2%, 2 мг, или другой препарат с аналогичным действием)</w:t>
            </w:r>
          </w:p>
        </w:tc>
        <w:tc>
          <w:tcPr>
            <w:tcW w:w="2284" w:type="dxa"/>
          </w:tcPr>
          <w:p w14:paraId="6FF9EED3" w14:textId="77777777" w:rsidR="0034590E" w:rsidRPr="00BE7AD6" w:rsidRDefault="0034590E" w:rsidP="00EC1C67">
            <w:pPr>
              <w:ind w:firstLine="0"/>
              <w:jc w:val="left"/>
            </w:pPr>
          </w:p>
        </w:tc>
      </w:tr>
      <w:tr w:rsidR="0034590E" w:rsidRPr="00BE7AD6" w14:paraId="3B916168" w14:textId="77777777" w:rsidTr="00EC1C67">
        <w:tc>
          <w:tcPr>
            <w:tcW w:w="2110" w:type="dxa"/>
            <w:vMerge/>
            <w:vAlign w:val="center"/>
          </w:tcPr>
          <w:p w14:paraId="18ACAB35" w14:textId="77777777" w:rsidR="0034590E" w:rsidRPr="00BE7AD6" w:rsidRDefault="0034590E" w:rsidP="00EC1C67">
            <w:pPr>
              <w:ind w:firstLine="0"/>
              <w:jc w:val="left"/>
            </w:pPr>
          </w:p>
        </w:tc>
        <w:tc>
          <w:tcPr>
            <w:tcW w:w="2340" w:type="dxa"/>
          </w:tcPr>
          <w:p w14:paraId="3330C7DA" w14:textId="77777777" w:rsidR="0034590E" w:rsidRPr="00BE7AD6" w:rsidRDefault="0034590E" w:rsidP="00EC1C67">
            <w:pPr>
              <w:ind w:firstLine="0"/>
              <w:jc w:val="left"/>
            </w:pPr>
            <w:r w:rsidRPr="00BE7AD6">
              <w:t>Анафилактический шок: первичный иммунодефицит IgA у реципиента</w:t>
            </w:r>
          </w:p>
        </w:tc>
        <w:tc>
          <w:tcPr>
            <w:tcW w:w="2520" w:type="dxa"/>
          </w:tcPr>
          <w:p w14:paraId="716FC77D" w14:textId="77777777" w:rsidR="0034590E" w:rsidRPr="00BE7AD6" w:rsidRDefault="0034590E" w:rsidP="00EC1C67">
            <w:pPr>
              <w:ind w:firstLine="0"/>
              <w:jc w:val="left"/>
            </w:pPr>
            <w:r w:rsidRPr="00BE7AD6">
              <w:t>Противошоковая терапия</w:t>
            </w:r>
          </w:p>
        </w:tc>
        <w:tc>
          <w:tcPr>
            <w:tcW w:w="2284" w:type="dxa"/>
          </w:tcPr>
          <w:p w14:paraId="684509AF" w14:textId="77777777" w:rsidR="0034590E" w:rsidRPr="00BE7AD6" w:rsidRDefault="0034590E" w:rsidP="00EC1C67">
            <w:pPr>
              <w:ind w:firstLine="0"/>
              <w:jc w:val="left"/>
            </w:pPr>
            <w:r w:rsidRPr="00BE7AD6">
              <w:t>Дополнительные: оценка уровня сывороточного IgA у реципиента</w:t>
            </w:r>
          </w:p>
        </w:tc>
      </w:tr>
      <w:tr w:rsidR="0034590E" w:rsidRPr="00BE7AD6" w14:paraId="31D403FD" w14:textId="77777777" w:rsidTr="00EC1C67">
        <w:tc>
          <w:tcPr>
            <w:tcW w:w="2110" w:type="dxa"/>
          </w:tcPr>
          <w:p w14:paraId="53529CA9" w14:textId="77777777" w:rsidR="0034590E" w:rsidRPr="00BE7AD6" w:rsidRDefault="0034590E" w:rsidP="00EC1C67">
            <w:pPr>
              <w:ind w:firstLine="0"/>
              <w:jc w:val="left"/>
            </w:pPr>
            <w:r w:rsidRPr="00BE7AD6">
              <w:t xml:space="preserve">Пострансфузионная артериальная гипотония (HTR, </w:t>
            </w:r>
            <w:r w:rsidRPr="00BE7AD6">
              <w:lastRenderedPageBreak/>
              <w:t>от post-transfusion hypotension)</w:t>
            </w:r>
          </w:p>
        </w:tc>
        <w:tc>
          <w:tcPr>
            <w:tcW w:w="2340" w:type="dxa"/>
          </w:tcPr>
          <w:p w14:paraId="2350DCFB" w14:textId="77777777" w:rsidR="0034590E" w:rsidRPr="00BE7AD6" w:rsidRDefault="0034590E" w:rsidP="00EC1C67">
            <w:pPr>
              <w:ind w:firstLine="0"/>
              <w:jc w:val="left"/>
            </w:pPr>
            <w:r w:rsidRPr="00BE7AD6">
              <w:lastRenderedPageBreak/>
              <w:t>Сосудистая реакция, обусловленная выбросом брадикинина</w:t>
            </w:r>
          </w:p>
        </w:tc>
        <w:tc>
          <w:tcPr>
            <w:tcW w:w="2520" w:type="dxa"/>
          </w:tcPr>
          <w:p w14:paraId="703A5E00" w14:textId="77777777" w:rsidR="0034590E" w:rsidRPr="00BE7AD6" w:rsidRDefault="0034590E" w:rsidP="00EC1C67">
            <w:pPr>
              <w:ind w:firstLine="0"/>
              <w:jc w:val="left"/>
            </w:pPr>
            <w:r w:rsidRPr="00BE7AD6">
              <w:t xml:space="preserve">Симптоматическая терапия, в тяжелых случаях — применение </w:t>
            </w:r>
            <w:r w:rsidRPr="00BE7AD6">
              <w:lastRenderedPageBreak/>
              <w:t>кардиотонических препаратов (исключая сердечные гликозиды)</w:t>
            </w:r>
          </w:p>
        </w:tc>
        <w:tc>
          <w:tcPr>
            <w:tcW w:w="2284" w:type="dxa"/>
          </w:tcPr>
          <w:p w14:paraId="0A351785" w14:textId="77777777" w:rsidR="0034590E" w:rsidRPr="00BE7AD6" w:rsidRDefault="0034590E" w:rsidP="00EC1C67">
            <w:pPr>
              <w:ind w:firstLine="0"/>
              <w:jc w:val="left"/>
            </w:pPr>
          </w:p>
        </w:tc>
      </w:tr>
      <w:tr w:rsidR="0034590E" w:rsidRPr="00BE7AD6" w14:paraId="3C1134AF" w14:textId="77777777" w:rsidTr="00EC1C67">
        <w:tc>
          <w:tcPr>
            <w:tcW w:w="2110" w:type="dxa"/>
          </w:tcPr>
          <w:p w14:paraId="2DA9BD01" w14:textId="77777777" w:rsidR="0034590E" w:rsidRPr="00BE7AD6" w:rsidRDefault="0034590E" w:rsidP="00EC1C67">
            <w:pPr>
              <w:ind w:firstLine="0"/>
              <w:jc w:val="left"/>
            </w:pPr>
            <w:r w:rsidRPr="00BE7AD6">
              <w:t>Гипертермическая (фебрильная) негемолитическая реакция (FNHTR, от febrile non-hemolytic transfusion reaction)</w:t>
            </w:r>
          </w:p>
        </w:tc>
        <w:tc>
          <w:tcPr>
            <w:tcW w:w="2340" w:type="dxa"/>
          </w:tcPr>
          <w:p w14:paraId="63C49CC3" w14:textId="77777777" w:rsidR="0034590E" w:rsidRPr="00BE7AD6" w:rsidRDefault="0034590E" w:rsidP="00EC1C67">
            <w:pPr>
              <w:ind w:firstLine="0"/>
              <w:jc w:val="left"/>
            </w:pPr>
            <w:r w:rsidRPr="00BE7AD6">
              <w:t>Секреция цитокинов иммунокомпетентными клетками, сопровождающаяся повышением температуры тела реципиента выше 38</w:t>
            </w:r>
            <w:r w:rsidRPr="00BE7AD6">
              <w:t>С</w:t>
            </w:r>
          </w:p>
        </w:tc>
        <w:tc>
          <w:tcPr>
            <w:tcW w:w="2520" w:type="dxa"/>
          </w:tcPr>
          <w:p w14:paraId="08BED709" w14:textId="77777777" w:rsidR="0034590E" w:rsidRPr="00BE7AD6" w:rsidRDefault="0034590E" w:rsidP="00EC1C67">
            <w:pPr>
              <w:ind w:firstLine="0"/>
              <w:jc w:val="left"/>
            </w:pPr>
            <w:r w:rsidRPr="00BE7AD6">
              <w:t>Антигистаминные средства системного действия (клемастин 2%, 2 мг, или другой препарат с аналогичным действием)</w:t>
            </w:r>
          </w:p>
          <w:p w14:paraId="1C4C20DB" w14:textId="77777777" w:rsidR="0034590E" w:rsidRPr="00BE7AD6" w:rsidRDefault="0034590E" w:rsidP="00EC1C67">
            <w:pPr>
              <w:ind w:firstLine="0"/>
              <w:jc w:val="left"/>
            </w:pPr>
            <w:r w:rsidRPr="00BE7AD6">
              <w:t xml:space="preserve">Наркотические анальгетики </w:t>
            </w:r>
          </w:p>
          <w:p w14:paraId="2F9527F5" w14:textId="77777777" w:rsidR="0034590E" w:rsidRPr="00BE7AD6" w:rsidRDefault="0034590E" w:rsidP="00EC1C67">
            <w:pPr>
              <w:ind w:firstLine="0"/>
              <w:jc w:val="left"/>
            </w:pPr>
            <w:r w:rsidRPr="00BE7AD6">
              <w:t xml:space="preserve">Глюкокортикоиды </w:t>
            </w:r>
          </w:p>
        </w:tc>
        <w:tc>
          <w:tcPr>
            <w:tcW w:w="2284" w:type="dxa"/>
          </w:tcPr>
          <w:p w14:paraId="082AB6E7" w14:textId="77777777" w:rsidR="0034590E" w:rsidRPr="00BE7AD6" w:rsidRDefault="0034590E" w:rsidP="00EC1C67">
            <w:pPr>
              <w:ind w:firstLine="0"/>
              <w:jc w:val="left"/>
            </w:pPr>
            <w:r w:rsidRPr="00BE7AD6">
              <w:t xml:space="preserve">Обязательные: микробиологическое (культуральное) исследование крови на стерильность; </w:t>
            </w:r>
          </w:p>
          <w:p w14:paraId="69B767AD" w14:textId="77777777" w:rsidR="0034590E" w:rsidRPr="00BE7AD6" w:rsidRDefault="0034590E" w:rsidP="00EC1C67">
            <w:pPr>
              <w:ind w:firstLine="0"/>
              <w:jc w:val="left"/>
            </w:pPr>
            <w:r w:rsidRPr="00BE7AD6">
              <w:t>Дополнительные: определение содержания антилейкоцитарных антител, определение содержания антитромбоцитарных антител, определение содержания антител к цитоплазме нейтрофилов в крови</w:t>
            </w:r>
          </w:p>
        </w:tc>
      </w:tr>
      <w:tr w:rsidR="0034590E" w:rsidRPr="00BE7AD6" w14:paraId="2C670DB1" w14:textId="77777777" w:rsidTr="00EC1C67">
        <w:tc>
          <w:tcPr>
            <w:tcW w:w="2110" w:type="dxa"/>
            <w:vMerge w:val="restart"/>
          </w:tcPr>
          <w:p w14:paraId="7B1EF96F" w14:textId="77777777" w:rsidR="0034590E" w:rsidRPr="00BE7AD6" w:rsidRDefault="0034590E" w:rsidP="00EC1C67">
            <w:pPr>
              <w:ind w:firstLine="0"/>
              <w:jc w:val="left"/>
              <w:rPr>
                <w:lang w:val="en-US"/>
              </w:rPr>
            </w:pPr>
            <w:r w:rsidRPr="00BE7AD6">
              <w:t>Острый</w:t>
            </w:r>
            <w:r w:rsidRPr="00BE7AD6">
              <w:rPr>
                <w:lang w:val="en-US"/>
              </w:rPr>
              <w:t xml:space="preserve"> </w:t>
            </w:r>
            <w:r w:rsidRPr="00BE7AD6">
              <w:t>гемолиз</w:t>
            </w:r>
            <w:r w:rsidRPr="00BE7AD6">
              <w:rPr>
                <w:lang w:val="en-US"/>
              </w:rPr>
              <w:t xml:space="preserve"> (AHTR, </w:t>
            </w:r>
            <w:r w:rsidRPr="00BE7AD6">
              <w:t>от</w:t>
            </w:r>
            <w:r w:rsidRPr="00BE7AD6">
              <w:rPr>
                <w:lang w:val="en-US"/>
              </w:rPr>
              <w:t xml:space="preserve"> acute hemolytic transfusion reaction)</w:t>
            </w:r>
          </w:p>
        </w:tc>
        <w:tc>
          <w:tcPr>
            <w:tcW w:w="2340" w:type="dxa"/>
          </w:tcPr>
          <w:p w14:paraId="6E540BAF" w14:textId="77777777" w:rsidR="0034590E" w:rsidRPr="00BE7AD6" w:rsidRDefault="0034590E" w:rsidP="00EC1C67">
            <w:pPr>
              <w:ind w:firstLine="0"/>
              <w:jc w:val="left"/>
            </w:pPr>
            <w:r w:rsidRPr="00BE7AD6">
              <w:t xml:space="preserve">Иммунная реакция: наличие у реципиента антител к аллоантигенам эритроцитов донора (ABO, резус-фактор и другая несовместимость) </w:t>
            </w:r>
          </w:p>
        </w:tc>
        <w:tc>
          <w:tcPr>
            <w:tcW w:w="2520" w:type="dxa"/>
            <w:vMerge w:val="restart"/>
          </w:tcPr>
          <w:p w14:paraId="29513C3A" w14:textId="77777777" w:rsidR="0034590E" w:rsidRPr="00BE7AD6" w:rsidRDefault="0034590E" w:rsidP="00EC1C67">
            <w:pPr>
              <w:ind w:firstLine="0"/>
              <w:jc w:val="left"/>
            </w:pPr>
            <w:r w:rsidRPr="00BE7AD6">
              <w:t xml:space="preserve">Глюкокортикоиды </w:t>
            </w:r>
          </w:p>
          <w:p w14:paraId="2C803618" w14:textId="77777777" w:rsidR="0034590E" w:rsidRPr="00BE7AD6" w:rsidRDefault="0034590E" w:rsidP="00EC1C67">
            <w:pPr>
              <w:ind w:firstLine="0"/>
              <w:jc w:val="left"/>
            </w:pPr>
            <w:r w:rsidRPr="00BE7AD6">
              <w:t>Форсированный диурез  проводится до купирования клинических проявлений гемолиза</w:t>
            </w:r>
          </w:p>
          <w:p w14:paraId="4DA7F2F6" w14:textId="77777777" w:rsidR="0034590E" w:rsidRPr="00BE7AD6" w:rsidRDefault="0034590E" w:rsidP="00EC1C67">
            <w:pPr>
              <w:ind w:firstLine="0"/>
              <w:jc w:val="left"/>
            </w:pPr>
            <w:r w:rsidRPr="00BE7AD6">
              <w:t>Контроль АД, ЦВД, объема и цвет мочи</w:t>
            </w:r>
          </w:p>
          <w:p w14:paraId="3F20A2B5" w14:textId="77777777" w:rsidR="0034590E" w:rsidRPr="00BE7AD6" w:rsidRDefault="0034590E" w:rsidP="00EC1C67">
            <w:pPr>
              <w:ind w:firstLine="0"/>
              <w:jc w:val="left"/>
            </w:pPr>
            <w:r w:rsidRPr="00BE7AD6">
              <w:t xml:space="preserve">При неэффективности консервативной </w:t>
            </w:r>
            <w:r w:rsidRPr="00BE7AD6">
              <w:lastRenderedPageBreak/>
              <w:t>терапии или анурии —плазмаферез и гемодиализ</w:t>
            </w:r>
          </w:p>
        </w:tc>
        <w:tc>
          <w:tcPr>
            <w:tcW w:w="2284" w:type="dxa"/>
          </w:tcPr>
          <w:p w14:paraId="620EBD56" w14:textId="77777777" w:rsidR="0034590E" w:rsidRPr="00BE7AD6" w:rsidRDefault="0034590E" w:rsidP="00EC1C67">
            <w:pPr>
              <w:ind w:firstLine="0"/>
              <w:jc w:val="left"/>
            </w:pPr>
            <w:r w:rsidRPr="00BE7AD6">
              <w:lastRenderedPageBreak/>
              <w:t xml:space="preserve">Обязательные: исследование уровня свободного гемоглобина в плазме крови, исследование уровня свободного и связанного билирубина в крови, обнаружение </w:t>
            </w:r>
            <w:r w:rsidRPr="00BE7AD6">
              <w:lastRenderedPageBreak/>
              <w:t>гемоглобина в моче, определение гемосидерина в моче</w:t>
            </w:r>
            <w:r w:rsidRPr="00BE7AD6" w:rsidDel="00C2748A">
              <w:t xml:space="preserve"> </w:t>
            </w:r>
          </w:p>
          <w:p w14:paraId="6A82864C" w14:textId="77777777" w:rsidR="0034590E" w:rsidRPr="00BE7AD6" w:rsidRDefault="0034590E" w:rsidP="00EC1C67">
            <w:pPr>
              <w:ind w:firstLine="0"/>
              <w:jc w:val="left"/>
            </w:pPr>
            <w:r w:rsidRPr="00BE7AD6">
              <w:t xml:space="preserve">Дополнительные: прямой антиглобулиновый тест (прямая проба Кумбса) </w:t>
            </w:r>
          </w:p>
        </w:tc>
      </w:tr>
      <w:tr w:rsidR="0034590E" w:rsidRPr="00BE7AD6" w14:paraId="0746B2AA" w14:textId="77777777" w:rsidTr="00EC1C67">
        <w:tc>
          <w:tcPr>
            <w:tcW w:w="2110" w:type="dxa"/>
            <w:vMerge/>
          </w:tcPr>
          <w:p w14:paraId="0885115A" w14:textId="77777777" w:rsidR="0034590E" w:rsidRPr="00BE7AD6" w:rsidRDefault="0034590E" w:rsidP="00EC1C67">
            <w:pPr>
              <w:ind w:firstLine="0"/>
              <w:jc w:val="left"/>
            </w:pPr>
          </w:p>
        </w:tc>
        <w:tc>
          <w:tcPr>
            <w:tcW w:w="2340" w:type="dxa"/>
          </w:tcPr>
          <w:p w14:paraId="73F75932" w14:textId="77777777" w:rsidR="0034590E" w:rsidRPr="00BE7AD6" w:rsidRDefault="0034590E" w:rsidP="00EC1C67">
            <w:pPr>
              <w:ind w:firstLine="0"/>
              <w:jc w:val="left"/>
            </w:pPr>
            <w:r w:rsidRPr="00BE7AD6">
              <w:t>Неиммунная реакция: разрушение эритроцитов донора вследствие нарушения температурного режима или сроков хранения, несоблюдения правил подготовки к переливанию, смешивания с гипотоническим или гипертоническим растворами</w:t>
            </w:r>
          </w:p>
        </w:tc>
        <w:tc>
          <w:tcPr>
            <w:tcW w:w="2520" w:type="dxa"/>
            <w:vMerge/>
          </w:tcPr>
          <w:p w14:paraId="7325D982" w14:textId="77777777" w:rsidR="0034590E" w:rsidRPr="00BE7AD6" w:rsidRDefault="0034590E" w:rsidP="00EC1C67">
            <w:pPr>
              <w:ind w:firstLine="0"/>
              <w:jc w:val="left"/>
            </w:pPr>
          </w:p>
        </w:tc>
        <w:tc>
          <w:tcPr>
            <w:tcW w:w="2284" w:type="dxa"/>
          </w:tcPr>
          <w:p w14:paraId="0E16444B" w14:textId="77777777" w:rsidR="0034590E" w:rsidRPr="00BE7AD6" w:rsidRDefault="0034590E" w:rsidP="00EC1C67">
            <w:pPr>
              <w:ind w:firstLine="0"/>
              <w:jc w:val="left"/>
            </w:pPr>
            <w:r w:rsidRPr="00BE7AD6">
              <w:t xml:space="preserve">Обязательные: исследование уровня свободного гемоглобина в плазме крови, исследование уровня свободного и связанного билирубина в крови, обнаружение гемоглобина в моче, определение гемосидерина в моче </w:t>
            </w:r>
          </w:p>
        </w:tc>
      </w:tr>
      <w:tr w:rsidR="0034590E" w:rsidRPr="00BE7AD6" w14:paraId="6891B3EF" w14:textId="77777777" w:rsidTr="00EC1C67">
        <w:tc>
          <w:tcPr>
            <w:tcW w:w="2110" w:type="dxa"/>
          </w:tcPr>
          <w:p w14:paraId="3E40C6D3" w14:textId="77777777" w:rsidR="0034590E" w:rsidRPr="00BE7AD6" w:rsidRDefault="0034590E" w:rsidP="00EC1C67">
            <w:pPr>
              <w:ind w:firstLine="0"/>
              <w:jc w:val="left"/>
              <w:rPr>
                <w:lang w:val="en-US"/>
              </w:rPr>
            </w:pPr>
            <w:r w:rsidRPr="00BE7AD6">
              <w:t>Отсроченный</w:t>
            </w:r>
            <w:r w:rsidRPr="00BE7AD6">
              <w:rPr>
                <w:lang w:val="en-US"/>
              </w:rPr>
              <w:t xml:space="preserve"> </w:t>
            </w:r>
            <w:r w:rsidRPr="00BE7AD6">
              <w:t>гемолиз</w:t>
            </w:r>
            <w:r w:rsidRPr="00BE7AD6">
              <w:rPr>
                <w:lang w:val="en-US"/>
              </w:rPr>
              <w:t xml:space="preserve"> (DHTR, </w:t>
            </w:r>
            <w:r w:rsidRPr="00BE7AD6">
              <w:t>от</w:t>
            </w:r>
            <w:r w:rsidRPr="00BE7AD6">
              <w:rPr>
                <w:lang w:val="en-US"/>
              </w:rPr>
              <w:t xml:space="preserve"> delayed hemolytic transfusion reaction)</w:t>
            </w:r>
          </w:p>
        </w:tc>
        <w:tc>
          <w:tcPr>
            <w:tcW w:w="2340" w:type="dxa"/>
          </w:tcPr>
          <w:p w14:paraId="561866CA" w14:textId="77777777" w:rsidR="0034590E" w:rsidRPr="00BE7AD6" w:rsidRDefault="0034590E" w:rsidP="00EC1C67">
            <w:pPr>
              <w:ind w:firstLine="0"/>
              <w:jc w:val="left"/>
            </w:pPr>
            <w:r w:rsidRPr="00BE7AD6">
              <w:t>Внутриклеточный (тканевый) гемолиз в результате трансфузии несовместимых по аллоантигенам эритроцитов донора</w:t>
            </w:r>
          </w:p>
          <w:p w14:paraId="012C40EF" w14:textId="77777777" w:rsidR="0034590E" w:rsidRPr="00BE7AD6" w:rsidRDefault="0034590E" w:rsidP="00EC1C67">
            <w:pPr>
              <w:ind w:firstLine="0"/>
              <w:jc w:val="left"/>
            </w:pPr>
            <w:r w:rsidRPr="00BE7AD6">
              <w:t xml:space="preserve">Аллоиммунизация отмечается в период </w:t>
            </w:r>
            <w:r w:rsidRPr="00BE7AD6">
              <w:lastRenderedPageBreak/>
              <w:t>от 24 часов до 28 дней после трансфузии</w:t>
            </w:r>
          </w:p>
        </w:tc>
        <w:tc>
          <w:tcPr>
            <w:tcW w:w="2520" w:type="dxa"/>
          </w:tcPr>
          <w:p w14:paraId="19C3B35E" w14:textId="77777777" w:rsidR="0034590E" w:rsidRPr="00BE7AD6" w:rsidRDefault="0034590E" w:rsidP="00EC1C67">
            <w:pPr>
              <w:ind w:firstLine="0"/>
              <w:jc w:val="left"/>
            </w:pPr>
            <w:r w:rsidRPr="00BE7AD6">
              <w:lastRenderedPageBreak/>
              <w:t xml:space="preserve"> Глюкокортикоиды </w:t>
            </w:r>
          </w:p>
          <w:p w14:paraId="03C4ECE1" w14:textId="77777777" w:rsidR="0034590E" w:rsidRPr="00BE7AD6" w:rsidRDefault="0034590E" w:rsidP="00EC1C67">
            <w:pPr>
              <w:ind w:firstLine="0"/>
              <w:jc w:val="left"/>
            </w:pPr>
            <w:r w:rsidRPr="00BE7AD6">
              <w:t>Форсированный диурез; проводится до купирования клинических проявлений гемолиза</w:t>
            </w:r>
          </w:p>
          <w:p w14:paraId="34C0168B" w14:textId="77777777" w:rsidR="0034590E" w:rsidRPr="00BE7AD6" w:rsidRDefault="0034590E" w:rsidP="00EC1C67">
            <w:pPr>
              <w:ind w:firstLine="0"/>
              <w:jc w:val="left"/>
            </w:pPr>
            <w:r w:rsidRPr="00BE7AD6">
              <w:t>Контроль АД, ЦВД, объема и цвет мочи</w:t>
            </w:r>
          </w:p>
          <w:p w14:paraId="482DA76D" w14:textId="77777777" w:rsidR="0034590E" w:rsidRPr="00BE7AD6" w:rsidRDefault="0034590E" w:rsidP="00EC1C67">
            <w:pPr>
              <w:ind w:firstLine="0"/>
              <w:jc w:val="left"/>
            </w:pPr>
            <w:r w:rsidRPr="00BE7AD6">
              <w:lastRenderedPageBreak/>
              <w:t>При неэффективности консервативной терапии или анурии —плазмаферез и гемодиализ</w:t>
            </w:r>
          </w:p>
        </w:tc>
        <w:tc>
          <w:tcPr>
            <w:tcW w:w="2284" w:type="dxa"/>
          </w:tcPr>
          <w:p w14:paraId="1A7CE963" w14:textId="77777777" w:rsidR="0034590E" w:rsidRPr="00BE7AD6" w:rsidRDefault="0034590E" w:rsidP="00EC1C67">
            <w:pPr>
              <w:ind w:firstLine="0"/>
              <w:jc w:val="left"/>
            </w:pPr>
            <w:r w:rsidRPr="00BE7AD6">
              <w:lastRenderedPageBreak/>
              <w:t xml:space="preserve">Обязательные: исследование уровня свободного гемоглобина в плазме крови, исследование уровня свободного и связанного билирубина в крови, </w:t>
            </w:r>
            <w:r w:rsidRPr="00BE7AD6">
              <w:lastRenderedPageBreak/>
              <w:t>обнаружение гемоглобина в моче, определение гемосидерина в моче; прямой антиглобулиновый тест (прямая проба Кумбса)</w:t>
            </w:r>
          </w:p>
          <w:p w14:paraId="45124299" w14:textId="77777777" w:rsidR="0034590E" w:rsidRPr="00BE7AD6" w:rsidRDefault="0034590E" w:rsidP="00EC1C67">
            <w:pPr>
              <w:ind w:firstLine="0"/>
              <w:jc w:val="left"/>
            </w:pPr>
          </w:p>
        </w:tc>
      </w:tr>
      <w:tr w:rsidR="0034590E" w:rsidRPr="00BE7AD6" w14:paraId="31D84AD5" w14:textId="77777777" w:rsidTr="00EC1C67">
        <w:tc>
          <w:tcPr>
            <w:tcW w:w="2110" w:type="dxa"/>
          </w:tcPr>
          <w:p w14:paraId="38B0B530" w14:textId="77777777" w:rsidR="0034590E" w:rsidRPr="00BE7AD6" w:rsidRDefault="0034590E" w:rsidP="00EC1C67">
            <w:pPr>
              <w:ind w:firstLine="0"/>
              <w:jc w:val="left"/>
            </w:pPr>
            <w:r w:rsidRPr="00BE7AD6">
              <w:lastRenderedPageBreak/>
              <w:t>Отсроченная серологическая трансфузионная реакция (DSTR, от delayed serologic transfusion reaction)</w:t>
            </w:r>
          </w:p>
        </w:tc>
        <w:tc>
          <w:tcPr>
            <w:tcW w:w="2340" w:type="dxa"/>
          </w:tcPr>
          <w:p w14:paraId="6E23B259" w14:textId="77777777" w:rsidR="0034590E" w:rsidRPr="00BE7AD6" w:rsidRDefault="0034590E" w:rsidP="00EC1C67">
            <w:pPr>
              <w:ind w:firstLine="0"/>
              <w:jc w:val="left"/>
            </w:pPr>
            <w:r w:rsidRPr="00BE7AD6">
              <w:t>Непосредственно после трансфузии признаки гемолиза отсутствуют; в срок от 24 ч до 28 дней после трансфузии у реципиента выявляются новые антиэритроцитарные аллоантитела</w:t>
            </w:r>
          </w:p>
        </w:tc>
        <w:tc>
          <w:tcPr>
            <w:tcW w:w="2520" w:type="dxa"/>
          </w:tcPr>
          <w:p w14:paraId="6A7DFE36" w14:textId="77777777" w:rsidR="0034590E" w:rsidRPr="00BE7AD6" w:rsidRDefault="0034590E" w:rsidP="00EC1C67">
            <w:pPr>
              <w:ind w:firstLine="0"/>
              <w:jc w:val="left"/>
            </w:pPr>
          </w:p>
        </w:tc>
        <w:tc>
          <w:tcPr>
            <w:tcW w:w="2284" w:type="dxa"/>
          </w:tcPr>
          <w:p w14:paraId="7E8E3D72" w14:textId="77777777" w:rsidR="0034590E" w:rsidRPr="00BE7AD6" w:rsidRDefault="0034590E" w:rsidP="00EC1C67">
            <w:pPr>
              <w:ind w:firstLine="0"/>
              <w:jc w:val="left"/>
            </w:pPr>
            <w:r w:rsidRPr="00BE7AD6">
              <w:t>Обязательные: прямой антиглобулиновый тест (прямая проба Кумбса)</w:t>
            </w:r>
          </w:p>
        </w:tc>
      </w:tr>
      <w:tr w:rsidR="0034590E" w:rsidRPr="00BE7AD6" w14:paraId="3C1320AF" w14:textId="77777777" w:rsidTr="00EC1C67">
        <w:tc>
          <w:tcPr>
            <w:tcW w:w="2110" w:type="dxa"/>
          </w:tcPr>
          <w:p w14:paraId="51BB9024" w14:textId="77777777" w:rsidR="0034590E" w:rsidRPr="00BE7AD6" w:rsidRDefault="0034590E" w:rsidP="00EC1C67">
            <w:pPr>
              <w:ind w:firstLine="0"/>
              <w:jc w:val="left"/>
            </w:pPr>
            <w:r w:rsidRPr="00BE7AD6">
              <w:t>Посттрансфузионная реакция «трансплантат против хозяина» (TA-GVHD, от transfusion-associated graft-versus-host-disease)</w:t>
            </w:r>
          </w:p>
        </w:tc>
        <w:tc>
          <w:tcPr>
            <w:tcW w:w="2340" w:type="dxa"/>
          </w:tcPr>
          <w:p w14:paraId="239588DA" w14:textId="77777777" w:rsidR="0034590E" w:rsidRPr="00BE7AD6" w:rsidRDefault="0034590E" w:rsidP="00EC1C67">
            <w:pPr>
              <w:ind w:firstLine="0"/>
              <w:jc w:val="left"/>
            </w:pPr>
            <w:r w:rsidRPr="00BE7AD6">
              <w:t xml:space="preserve">Введение иммунокомпетентных клеток донора (T-лимфоцитов) иммунокомпрометированному реципиенту приводит к их пролиферации и дифференцировке в организме реципиента, что вызывает </w:t>
            </w:r>
            <w:r w:rsidRPr="00BE7AD6">
              <w:lastRenderedPageBreak/>
              <w:t>повреждение клеток реципиента, экспрессирующих HLA-антигены I и II классов (кожа, ЖКТ, печень, селезенка, костный мозг)</w:t>
            </w:r>
          </w:p>
          <w:p w14:paraId="3AAFC985" w14:textId="77777777" w:rsidR="0034590E" w:rsidRPr="00BE7AD6" w:rsidRDefault="0034590E" w:rsidP="00EC1C67">
            <w:pPr>
              <w:ind w:firstLine="0"/>
              <w:jc w:val="left"/>
            </w:pPr>
            <w:r w:rsidRPr="00BE7AD6">
              <w:t>Характерны кожная эритема, диарея, поражение печени с гепатомегалией</w:t>
            </w:r>
          </w:p>
          <w:p w14:paraId="04D2C13F" w14:textId="77777777" w:rsidR="0034590E" w:rsidRPr="00BE7AD6" w:rsidRDefault="0034590E" w:rsidP="00EC1C67">
            <w:pPr>
              <w:ind w:firstLine="0"/>
              <w:jc w:val="left"/>
            </w:pPr>
            <w:r w:rsidRPr="00BE7AD6">
              <w:t>Синдром может развиваться в сроки от 2 дней до 6 недель после трансфузии</w:t>
            </w:r>
          </w:p>
        </w:tc>
        <w:tc>
          <w:tcPr>
            <w:tcW w:w="2520" w:type="dxa"/>
          </w:tcPr>
          <w:p w14:paraId="244C3DC5" w14:textId="77777777" w:rsidR="0034590E" w:rsidRPr="00BE7AD6" w:rsidRDefault="0034590E" w:rsidP="00EC1C67">
            <w:pPr>
              <w:ind w:firstLine="0"/>
              <w:jc w:val="left"/>
            </w:pPr>
            <w:r w:rsidRPr="00BE7AD6">
              <w:lastRenderedPageBreak/>
              <w:t>Глюкокортикоиды</w:t>
            </w:r>
          </w:p>
        </w:tc>
        <w:tc>
          <w:tcPr>
            <w:tcW w:w="2284" w:type="dxa"/>
          </w:tcPr>
          <w:p w14:paraId="1BEA64AB" w14:textId="77777777" w:rsidR="0034590E" w:rsidRPr="00BE7AD6" w:rsidRDefault="0034590E" w:rsidP="00EC1C67">
            <w:pPr>
              <w:ind w:firstLine="0"/>
              <w:jc w:val="left"/>
            </w:pPr>
            <w:r w:rsidRPr="00BE7AD6">
              <w:t xml:space="preserve">Обязательные: общий (клинический) анализ крови, анализ крови биохимический общетерапевтический (АЛТ, АСТ, щелочная фосфатаза,  свободный и связанный билирубин), </w:t>
            </w:r>
            <w:r w:rsidRPr="00BE7AD6">
              <w:lastRenderedPageBreak/>
              <w:t>коагулограмма (ориентировочное исследование системы гемостаза), патолого-анатомическое исследование биопсийного (операционного) материала кожи</w:t>
            </w:r>
            <w:r w:rsidRPr="00BE7AD6" w:rsidDel="006465DF">
              <w:t xml:space="preserve"> </w:t>
            </w:r>
            <w:r w:rsidRPr="00BE7AD6">
              <w:t>(при наличии кожной эритемы)</w:t>
            </w:r>
          </w:p>
          <w:p w14:paraId="0A24AD25" w14:textId="77777777" w:rsidR="0034590E" w:rsidRPr="00BE7AD6" w:rsidRDefault="0034590E" w:rsidP="00EC1C67">
            <w:pPr>
              <w:ind w:firstLine="0"/>
              <w:jc w:val="left"/>
            </w:pPr>
            <w:r w:rsidRPr="00BE7AD6">
              <w:t xml:space="preserve">Дополнительные: молекулярно-генетическое исследование химеризма кроветворения после неродственной трансплантации костного мозга, ультразвуковое исследование органов брюшной полости (комплексное) </w:t>
            </w:r>
          </w:p>
        </w:tc>
      </w:tr>
      <w:tr w:rsidR="0034590E" w:rsidRPr="00BE7AD6" w14:paraId="6CF88A28" w14:textId="77777777" w:rsidTr="00EC1C67">
        <w:tc>
          <w:tcPr>
            <w:tcW w:w="2110" w:type="dxa"/>
          </w:tcPr>
          <w:p w14:paraId="44D9B4E9" w14:textId="77777777" w:rsidR="0034590E" w:rsidRPr="00BE7AD6" w:rsidRDefault="0034590E" w:rsidP="00EC1C67">
            <w:pPr>
              <w:ind w:firstLine="0"/>
              <w:jc w:val="left"/>
            </w:pPr>
            <w:r w:rsidRPr="00BE7AD6">
              <w:lastRenderedPageBreak/>
              <w:t>Пострансфузионная пурпура (PTP, от post-transfusion purpura)</w:t>
            </w:r>
          </w:p>
        </w:tc>
        <w:tc>
          <w:tcPr>
            <w:tcW w:w="2340" w:type="dxa"/>
          </w:tcPr>
          <w:p w14:paraId="6EFE3897" w14:textId="77777777" w:rsidR="0034590E" w:rsidRPr="00BE7AD6" w:rsidRDefault="0034590E" w:rsidP="00EC1C67">
            <w:pPr>
              <w:ind w:firstLine="0"/>
              <w:jc w:val="left"/>
            </w:pPr>
            <w:r w:rsidRPr="00BE7AD6">
              <w:t xml:space="preserve">Образование антител к тромбоцитам или лейкоцитам (анти-HLA, анти-HPA) через 5—12 дней после трансфузии, проявляющееся </w:t>
            </w:r>
            <w:r w:rsidRPr="00BE7AD6">
              <w:lastRenderedPageBreak/>
              <w:t>выраженной тромбоцитопенией и геморрагическим синдромом</w:t>
            </w:r>
          </w:p>
        </w:tc>
        <w:tc>
          <w:tcPr>
            <w:tcW w:w="2520" w:type="dxa"/>
          </w:tcPr>
          <w:p w14:paraId="29CDF2EA" w14:textId="77777777" w:rsidR="0034590E" w:rsidRPr="00BE7AD6" w:rsidRDefault="0034590E" w:rsidP="00EC1C67">
            <w:pPr>
              <w:ind w:firstLine="0"/>
              <w:jc w:val="left"/>
            </w:pPr>
            <w:r w:rsidRPr="00BE7AD6">
              <w:lastRenderedPageBreak/>
              <w:t xml:space="preserve">Глюкокортикоиды </w:t>
            </w:r>
          </w:p>
        </w:tc>
        <w:tc>
          <w:tcPr>
            <w:tcW w:w="2284" w:type="dxa"/>
          </w:tcPr>
          <w:p w14:paraId="5CECD0CD" w14:textId="77777777" w:rsidR="0034590E" w:rsidRPr="00BE7AD6" w:rsidRDefault="0034590E" w:rsidP="00EC1C67">
            <w:pPr>
              <w:ind w:firstLine="0"/>
              <w:jc w:val="left"/>
            </w:pPr>
            <w:r w:rsidRPr="00BE7AD6">
              <w:t xml:space="preserve">Обязательные: общий (клинический) анализ крови, определение содержания </w:t>
            </w:r>
            <w:r w:rsidRPr="00BE7AD6">
              <w:lastRenderedPageBreak/>
              <w:t xml:space="preserve">антилейкоцитарных антител </w:t>
            </w:r>
          </w:p>
          <w:p w14:paraId="0413217E" w14:textId="77777777" w:rsidR="0034590E" w:rsidRPr="00BE7AD6" w:rsidRDefault="0034590E" w:rsidP="00EC1C67">
            <w:pPr>
              <w:ind w:firstLine="0"/>
              <w:jc w:val="left"/>
            </w:pPr>
            <w:r w:rsidRPr="00BE7AD6">
              <w:t>Дополнительные: определение содержания антитромбоцитарных антител</w:t>
            </w:r>
          </w:p>
        </w:tc>
      </w:tr>
      <w:tr w:rsidR="0034590E" w:rsidRPr="00BE7AD6" w14:paraId="6DD6C0C3" w14:textId="77777777" w:rsidTr="00EC1C67">
        <w:tc>
          <w:tcPr>
            <w:tcW w:w="2110" w:type="dxa"/>
            <w:vMerge w:val="restart"/>
          </w:tcPr>
          <w:p w14:paraId="15D900E4" w14:textId="77777777" w:rsidR="0034590E" w:rsidRPr="00BE7AD6" w:rsidRDefault="0034590E" w:rsidP="00EC1C67">
            <w:pPr>
              <w:ind w:firstLine="0"/>
              <w:jc w:val="left"/>
            </w:pPr>
            <w:r w:rsidRPr="00BE7AD6">
              <w:lastRenderedPageBreak/>
              <w:t>Другие</w:t>
            </w:r>
          </w:p>
        </w:tc>
        <w:tc>
          <w:tcPr>
            <w:tcW w:w="2340" w:type="dxa"/>
          </w:tcPr>
          <w:p w14:paraId="4103F515" w14:textId="77777777" w:rsidR="0034590E" w:rsidRPr="00BE7AD6" w:rsidRDefault="0034590E" w:rsidP="00EC1C67">
            <w:pPr>
              <w:ind w:firstLine="0"/>
              <w:jc w:val="left"/>
            </w:pPr>
            <w:r w:rsidRPr="00BE7AD6">
              <w:t>Септический шок при переливании инфицированного компонента крови</w:t>
            </w:r>
          </w:p>
        </w:tc>
        <w:tc>
          <w:tcPr>
            <w:tcW w:w="2520" w:type="dxa"/>
          </w:tcPr>
          <w:p w14:paraId="4FDE00B1" w14:textId="77777777" w:rsidR="0034590E" w:rsidRPr="00BE7AD6" w:rsidRDefault="0034590E" w:rsidP="00EC1C67">
            <w:pPr>
              <w:ind w:firstLine="0"/>
              <w:jc w:val="left"/>
            </w:pPr>
            <w:r w:rsidRPr="00BE7AD6">
              <w:t>Антибактериальная терапия широкого спектра действия, противошоковая терапия</w:t>
            </w:r>
          </w:p>
        </w:tc>
        <w:tc>
          <w:tcPr>
            <w:tcW w:w="2284" w:type="dxa"/>
          </w:tcPr>
          <w:p w14:paraId="12CD6CE1" w14:textId="77777777" w:rsidR="0034590E" w:rsidRPr="00BE7AD6" w:rsidRDefault="0034590E" w:rsidP="00EC1C67">
            <w:pPr>
              <w:ind w:firstLine="0"/>
              <w:jc w:val="left"/>
            </w:pPr>
            <w:r w:rsidRPr="00BE7AD6">
              <w:t xml:space="preserve">Обязательные: Микробиологическое (культуральное) исследование крови на стерильность </w:t>
            </w:r>
          </w:p>
        </w:tc>
      </w:tr>
      <w:tr w:rsidR="0034590E" w:rsidRPr="00BE7AD6" w14:paraId="41C6964C" w14:textId="77777777" w:rsidTr="00EC1C67">
        <w:tc>
          <w:tcPr>
            <w:tcW w:w="2110" w:type="dxa"/>
            <w:vMerge/>
          </w:tcPr>
          <w:p w14:paraId="62ADEE8D" w14:textId="77777777" w:rsidR="0034590E" w:rsidRPr="00BE7AD6" w:rsidRDefault="0034590E" w:rsidP="00EC1C67">
            <w:pPr>
              <w:ind w:firstLine="0"/>
              <w:jc w:val="left"/>
            </w:pPr>
          </w:p>
        </w:tc>
        <w:tc>
          <w:tcPr>
            <w:tcW w:w="2340" w:type="dxa"/>
          </w:tcPr>
          <w:p w14:paraId="45A57ED9" w14:textId="77777777" w:rsidR="0034590E" w:rsidRPr="00BE7AD6" w:rsidRDefault="0034590E" w:rsidP="00EC1C67">
            <w:pPr>
              <w:ind w:firstLine="0"/>
              <w:jc w:val="left"/>
            </w:pPr>
            <w:r w:rsidRPr="00BE7AD6">
              <w:t>Перегрузка железом (гемосидероз) органов в результате множественных переливаний эритроцитов</w:t>
            </w:r>
          </w:p>
        </w:tc>
        <w:tc>
          <w:tcPr>
            <w:tcW w:w="2520" w:type="dxa"/>
          </w:tcPr>
          <w:p w14:paraId="79002CAF" w14:textId="77777777" w:rsidR="0034590E" w:rsidRPr="00BE7AD6" w:rsidRDefault="0034590E" w:rsidP="00EC1C67">
            <w:pPr>
              <w:ind w:firstLine="0"/>
              <w:jc w:val="left"/>
            </w:pPr>
            <w:r w:rsidRPr="00BE7AD6">
              <w:t>Железосвязывающие препараты (деферазирокс**, 15—20 мг/кг или другой препарат с аналогичным действием)</w:t>
            </w:r>
          </w:p>
        </w:tc>
        <w:tc>
          <w:tcPr>
            <w:tcW w:w="2284" w:type="dxa"/>
          </w:tcPr>
          <w:p w14:paraId="16BF3E52" w14:textId="77777777" w:rsidR="0034590E" w:rsidRPr="00BE7AD6" w:rsidRDefault="0034590E" w:rsidP="00EC1C67">
            <w:pPr>
              <w:ind w:firstLine="0"/>
              <w:jc w:val="left"/>
            </w:pPr>
            <w:r w:rsidRPr="00BE7AD6">
              <w:t>Обязательные: исследование уровня ферритина в крови определение уровня ферритина в сыворотке (не должен превышать 1000 мкг/л)</w:t>
            </w:r>
          </w:p>
        </w:tc>
      </w:tr>
    </w:tbl>
    <w:p w14:paraId="7A80B886" w14:textId="77777777" w:rsidR="0034590E" w:rsidRPr="00BE7AD6" w:rsidRDefault="0034590E" w:rsidP="0034590E">
      <w:pPr>
        <w:pStyle w:val="affff"/>
        <w:spacing w:beforeAutospacing="0" w:afterAutospacing="0" w:line="360" w:lineRule="auto"/>
      </w:pPr>
      <w:r w:rsidRPr="00BE7AD6">
        <w:t>* Контейнер с компонентом крови, при трансфузии которого возникла реакция или осложнение, передается в установленном порядке для оценки параметров качества и безопасности.</w:t>
      </w:r>
    </w:p>
    <w:p w14:paraId="3733E17E" w14:textId="77777777" w:rsidR="0034590E" w:rsidRPr="00BE7AD6" w:rsidRDefault="0034590E" w:rsidP="0034590E">
      <w:pPr>
        <w:pStyle w:val="affff"/>
        <w:spacing w:beforeAutospacing="0" w:afterAutospacing="0" w:line="360" w:lineRule="auto"/>
      </w:pPr>
    </w:p>
    <w:p w14:paraId="5C5E7F81" w14:textId="77777777" w:rsidR="0034590E" w:rsidRPr="00BE7AD6" w:rsidRDefault="0034590E" w:rsidP="0034590E">
      <w:pPr>
        <w:pStyle w:val="affff"/>
        <w:spacing w:beforeAutospacing="0" w:afterAutospacing="0" w:line="360" w:lineRule="auto"/>
      </w:pPr>
      <w:r w:rsidRPr="00BE7AD6">
        <w:t>Степень тяжести посттрансфузионных реакции и осложнений можно определить по шкале, приведенной в табл. </w:t>
      </w:r>
      <w:r>
        <w:t>А3.5.</w:t>
      </w:r>
      <w:r w:rsidRPr="00BE7AD6">
        <w:t>4.</w:t>
      </w:r>
    </w:p>
    <w:p w14:paraId="304E64CF" w14:textId="77777777" w:rsidR="0034590E" w:rsidRPr="00BE7AD6" w:rsidRDefault="0034590E" w:rsidP="0034590E">
      <w:pPr>
        <w:pStyle w:val="affff"/>
        <w:spacing w:beforeAutospacing="0" w:afterAutospacing="0" w:line="360" w:lineRule="auto"/>
      </w:pPr>
    </w:p>
    <w:p w14:paraId="4A7E3716" w14:textId="77777777" w:rsidR="0034590E" w:rsidRPr="00BE7AD6" w:rsidRDefault="0034590E" w:rsidP="0034590E">
      <w:pPr>
        <w:pStyle w:val="affff"/>
        <w:spacing w:beforeAutospacing="0" w:afterAutospacing="0" w:line="360" w:lineRule="auto"/>
      </w:pPr>
      <w:r w:rsidRPr="00BE7AD6">
        <w:t xml:space="preserve">Таблица </w:t>
      </w:r>
      <w:r>
        <w:t>А3.5.</w:t>
      </w:r>
      <w:r w:rsidRPr="00BE7AD6">
        <w:t>4. Шкала степени тяжести реакции или осложнения</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380"/>
      </w:tblGrid>
      <w:tr w:rsidR="0034590E" w:rsidRPr="00BE7AD6" w14:paraId="1DDAF5BF" w14:textId="77777777" w:rsidTr="00EC1C67">
        <w:tc>
          <w:tcPr>
            <w:tcW w:w="1800" w:type="dxa"/>
          </w:tcPr>
          <w:p w14:paraId="67141152" w14:textId="77777777" w:rsidR="0034590E" w:rsidRPr="00BE7AD6" w:rsidRDefault="0034590E" w:rsidP="00EC1C67">
            <w:pPr>
              <w:ind w:firstLine="0"/>
            </w:pPr>
            <w:r w:rsidRPr="00BE7AD6">
              <w:t>Категория</w:t>
            </w:r>
          </w:p>
        </w:tc>
        <w:tc>
          <w:tcPr>
            <w:tcW w:w="7380" w:type="dxa"/>
          </w:tcPr>
          <w:p w14:paraId="07E957D3" w14:textId="77777777" w:rsidR="0034590E" w:rsidRPr="00BE7AD6" w:rsidRDefault="0034590E" w:rsidP="00EC1C67">
            <w:pPr>
              <w:ind w:firstLine="0"/>
            </w:pPr>
            <w:r w:rsidRPr="00BE7AD6">
              <w:t>Определение</w:t>
            </w:r>
          </w:p>
        </w:tc>
      </w:tr>
      <w:tr w:rsidR="0034590E" w:rsidRPr="00BE7AD6" w14:paraId="6E30AC8F" w14:textId="77777777" w:rsidTr="00EC1C67">
        <w:tc>
          <w:tcPr>
            <w:tcW w:w="1800" w:type="dxa"/>
          </w:tcPr>
          <w:p w14:paraId="74126DC9" w14:textId="77777777" w:rsidR="0034590E" w:rsidRPr="00BE7AD6" w:rsidRDefault="0034590E" w:rsidP="00EC1C67">
            <w:pPr>
              <w:ind w:firstLine="0"/>
            </w:pPr>
            <w:r w:rsidRPr="00BE7AD6">
              <w:t>0</w:t>
            </w:r>
          </w:p>
        </w:tc>
        <w:tc>
          <w:tcPr>
            <w:tcW w:w="7380" w:type="dxa"/>
          </w:tcPr>
          <w:p w14:paraId="020AAA37" w14:textId="77777777" w:rsidR="0034590E" w:rsidRPr="00BE7AD6" w:rsidRDefault="0034590E" w:rsidP="00EC1C67">
            <w:pPr>
              <w:ind w:firstLine="0"/>
            </w:pPr>
            <w:r w:rsidRPr="00BE7AD6">
              <w:t>Реакции и осложнений нет</w:t>
            </w:r>
          </w:p>
        </w:tc>
      </w:tr>
      <w:tr w:rsidR="0034590E" w:rsidRPr="00BE7AD6" w14:paraId="42CBAA66" w14:textId="77777777" w:rsidTr="00EC1C67">
        <w:tc>
          <w:tcPr>
            <w:tcW w:w="1800" w:type="dxa"/>
          </w:tcPr>
          <w:p w14:paraId="5C58ED13" w14:textId="77777777" w:rsidR="0034590E" w:rsidRPr="00BE7AD6" w:rsidRDefault="0034590E" w:rsidP="00EC1C67">
            <w:pPr>
              <w:ind w:firstLine="0"/>
            </w:pPr>
            <w:r w:rsidRPr="00BE7AD6">
              <w:lastRenderedPageBreak/>
              <w:t>1</w:t>
            </w:r>
          </w:p>
        </w:tc>
        <w:tc>
          <w:tcPr>
            <w:tcW w:w="7380" w:type="dxa"/>
          </w:tcPr>
          <w:p w14:paraId="5A8BDDDF" w14:textId="77777777" w:rsidR="0034590E" w:rsidRPr="00BE7AD6" w:rsidRDefault="0034590E" w:rsidP="00EC1C67">
            <w:pPr>
              <w:ind w:firstLine="0"/>
            </w:pPr>
            <w:r w:rsidRPr="00BE7AD6">
              <w:t>Легкой степени: температура &lt; 38</w:t>
            </w:r>
            <w:r w:rsidRPr="00BE7AD6">
              <w:t>C, другие незначительные симптомы, без долгосрочных патологических последствий. Не требует терапевтического вмешательства</w:t>
            </w:r>
          </w:p>
        </w:tc>
      </w:tr>
      <w:tr w:rsidR="0034590E" w:rsidRPr="00BE7AD6" w14:paraId="363AAE1D" w14:textId="77777777" w:rsidTr="00EC1C67">
        <w:tc>
          <w:tcPr>
            <w:tcW w:w="1800" w:type="dxa"/>
          </w:tcPr>
          <w:p w14:paraId="1A54E499" w14:textId="77777777" w:rsidR="0034590E" w:rsidRPr="00BE7AD6" w:rsidRDefault="0034590E" w:rsidP="00EC1C67">
            <w:pPr>
              <w:ind w:firstLine="0"/>
            </w:pPr>
            <w:r w:rsidRPr="00BE7AD6">
              <w:t>2</w:t>
            </w:r>
          </w:p>
        </w:tc>
        <w:tc>
          <w:tcPr>
            <w:tcW w:w="7380" w:type="dxa"/>
          </w:tcPr>
          <w:p w14:paraId="45D27761" w14:textId="77777777" w:rsidR="0034590E" w:rsidRPr="00BE7AD6" w:rsidRDefault="0034590E" w:rsidP="00EC1C67">
            <w:pPr>
              <w:ind w:firstLine="0"/>
            </w:pPr>
            <w:r w:rsidRPr="00BE7AD6">
              <w:t>Средней степени: симптомы, требующие терапевтического вмешательства, стабильные гемодинамические и вентиляционные показатели, возможны долгосрочные последствия (например, аллосенсибилизация в качестве причины рефрактерности к трансфузиям)</w:t>
            </w:r>
          </w:p>
        </w:tc>
      </w:tr>
      <w:tr w:rsidR="0034590E" w:rsidRPr="00BE7AD6" w14:paraId="2D18FD62" w14:textId="77777777" w:rsidTr="00EC1C67">
        <w:tc>
          <w:tcPr>
            <w:tcW w:w="1800" w:type="dxa"/>
          </w:tcPr>
          <w:p w14:paraId="04365B44" w14:textId="77777777" w:rsidR="0034590E" w:rsidRPr="00BE7AD6" w:rsidRDefault="0034590E" w:rsidP="00EC1C67">
            <w:pPr>
              <w:ind w:firstLine="0"/>
            </w:pPr>
            <w:r w:rsidRPr="00BE7AD6">
              <w:t>3</w:t>
            </w:r>
          </w:p>
        </w:tc>
        <w:tc>
          <w:tcPr>
            <w:tcW w:w="7380" w:type="dxa"/>
          </w:tcPr>
          <w:p w14:paraId="3457F32E" w14:textId="77777777" w:rsidR="0034590E" w:rsidRPr="00BE7AD6" w:rsidRDefault="0034590E" w:rsidP="00EC1C67">
            <w:pPr>
              <w:ind w:firstLine="0"/>
            </w:pPr>
            <w:r w:rsidRPr="00BE7AD6">
              <w:t>Тяжелой степени (непосредственная угроза жизни реципиента): нестабильные гемодинамические и вентиляционные показатели</w:t>
            </w:r>
          </w:p>
        </w:tc>
      </w:tr>
      <w:tr w:rsidR="0034590E" w:rsidRPr="00BE7AD6" w14:paraId="0BB95942" w14:textId="77777777" w:rsidTr="00EC1C67">
        <w:tc>
          <w:tcPr>
            <w:tcW w:w="1800" w:type="dxa"/>
          </w:tcPr>
          <w:p w14:paraId="32BD71FE" w14:textId="77777777" w:rsidR="0034590E" w:rsidRPr="00BE7AD6" w:rsidRDefault="0034590E" w:rsidP="00EC1C67">
            <w:pPr>
              <w:ind w:firstLine="0"/>
            </w:pPr>
            <w:r w:rsidRPr="00BE7AD6">
              <w:t>4</w:t>
            </w:r>
          </w:p>
        </w:tc>
        <w:tc>
          <w:tcPr>
            <w:tcW w:w="7380" w:type="dxa"/>
          </w:tcPr>
          <w:p w14:paraId="28CAEB80" w14:textId="77777777" w:rsidR="0034590E" w:rsidRPr="00BE7AD6" w:rsidRDefault="0034590E" w:rsidP="00EC1C67">
            <w:pPr>
              <w:ind w:firstLine="0"/>
            </w:pPr>
            <w:r w:rsidRPr="00BE7AD6">
              <w:t>Смерть от осложнения, выявленного в первые 24 часов после трансфузии</w:t>
            </w:r>
          </w:p>
        </w:tc>
      </w:tr>
    </w:tbl>
    <w:p w14:paraId="60A1DE97" w14:textId="77777777" w:rsidR="0034590E" w:rsidRPr="00BE7AD6" w:rsidRDefault="0034590E" w:rsidP="0034590E"/>
    <w:p w14:paraId="3CE527BD" w14:textId="77777777" w:rsidR="0034590E" w:rsidRPr="00BE7AD6" w:rsidRDefault="0034590E" w:rsidP="0034590E">
      <w:r w:rsidRPr="00BE7AD6">
        <w:t>Премедикация перед проведением трансфузии компонентов донорской крови</w:t>
      </w:r>
    </w:p>
    <w:p w14:paraId="3E32522E" w14:textId="77777777" w:rsidR="0034590E" w:rsidRPr="00BE7AD6" w:rsidRDefault="0034590E" w:rsidP="0034590E">
      <w:r w:rsidRPr="00BE7AD6">
        <w:t>Для профилактики нежелательных реакций на трансфузию при неоднократном проведении трансфузий компонентов крови может потребоваться премедикация. Алгоритм выбора премедикации перед проведением трансфузии компонентов донорской крови приведен в табл.</w:t>
      </w:r>
      <w:r>
        <w:t xml:space="preserve"> А3.5.</w:t>
      </w:r>
      <w:r w:rsidRPr="00BE7AD6">
        <w:t>5.</w:t>
      </w:r>
    </w:p>
    <w:p w14:paraId="2B87845B" w14:textId="77777777" w:rsidR="0034590E" w:rsidRPr="00BE7AD6" w:rsidRDefault="0034590E" w:rsidP="0034590E"/>
    <w:p w14:paraId="08ED6224" w14:textId="77777777" w:rsidR="0034590E" w:rsidRPr="00BE7AD6" w:rsidRDefault="0034590E" w:rsidP="0034590E">
      <w:r w:rsidRPr="00BE7AD6">
        <w:t xml:space="preserve">Таблица </w:t>
      </w:r>
      <w:r>
        <w:t>А3.5.</w:t>
      </w:r>
      <w:r w:rsidRPr="00BE7AD6">
        <w:t>5. Выбор премедикации перед проведением трансфузии компонентов донорской крови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575"/>
        <w:gridCol w:w="4477"/>
      </w:tblGrid>
      <w:tr w:rsidR="0034590E" w:rsidRPr="00BE7AD6" w14:paraId="789448C7" w14:textId="77777777" w:rsidTr="00EC1C67">
        <w:tc>
          <w:tcPr>
            <w:tcW w:w="3208" w:type="dxa"/>
            <w:shd w:val="clear" w:color="auto" w:fill="auto"/>
          </w:tcPr>
          <w:p w14:paraId="15DAB2B5" w14:textId="77777777" w:rsidR="0034590E" w:rsidRPr="00BE7AD6" w:rsidRDefault="0034590E" w:rsidP="00EC1C67">
            <w:pPr>
              <w:ind w:firstLine="0"/>
              <w:jc w:val="left"/>
            </w:pPr>
            <w:r w:rsidRPr="00BE7AD6">
              <w:t>Вид реакции или осложнения, связанный с переливанием донорской крови и/или её компонентов, зафиксированных при предыдущих трансфузиях</w:t>
            </w:r>
          </w:p>
        </w:tc>
        <w:tc>
          <w:tcPr>
            <w:tcW w:w="3082" w:type="dxa"/>
            <w:shd w:val="clear" w:color="auto" w:fill="auto"/>
          </w:tcPr>
          <w:p w14:paraId="02068301" w14:textId="77777777" w:rsidR="0034590E" w:rsidRPr="00BE7AD6" w:rsidRDefault="0034590E" w:rsidP="00EC1C67">
            <w:pPr>
              <w:ind w:firstLine="0"/>
              <w:jc w:val="left"/>
            </w:pPr>
            <w:r w:rsidRPr="00BE7AD6">
              <w:t>Наименование компонента донорской крови, показанного для предстоящей трансфузии</w:t>
            </w:r>
          </w:p>
        </w:tc>
        <w:tc>
          <w:tcPr>
            <w:tcW w:w="8270" w:type="dxa"/>
            <w:shd w:val="clear" w:color="auto" w:fill="auto"/>
          </w:tcPr>
          <w:p w14:paraId="4EDC6826" w14:textId="77777777" w:rsidR="0034590E" w:rsidRPr="00BE7AD6" w:rsidRDefault="0034590E" w:rsidP="00EC1C67">
            <w:pPr>
              <w:ind w:firstLine="0"/>
              <w:jc w:val="left"/>
            </w:pPr>
            <w:r w:rsidRPr="00BE7AD6">
              <w:t>Премедикация перед предстоящей трансфузией</w:t>
            </w:r>
          </w:p>
        </w:tc>
      </w:tr>
      <w:tr w:rsidR="0034590E" w:rsidRPr="00BE7AD6" w14:paraId="32B68894" w14:textId="77777777" w:rsidTr="00EC1C67">
        <w:tc>
          <w:tcPr>
            <w:tcW w:w="14560" w:type="dxa"/>
            <w:gridSpan w:val="3"/>
            <w:shd w:val="clear" w:color="auto" w:fill="auto"/>
          </w:tcPr>
          <w:p w14:paraId="6BB8FC5E" w14:textId="77777777" w:rsidR="0034590E" w:rsidRPr="00BE7AD6" w:rsidRDefault="0034590E" w:rsidP="00EC1C67">
            <w:pPr>
              <w:ind w:firstLine="0"/>
              <w:jc w:val="left"/>
            </w:pPr>
            <w:r w:rsidRPr="00BE7AD6">
              <w:t>А. Пациент без трансфузий донорской крови и/или её компонентов в анамнезе</w:t>
            </w:r>
          </w:p>
        </w:tc>
      </w:tr>
      <w:tr w:rsidR="0034590E" w:rsidRPr="00BE7AD6" w14:paraId="062BF972" w14:textId="77777777" w:rsidTr="00EC1C67">
        <w:tc>
          <w:tcPr>
            <w:tcW w:w="3208" w:type="dxa"/>
            <w:shd w:val="clear" w:color="auto" w:fill="auto"/>
          </w:tcPr>
          <w:p w14:paraId="1FA254EF" w14:textId="77777777" w:rsidR="0034590E" w:rsidRPr="00BE7AD6" w:rsidRDefault="0034590E" w:rsidP="00EC1C67">
            <w:pPr>
              <w:ind w:firstLine="0"/>
              <w:jc w:val="left"/>
            </w:pPr>
            <w:r w:rsidRPr="00BE7AD6">
              <w:lastRenderedPageBreak/>
              <w:t>-</w:t>
            </w:r>
          </w:p>
        </w:tc>
        <w:tc>
          <w:tcPr>
            <w:tcW w:w="3082" w:type="dxa"/>
            <w:shd w:val="clear" w:color="auto" w:fill="auto"/>
          </w:tcPr>
          <w:p w14:paraId="31A10D06" w14:textId="77777777" w:rsidR="0034590E" w:rsidRPr="00BE7AD6" w:rsidRDefault="0034590E" w:rsidP="00EC1C67">
            <w:pPr>
              <w:ind w:firstLine="0"/>
              <w:jc w:val="left"/>
            </w:pPr>
            <w:r w:rsidRPr="00BE7AD6">
              <w:t>Любой компонент донорской крови</w:t>
            </w:r>
          </w:p>
        </w:tc>
        <w:tc>
          <w:tcPr>
            <w:tcW w:w="8270" w:type="dxa"/>
            <w:shd w:val="clear" w:color="auto" w:fill="auto"/>
          </w:tcPr>
          <w:p w14:paraId="0A7D5B80" w14:textId="2FF97FE5" w:rsidR="0034590E" w:rsidRPr="00BE7AD6" w:rsidRDefault="0034590E" w:rsidP="00EC1C67">
            <w:pPr>
              <w:ind w:firstLine="0"/>
              <w:jc w:val="left"/>
            </w:pPr>
            <w:r w:rsidRPr="00BE7AD6">
              <w:t xml:space="preserve">10 мл 10% #кальция глюконата** в 100 мл 0,9% раствора NaCl** в/в капельно </w:t>
            </w:r>
            <w:r w:rsidRPr="00BE7AD6">
              <w:fldChar w:fldCharType="begin" w:fldLock="1"/>
            </w:r>
            <w:r w:rsidR="00F44253">
              <w:instrText>ADDIN CSL_CITATION {"citationItems":[{"id":"ITEM-1","itemData":{"author":[{"dropping-particle":"","family":"Шихмирзаев","given":"Т. А.","non-dropping-particle":"","parse-names":false,"suffix":""},{"dropping-particle":"","family":"Чемоданов","given":"И. Г.","non-dropping-particle":"","parse-names":false,"suffix":""},{"dropping-particle":"","family":"Шестаков","given":"Е. А.","non-dropping-particle":"","parse-names":false,"suffix":""},{"dropping-particle":"","family":"Мадзаев","given":"С. Р.","non-dropping-particle":"","parse-names":false,"suffix":""},{"dropping-particle":"","family":"Цеев","given":"Ю. К.","non-dropping-particle":"","parse-names":false,"suffix":""},{"dropping-particle":"","family":"Жибурт","given":"Е. Б.","non-dropping-particle":"","parse-names":false,"suffix":""}],"container-title":"Вестник Национального медико-хирургического Центра им. Н. И. Пирогова","id":"ITEM-1","issue":"2","issued":{"date-parts":[["2018"]]},"page":"95-99","title":"Фармакопрофилактика трансфузионных реакций","type":"article-journal","volume":"13"},"uris":["http://www.mendeley.com/documents/?uuid=d07e9eaf-bec5-423a-b339-33b4d6ae7435"]}],"mendeley":{"formattedCitation":"[83]","plainTextFormattedCitation":"[83]","previouslyFormattedCitation":"[83]"},"properties":{"noteIndex":0},"schema":"https://github.com/citation-style-language/schema/raw/master/csl-citation.json"}</w:instrText>
            </w:r>
            <w:r w:rsidRPr="00BE7AD6">
              <w:fldChar w:fldCharType="separate"/>
            </w:r>
            <w:r w:rsidR="004D13EB" w:rsidRPr="004D13EB">
              <w:rPr>
                <w:noProof/>
              </w:rPr>
              <w:t>[83]</w:t>
            </w:r>
            <w:r w:rsidRPr="00BE7AD6">
              <w:fldChar w:fldCharType="end"/>
            </w:r>
          </w:p>
        </w:tc>
      </w:tr>
      <w:tr w:rsidR="0034590E" w:rsidRPr="00BE7AD6" w14:paraId="78D810CE" w14:textId="77777777" w:rsidTr="00EC1C67">
        <w:tc>
          <w:tcPr>
            <w:tcW w:w="14560" w:type="dxa"/>
            <w:gridSpan w:val="3"/>
            <w:shd w:val="clear" w:color="auto" w:fill="auto"/>
          </w:tcPr>
          <w:p w14:paraId="600D49E0" w14:textId="77777777" w:rsidR="0034590E" w:rsidRPr="00BE7AD6" w:rsidRDefault="0034590E" w:rsidP="00EC1C67">
            <w:pPr>
              <w:ind w:firstLine="0"/>
              <w:jc w:val="left"/>
            </w:pPr>
            <w:r w:rsidRPr="00BE7AD6">
              <w:t>Б. Пациент с трансфузией донорской крови и/или её компонентов без реакций или осложнений в анамнезе*</w:t>
            </w:r>
          </w:p>
        </w:tc>
      </w:tr>
      <w:tr w:rsidR="0034590E" w:rsidRPr="00BE7AD6" w14:paraId="2639EC01" w14:textId="77777777" w:rsidTr="00EC1C67">
        <w:tc>
          <w:tcPr>
            <w:tcW w:w="3208" w:type="dxa"/>
            <w:shd w:val="clear" w:color="auto" w:fill="auto"/>
          </w:tcPr>
          <w:p w14:paraId="1409A766" w14:textId="77777777" w:rsidR="0034590E" w:rsidRPr="00BE7AD6" w:rsidRDefault="0034590E" w:rsidP="00EC1C67">
            <w:pPr>
              <w:ind w:firstLine="0"/>
              <w:jc w:val="left"/>
            </w:pPr>
            <w:r w:rsidRPr="00BE7AD6">
              <w:t>-</w:t>
            </w:r>
          </w:p>
        </w:tc>
        <w:tc>
          <w:tcPr>
            <w:tcW w:w="3082" w:type="dxa"/>
            <w:shd w:val="clear" w:color="auto" w:fill="auto"/>
          </w:tcPr>
          <w:p w14:paraId="5167B192" w14:textId="77777777" w:rsidR="0034590E" w:rsidRPr="00BE7AD6" w:rsidRDefault="0034590E" w:rsidP="00EC1C67">
            <w:pPr>
              <w:ind w:firstLine="0"/>
              <w:jc w:val="left"/>
            </w:pPr>
            <w:r w:rsidRPr="00BE7AD6">
              <w:t>Любой компонент донорской крови</w:t>
            </w:r>
          </w:p>
        </w:tc>
        <w:tc>
          <w:tcPr>
            <w:tcW w:w="8270" w:type="dxa"/>
            <w:shd w:val="clear" w:color="auto" w:fill="auto"/>
          </w:tcPr>
          <w:p w14:paraId="12140CC0" w14:textId="070D4693" w:rsidR="0034590E" w:rsidRPr="00BE7AD6" w:rsidRDefault="0034590E" w:rsidP="00EC1C67">
            <w:pPr>
              <w:ind w:firstLine="0"/>
              <w:jc w:val="left"/>
            </w:pPr>
            <w:r w:rsidRPr="00BE7AD6">
              <w:t xml:space="preserve">10 мл 10% #кальция глюконата** в 100 мл 0,9% раствора NaCl** в/в капельно </w:t>
            </w:r>
            <w:r w:rsidRPr="00BE7AD6">
              <w:fldChar w:fldCharType="begin" w:fldLock="1"/>
            </w:r>
            <w:r w:rsidR="00F44253">
              <w:instrText>ADDIN CSL_CITATION {"citationItems":[{"id":"ITEM-1","itemData":{"author":[{"dropping-particle":"","family":"Шихмирзаев","given":"Т. А.","non-dropping-particle":"","parse-names":false,"suffix":""},{"dropping-particle":"","family":"Чемоданов","given":"И. Г.","non-dropping-particle":"","parse-names":false,"suffix":""},{"dropping-particle":"","family":"Шестаков","given":"Е. А.","non-dropping-particle":"","parse-names":false,"suffix":""},{"dropping-particle":"","family":"Мадзаев","given":"С. Р.","non-dropping-particle":"","parse-names":false,"suffix":""},{"dropping-particle":"","family":"Цеев","given":"Ю. К.","non-dropping-particle":"","parse-names":false,"suffix":""},{"dropping-particle":"","family":"Жибурт","given":"Е. Б.","non-dropping-particle":"","parse-names":false,"suffix":""}],"container-title":"Вестник Национального медико-хирургического Центра им. Н. И. Пирогова","id":"ITEM-1","issue":"2","issued":{"date-parts":[["2018"]]},"page":"95-99","title":"Фармакопрофилактика трансфузионных реакций","type":"article-journal","volume":"13"},"uris":["http://www.mendeley.com/documents/?uuid=d07e9eaf-bec5-423a-b339-33b4d6ae7435"]}],"mendeley":{"formattedCitation":"[83]","plainTextFormattedCitation":"[83]","previouslyFormattedCitation":"[83]"},"properties":{"noteIndex":0},"schema":"https://github.com/citation-style-language/schema/raw/master/csl-citation.json"}</w:instrText>
            </w:r>
            <w:r w:rsidRPr="00BE7AD6">
              <w:fldChar w:fldCharType="separate"/>
            </w:r>
            <w:r w:rsidR="004D13EB" w:rsidRPr="004D13EB">
              <w:rPr>
                <w:noProof/>
              </w:rPr>
              <w:t>[83]</w:t>
            </w:r>
            <w:r w:rsidRPr="00BE7AD6">
              <w:fldChar w:fldCharType="end"/>
            </w:r>
          </w:p>
        </w:tc>
      </w:tr>
      <w:tr w:rsidR="0034590E" w:rsidRPr="00BE7AD6" w14:paraId="378C882D" w14:textId="77777777" w:rsidTr="00EC1C67">
        <w:tc>
          <w:tcPr>
            <w:tcW w:w="14560" w:type="dxa"/>
            <w:gridSpan w:val="3"/>
            <w:shd w:val="clear" w:color="auto" w:fill="auto"/>
          </w:tcPr>
          <w:p w14:paraId="171FBC6E" w14:textId="77777777" w:rsidR="0034590E" w:rsidRPr="00BE7AD6" w:rsidRDefault="0034590E" w:rsidP="00EC1C67">
            <w:pPr>
              <w:ind w:firstLine="0"/>
              <w:jc w:val="left"/>
            </w:pPr>
            <w:r w:rsidRPr="00BE7AD6">
              <w:t>В. Пациент с трансфузией донорской крови и/или её компонентов с реакциями или осложнениями на в анамнезе</w:t>
            </w:r>
          </w:p>
        </w:tc>
      </w:tr>
      <w:tr w:rsidR="0034590E" w:rsidRPr="00BE7AD6" w14:paraId="2D95793A" w14:textId="77777777" w:rsidTr="00EC1C67">
        <w:tc>
          <w:tcPr>
            <w:tcW w:w="14560" w:type="dxa"/>
            <w:gridSpan w:val="3"/>
            <w:shd w:val="clear" w:color="auto" w:fill="auto"/>
          </w:tcPr>
          <w:p w14:paraId="2550F360" w14:textId="77777777" w:rsidR="0034590E" w:rsidRPr="00BE7AD6" w:rsidRDefault="0034590E" w:rsidP="00EC1C67">
            <w:pPr>
              <w:ind w:firstLine="0"/>
              <w:jc w:val="left"/>
            </w:pPr>
            <w:r w:rsidRPr="00BE7AD6">
              <w:t>Аллергические реакции (крапивница, бронхоспазм, отек Квинке, анафилактический шок и др.) в зависимости от степени тяжести</w:t>
            </w:r>
          </w:p>
        </w:tc>
      </w:tr>
      <w:tr w:rsidR="0034590E" w:rsidRPr="00BE7AD6" w14:paraId="42F6B285" w14:textId="77777777" w:rsidTr="00EC1C67">
        <w:tc>
          <w:tcPr>
            <w:tcW w:w="3208" w:type="dxa"/>
            <w:shd w:val="clear" w:color="auto" w:fill="auto"/>
          </w:tcPr>
          <w:p w14:paraId="5A586742" w14:textId="77777777" w:rsidR="0034590E" w:rsidRPr="00BE7AD6" w:rsidRDefault="0034590E" w:rsidP="00EC1C67">
            <w:pPr>
              <w:ind w:firstLine="0"/>
              <w:jc w:val="left"/>
            </w:pPr>
            <w:r w:rsidRPr="00BE7AD6">
              <w:t>Аллергические реакции легкой степени</w:t>
            </w:r>
          </w:p>
          <w:p w14:paraId="0C7E29DE" w14:textId="77777777" w:rsidR="0034590E" w:rsidRPr="00BE7AD6" w:rsidRDefault="0034590E" w:rsidP="00EC1C67">
            <w:pPr>
              <w:ind w:firstLine="0"/>
              <w:jc w:val="left"/>
            </w:pPr>
          </w:p>
        </w:tc>
        <w:tc>
          <w:tcPr>
            <w:tcW w:w="3082" w:type="dxa"/>
            <w:shd w:val="clear" w:color="auto" w:fill="auto"/>
          </w:tcPr>
          <w:p w14:paraId="5F18E9C9" w14:textId="77777777" w:rsidR="0034590E" w:rsidRPr="00BE7AD6" w:rsidRDefault="0034590E" w:rsidP="00EC1C67">
            <w:pPr>
              <w:ind w:firstLine="0"/>
              <w:jc w:val="left"/>
            </w:pPr>
            <w:r w:rsidRPr="00BE7AD6">
              <w:t>Любой компонент донорской крови</w:t>
            </w:r>
          </w:p>
        </w:tc>
        <w:tc>
          <w:tcPr>
            <w:tcW w:w="8270" w:type="dxa"/>
            <w:shd w:val="clear" w:color="auto" w:fill="auto"/>
          </w:tcPr>
          <w:p w14:paraId="59CDB071" w14:textId="77777777" w:rsidR="0034590E" w:rsidRPr="00BE7AD6" w:rsidRDefault="0034590E" w:rsidP="00EC1C67">
            <w:pPr>
              <w:ind w:firstLine="0"/>
              <w:jc w:val="left"/>
            </w:pPr>
            <w:r w:rsidRPr="00BE7AD6">
              <w:t>10 мл 10% кальция глюконата** в 100 мл 0,9% раствора NaCl** в/в капельно</w:t>
            </w:r>
          </w:p>
        </w:tc>
      </w:tr>
      <w:tr w:rsidR="0034590E" w:rsidRPr="00BE7AD6" w14:paraId="4B3D7A79" w14:textId="77777777" w:rsidTr="00EC1C67">
        <w:tc>
          <w:tcPr>
            <w:tcW w:w="3208" w:type="dxa"/>
            <w:vMerge w:val="restart"/>
            <w:shd w:val="clear" w:color="auto" w:fill="auto"/>
          </w:tcPr>
          <w:p w14:paraId="0D2B7F7F" w14:textId="77777777" w:rsidR="0034590E" w:rsidRPr="00BE7AD6" w:rsidRDefault="0034590E" w:rsidP="00EC1C67">
            <w:pPr>
              <w:ind w:firstLine="0"/>
              <w:jc w:val="left"/>
            </w:pPr>
            <w:r w:rsidRPr="00BE7AD6">
              <w:t>Аллергические реакции средней тяжести (протекающие без нарушений гемодинамических и вентиляционных показателей)</w:t>
            </w:r>
          </w:p>
        </w:tc>
        <w:tc>
          <w:tcPr>
            <w:tcW w:w="3082" w:type="dxa"/>
            <w:shd w:val="clear" w:color="auto" w:fill="auto"/>
          </w:tcPr>
          <w:p w14:paraId="58C6E32F" w14:textId="77777777" w:rsidR="0034590E" w:rsidRPr="00BE7AD6" w:rsidRDefault="0034590E" w:rsidP="00EC1C67">
            <w:pPr>
              <w:ind w:firstLine="0"/>
              <w:jc w:val="left"/>
            </w:pPr>
            <w:r w:rsidRPr="00BE7AD6">
              <w:t>Компонент донорской крови, вызвавший реакцию ранее</w:t>
            </w:r>
          </w:p>
        </w:tc>
        <w:tc>
          <w:tcPr>
            <w:tcW w:w="8270" w:type="dxa"/>
            <w:shd w:val="clear" w:color="auto" w:fill="auto"/>
          </w:tcPr>
          <w:p w14:paraId="610656D1" w14:textId="77777777" w:rsidR="0034590E" w:rsidRPr="00BE7AD6" w:rsidRDefault="0034590E" w:rsidP="00EC1C67">
            <w:pPr>
              <w:ind w:firstLine="0"/>
              <w:jc w:val="left"/>
            </w:pPr>
            <w:r w:rsidRPr="00BE7AD6">
              <w:t>10 мл 10% кальция глюконата** и 2 мл клемастина 1 мг/мл (либо 1 мл дифенгидрамина** 10 мг/мл, либо 1 мл хлоропирамина** 20 мг/мл) в 100 мл 0,9% раствора NaCl** в/в капельно</w:t>
            </w:r>
          </w:p>
        </w:tc>
      </w:tr>
      <w:tr w:rsidR="0034590E" w:rsidRPr="00BE7AD6" w14:paraId="03A11F01" w14:textId="77777777" w:rsidTr="00EC1C67">
        <w:tc>
          <w:tcPr>
            <w:tcW w:w="3208" w:type="dxa"/>
            <w:vMerge/>
            <w:shd w:val="clear" w:color="auto" w:fill="auto"/>
          </w:tcPr>
          <w:p w14:paraId="1090590A" w14:textId="77777777" w:rsidR="0034590E" w:rsidRPr="00BE7AD6" w:rsidRDefault="0034590E" w:rsidP="00EC1C67">
            <w:pPr>
              <w:ind w:firstLine="0"/>
              <w:jc w:val="left"/>
            </w:pPr>
          </w:p>
        </w:tc>
        <w:tc>
          <w:tcPr>
            <w:tcW w:w="3082" w:type="dxa"/>
            <w:shd w:val="clear" w:color="auto" w:fill="auto"/>
          </w:tcPr>
          <w:p w14:paraId="0CB48963" w14:textId="77777777" w:rsidR="0034590E" w:rsidRPr="00BE7AD6" w:rsidRDefault="0034590E" w:rsidP="00EC1C67">
            <w:pPr>
              <w:ind w:firstLine="0"/>
              <w:jc w:val="left"/>
            </w:pPr>
            <w:r w:rsidRPr="00BE7AD6">
              <w:t>Другие компоненты донорской крови (не вызывавшие реакции ранее)</w:t>
            </w:r>
          </w:p>
        </w:tc>
        <w:tc>
          <w:tcPr>
            <w:tcW w:w="8270" w:type="dxa"/>
            <w:shd w:val="clear" w:color="auto" w:fill="auto"/>
          </w:tcPr>
          <w:p w14:paraId="050749A6" w14:textId="77777777" w:rsidR="0034590E" w:rsidRPr="00BE7AD6" w:rsidRDefault="0034590E" w:rsidP="00EC1C67">
            <w:pPr>
              <w:ind w:firstLine="0"/>
              <w:jc w:val="left"/>
            </w:pPr>
            <w:r w:rsidRPr="00BE7AD6">
              <w:t>10 мл 10% кальция глюконата** в 100 мл 0,9% раствора NaCl** в/в капельно</w:t>
            </w:r>
          </w:p>
        </w:tc>
      </w:tr>
      <w:tr w:rsidR="0034590E" w:rsidRPr="00BE7AD6" w14:paraId="1253409A" w14:textId="77777777" w:rsidTr="00EC1C67">
        <w:tc>
          <w:tcPr>
            <w:tcW w:w="3208" w:type="dxa"/>
            <w:shd w:val="clear" w:color="auto" w:fill="auto"/>
          </w:tcPr>
          <w:p w14:paraId="572F1798" w14:textId="77777777" w:rsidR="0034590E" w:rsidRPr="00BE7AD6" w:rsidRDefault="0034590E" w:rsidP="00EC1C67">
            <w:pPr>
              <w:ind w:firstLine="0"/>
              <w:jc w:val="left"/>
            </w:pPr>
            <w:r w:rsidRPr="00BE7AD6">
              <w:t>Тяжелые аллергические реакции (протекающие с нарушением гемодинамических и вентиляционных показателей)</w:t>
            </w:r>
          </w:p>
        </w:tc>
        <w:tc>
          <w:tcPr>
            <w:tcW w:w="3082" w:type="dxa"/>
            <w:shd w:val="clear" w:color="auto" w:fill="auto"/>
          </w:tcPr>
          <w:p w14:paraId="44A8FED5" w14:textId="77777777" w:rsidR="0034590E" w:rsidRPr="00BE7AD6" w:rsidRDefault="0034590E" w:rsidP="00EC1C67">
            <w:pPr>
              <w:ind w:firstLine="0"/>
              <w:jc w:val="left"/>
            </w:pPr>
            <w:r w:rsidRPr="00BE7AD6">
              <w:t>Любой компонент донорской крови</w:t>
            </w:r>
          </w:p>
        </w:tc>
        <w:tc>
          <w:tcPr>
            <w:tcW w:w="8270" w:type="dxa"/>
            <w:shd w:val="clear" w:color="auto" w:fill="auto"/>
          </w:tcPr>
          <w:p w14:paraId="2244F857" w14:textId="77777777" w:rsidR="0034590E" w:rsidRPr="00BE7AD6" w:rsidRDefault="0034590E" w:rsidP="00EC1C67">
            <w:pPr>
              <w:ind w:firstLine="0"/>
              <w:jc w:val="left"/>
            </w:pPr>
            <w:r w:rsidRPr="00BE7AD6">
              <w:t>10 мл 10% кальция глюконата** и 2 мл клемастина 1 мг/мл (либо 1 мл дифенгидрамина** 10 мг/мл, либо 1 мл хлоропирамина** 20 мг/мл) в 100 мл 0,9% раствора NaCl в/в капельно.</w:t>
            </w:r>
          </w:p>
          <w:p w14:paraId="4AF7D59B" w14:textId="77777777" w:rsidR="0034590E" w:rsidRPr="00BE7AD6" w:rsidRDefault="0034590E" w:rsidP="00EC1C67">
            <w:pPr>
              <w:ind w:firstLine="0"/>
              <w:jc w:val="left"/>
            </w:pPr>
            <w:r w:rsidRPr="00BE7AD6">
              <w:t>Возможно разовое применение глюкокортикоидов следует соотнести потенциальные риски и ожидаемую пользу).</w:t>
            </w:r>
          </w:p>
          <w:p w14:paraId="20CA7766" w14:textId="77777777" w:rsidR="0034590E" w:rsidRPr="00BE7AD6" w:rsidRDefault="0034590E" w:rsidP="00EC1C67">
            <w:pPr>
              <w:ind w:firstLine="0"/>
              <w:jc w:val="left"/>
            </w:pPr>
            <w:r w:rsidRPr="00BE7AD6">
              <w:lastRenderedPageBreak/>
              <w:t>Уменьшение скорости трансфузии.</w:t>
            </w:r>
          </w:p>
        </w:tc>
      </w:tr>
      <w:tr w:rsidR="0034590E" w:rsidRPr="00BE7AD6" w14:paraId="5EEA9B6C" w14:textId="77777777" w:rsidTr="00EC1C67">
        <w:tc>
          <w:tcPr>
            <w:tcW w:w="14560" w:type="dxa"/>
            <w:gridSpan w:val="3"/>
            <w:shd w:val="clear" w:color="auto" w:fill="auto"/>
          </w:tcPr>
          <w:p w14:paraId="1EE1FE6F" w14:textId="77777777" w:rsidR="0034590E" w:rsidRPr="00BE7AD6" w:rsidRDefault="0034590E" w:rsidP="00EC1C67">
            <w:pPr>
              <w:ind w:firstLine="0"/>
              <w:jc w:val="left"/>
            </w:pPr>
            <w:r w:rsidRPr="00BE7AD6">
              <w:lastRenderedPageBreak/>
              <w:t>Однократная гипертермическая фебрильная негемолитическая реакция (ФНР) в анамнезе</w:t>
            </w:r>
          </w:p>
        </w:tc>
      </w:tr>
      <w:tr w:rsidR="0034590E" w:rsidRPr="00BE7AD6" w14:paraId="7988C737" w14:textId="77777777" w:rsidTr="00EC1C67">
        <w:tc>
          <w:tcPr>
            <w:tcW w:w="3208" w:type="dxa"/>
            <w:shd w:val="clear" w:color="auto" w:fill="auto"/>
          </w:tcPr>
          <w:p w14:paraId="695979CA" w14:textId="77777777" w:rsidR="0034590E" w:rsidRPr="00BE7AD6" w:rsidRDefault="0034590E" w:rsidP="00EC1C67">
            <w:pPr>
              <w:ind w:firstLine="0"/>
              <w:jc w:val="left"/>
            </w:pPr>
            <w:r w:rsidRPr="00BE7AD6">
              <w:t>Однократная ФНР в анамнезе</w:t>
            </w:r>
          </w:p>
        </w:tc>
        <w:tc>
          <w:tcPr>
            <w:tcW w:w="3082" w:type="dxa"/>
            <w:shd w:val="clear" w:color="auto" w:fill="auto"/>
          </w:tcPr>
          <w:p w14:paraId="28A22861" w14:textId="77777777" w:rsidR="0034590E" w:rsidRPr="00BE7AD6" w:rsidRDefault="0034590E" w:rsidP="00EC1C67">
            <w:pPr>
              <w:ind w:firstLine="0"/>
              <w:jc w:val="left"/>
            </w:pPr>
            <w:r w:rsidRPr="00BE7AD6">
              <w:t>Любой компонент донорской крови</w:t>
            </w:r>
          </w:p>
        </w:tc>
        <w:tc>
          <w:tcPr>
            <w:tcW w:w="8270" w:type="dxa"/>
            <w:shd w:val="clear" w:color="auto" w:fill="auto"/>
          </w:tcPr>
          <w:p w14:paraId="6FF3DD96" w14:textId="4F04B826" w:rsidR="0034590E" w:rsidRPr="00BE7AD6" w:rsidRDefault="0034590E" w:rsidP="00EC1C67">
            <w:pPr>
              <w:ind w:firstLine="0"/>
              <w:jc w:val="left"/>
            </w:pPr>
            <w:r w:rsidRPr="00BE7AD6">
              <w:t xml:space="preserve">10 мл 10% #кальция глюконата** в 100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p>
        </w:tc>
      </w:tr>
      <w:tr w:rsidR="0034590E" w:rsidRPr="00BE7AD6" w14:paraId="7571CE4E" w14:textId="77777777" w:rsidTr="00EC1C67">
        <w:tc>
          <w:tcPr>
            <w:tcW w:w="14560" w:type="dxa"/>
            <w:gridSpan w:val="3"/>
            <w:shd w:val="clear" w:color="auto" w:fill="auto"/>
          </w:tcPr>
          <w:p w14:paraId="0F4F6F69" w14:textId="77777777" w:rsidR="0034590E" w:rsidRPr="00BE7AD6" w:rsidRDefault="0034590E" w:rsidP="00EC1C67">
            <w:pPr>
              <w:ind w:firstLine="0"/>
              <w:jc w:val="left"/>
            </w:pPr>
            <w:r w:rsidRPr="00BE7AD6">
              <w:t>Многократные (≥2) гипертермические фебрильные негемолитические реакции (ФНР) в анамнезе</w:t>
            </w:r>
          </w:p>
        </w:tc>
      </w:tr>
      <w:tr w:rsidR="0034590E" w:rsidRPr="00BE7AD6" w14:paraId="6E954C03" w14:textId="77777777" w:rsidTr="00EC1C67">
        <w:tc>
          <w:tcPr>
            <w:tcW w:w="3208" w:type="dxa"/>
            <w:vMerge w:val="restart"/>
            <w:shd w:val="clear" w:color="auto" w:fill="auto"/>
          </w:tcPr>
          <w:p w14:paraId="2A048B43" w14:textId="77777777" w:rsidR="0034590E" w:rsidRPr="00BE7AD6" w:rsidRDefault="0034590E" w:rsidP="00EC1C67">
            <w:pPr>
              <w:ind w:firstLine="0"/>
              <w:jc w:val="left"/>
            </w:pPr>
            <w:r w:rsidRPr="00BE7AD6">
              <w:t>Протекающие без потрясающего озноба</w:t>
            </w:r>
          </w:p>
        </w:tc>
        <w:tc>
          <w:tcPr>
            <w:tcW w:w="3082" w:type="dxa"/>
            <w:shd w:val="clear" w:color="auto" w:fill="auto"/>
          </w:tcPr>
          <w:p w14:paraId="0B5F45CF" w14:textId="77777777" w:rsidR="0034590E" w:rsidRPr="00BE7AD6" w:rsidRDefault="0034590E" w:rsidP="00EC1C67">
            <w:pPr>
              <w:ind w:firstLine="0"/>
              <w:jc w:val="left"/>
            </w:pPr>
            <w:r w:rsidRPr="00BE7AD6">
              <w:t>Компонент донорской крови, вызвавший реакцию ранее</w:t>
            </w:r>
          </w:p>
        </w:tc>
        <w:tc>
          <w:tcPr>
            <w:tcW w:w="8270" w:type="dxa"/>
            <w:shd w:val="clear" w:color="auto" w:fill="auto"/>
          </w:tcPr>
          <w:p w14:paraId="6105E014" w14:textId="1D96729A" w:rsidR="0034590E" w:rsidRPr="00BE7AD6" w:rsidRDefault="0034590E" w:rsidP="00EC1C67">
            <w:pPr>
              <w:ind w:firstLine="0"/>
              <w:jc w:val="left"/>
            </w:pPr>
            <w:r w:rsidRPr="00BE7AD6">
              <w:t xml:space="preserve">10 мл 10% #кальция глюконата** и 2 мл #клемастина 1 мг/мл (либо 1 мл #дифенгидрамина** 10 мг/мл, либо 1 мл #хлоропирамина** 20 мг/мл) в 100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r w:rsidRPr="00BE7AD6">
              <w:t>.</w:t>
            </w:r>
          </w:p>
          <w:p w14:paraId="39723CDA" w14:textId="67A7DD50" w:rsidR="0034590E" w:rsidRPr="00BE7AD6" w:rsidRDefault="0034590E" w:rsidP="00EC1C67">
            <w:pPr>
              <w:ind w:firstLine="0"/>
              <w:jc w:val="left"/>
            </w:pPr>
            <w:r w:rsidRPr="00BE7AD6">
              <w:t xml:space="preserve">При сохраняющихся ФНР, несмотря на добавление антигистаминных средств системного действия препаратов, дополнительно за 60 минут до трансфузии ввести 250-650 мг #парацетамола в 250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r w:rsidRPr="00BE7AD6">
              <w:t xml:space="preserve"> (не рекомендовано у пациентов с нейтропенией, глубокой тромбоцитопенией).</w:t>
            </w:r>
          </w:p>
        </w:tc>
      </w:tr>
      <w:tr w:rsidR="0034590E" w:rsidRPr="00BE7AD6" w14:paraId="2BA70216" w14:textId="77777777" w:rsidTr="00EC1C67">
        <w:tc>
          <w:tcPr>
            <w:tcW w:w="3208" w:type="dxa"/>
            <w:vMerge/>
            <w:shd w:val="clear" w:color="auto" w:fill="auto"/>
          </w:tcPr>
          <w:p w14:paraId="7092009B" w14:textId="77777777" w:rsidR="0034590E" w:rsidRPr="00BE7AD6" w:rsidRDefault="0034590E" w:rsidP="00EC1C67">
            <w:pPr>
              <w:ind w:firstLine="0"/>
              <w:jc w:val="left"/>
            </w:pPr>
          </w:p>
        </w:tc>
        <w:tc>
          <w:tcPr>
            <w:tcW w:w="3082" w:type="dxa"/>
            <w:shd w:val="clear" w:color="auto" w:fill="auto"/>
          </w:tcPr>
          <w:p w14:paraId="2C2E1B58" w14:textId="77777777" w:rsidR="0034590E" w:rsidRPr="00BE7AD6" w:rsidRDefault="0034590E" w:rsidP="00EC1C67">
            <w:pPr>
              <w:ind w:firstLine="0"/>
              <w:jc w:val="left"/>
            </w:pPr>
            <w:r w:rsidRPr="00BE7AD6">
              <w:t>Другие компоненты донорской крови (не вызывавшие реакции ранее)</w:t>
            </w:r>
          </w:p>
        </w:tc>
        <w:tc>
          <w:tcPr>
            <w:tcW w:w="8270" w:type="dxa"/>
            <w:shd w:val="clear" w:color="auto" w:fill="auto"/>
          </w:tcPr>
          <w:p w14:paraId="7FDBBB22" w14:textId="2BAB48EE" w:rsidR="0034590E" w:rsidRPr="00BE7AD6" w:rsidRDefault="0034590E" w:rsidP="00EC1C67">
            <w:pPr>
              <w:ind w:firstLine="0"/>
              <w:jc w:val="left"/>
            </w:pPr>
            <w:r w:rsidRPr="00BE7AD6">
              <w:t xml:space="preserve">10 мл 10% #кальция глюконата** в 100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p>
        </w:tc>
      </w:tr>
      <w:tr w:rsidR="0034590E" w:rsidRPr="00BE7AD6" w14:paraId="31EDDFA7" w14:textId="77777777" w:rsidTr="00EC1C67">
        <w:tc>
          <w:tcPr>
            <w:tcW w:w="3208" w:type="dxa"/>
            <w:vMerge w:val="restart"/>
            <w:shd w:val="clear" w:color="auto" w:fill="auto"/>
          </w:tcPr>
          <w:p w14:paraId="4107CDD9" w14:textId="77777777" w:rsidR="0034590E" w:rsidRPr="00BE7AD6" w:rsidRDefault="0034590E" w:rsidP="00EC1C67">
            <w:pPr>
              <w:ind w:firstLine="0"/>
              <w:jc w:val="left"/>
            </w:pPr>
            <w:r w:rsidRPr="00BE7AD6">
              <w:t>Протекающие с потрясающим ознобом</w:t>
            </w:r>
          </w:p>
        </w:tc>
        <w:tc>
          <w:tcPr>
            <w:tcW w:w="3082" w:type="dxa"/>
            <w:shd w:val="clear" w:color="auto" w:fill="auto"/>
          </w:tcPr>
          <w:p w14:paraId="6370DF16" w14:textId="77777777" w:rsidR="0034590E" w:rsidRPr="00BE7AD6" w:rsidRDefault="0034590E" w:rsidP="00EC1C67">
            <w:pPr>
              <w:ind w:firstLine="0"/>
              <w:jc w:val="left"/>
            </w:pPr>
            <w:r w:rsidRPr="00BE7AD6">
              <w:t>Компонент донорской крови, вызвавший реакцию ранее</w:t>
            </w:r>
          </w:p>
        </w:tc>
        <w:tc>
          <w:tcPr>
            <w:tcW w:w="8270" w:type="dxa"/>
            <w:shd w:val="clear" w:color="auto" w:fill="auto"/>
          </w:tcPr>
          <w:p w14:paraId="7C2B4659" w14:textId="64BC66D2" w:rsidR="0034590E" w:rsidRPr="00BE7AD6" w:rsidRDefault="0034590E" w:rsidP="00EC1C67">
            <w:pPr>
              <w:ind w:firstLine="0"/>
              <w:jc w:val="left"/>
            </w:pPr>
            <w:r w:rsidRPr="00BE7AD6">
              <w:t xml:space="preserve">10 мл 10% #кальция глюконата** и 2 мл #клемастина 1 мг/мл (либо 1 мл #дифенгидрамина** 10 мг/мл, либо 1 мл #хлоропирамина** 20 мг/мл) в 100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r w:rsidRPr="00BE7AD6">
              <w:t>. В случае сохранения тяжелых реакций возможно дополнительное введение 0,5-</w:t>
            </w:r>
            <w:r w:rsidRPr="00BE7AD6">
              <w:lastRenderedPageBreak/>
              <w:t>1 мл 2% тримеперидина** в 100 мл 0,9% раствора NaCl в/в капельно (до или параллельно с трансфузией).</w:t>
            </w:r>
          </w:p>
          <w:p w14:paraId="2336D219" w14:textId="77777777" w:rsidR="0034590E" w:rsidRPr="00BE7AD6" w:rsidRDefault="0034590E" w:rsidP="00EC1C67">
            <w:pPr>
              <w:ind w:firstLine="0"/>
              <w:jc w:val="left"/>
            </w:pPr>
            <w:r w:rsidRPr="00BE7AD6">
              <w:t>Возможно разовое применение глюкокортикоидов** (следует соотнести потенциальные риски и ожидаемую пользу).</w:t>
            </w:r>
          </w:p>
          <w:p w14:paraId="0926D609" w14:textId="77777777" w:rsidR="0034590E" w:rsidRPr="00BE7AD6" w:rsidRDefault="0034590E" w:rsidP="00EC1C67">
            <w:pPr>
              <w:ind w:firstLine="0"/>
              <w:jc w:val="left"/>
            </w:pPr>
            <w:r w:rsidRPr="00BE7AD6">
              <w:t>Уменьшение скорости трансфузии.</w:t>
            </w:r>
          </w:p>
        </w:tc>
      </w:tr>
      <w:tr w:rsidR="0034590E" w:rsidRPr="00BE7AD6" w14:paraId="68B46594" w14:textId="77777777" w:rsidTr="00EC1C67">
        <w:tc>
          <w:tcPr>
            <w:tcW w:w="3208" w:type="dxa"/>
            <w:vMerge/>
            <w:shd w:val="clear" w:color="auto" w:fill="auto"/>
          </w:tcPr>
          <w:p w14:paraId="0DA9CEFB" w14:textId="77777777" w:rsidR="0034590E" w:rsidRPr="00BE7AD6" w:rsidRDefault="0034590E" w:rsidP="00EC1C67">
            <w:pPr>
              <w:ind w:firstLine="0"/>
              <w:jc w:val="left"/>
            </w:pPr>
          </w:p>
        </w:tc>
        <w:tc>
          <w:tcPr>
            <w:tcW w:w="3082" w:type="dxa"/>
            <w:shd w:val="clear" w:color="auto" w:fill="auto"/>
          </w:tcPr>
          <w:p w14:paraId="46762755" w14:textId="77777777" w:rsidR="0034590E" w:rsidRPr="00BE7AD6" w:rsidRDefault="0034590E" w:rsidP="00EC1C67">
            <w:pPr>
              <w:ind w:firstLine="0"/>
              <w:jc w:val="left"/>
            </w:pPr>
            <w:r w:rsidRPr="00BE7AD6">
              <w:t>Другие компоненты донорской крови (не вызывавшие реакции ранее)</w:t>
            </w:r>
          </w:p>
        </w:tc>
        <w:tc>
          <w:tcPr>
            <w:tcW w:w="8270" w:type="dxa"/>
            <w:shd w:val="clear" w:color="auto" w:fill="auto"/>
          </w:tcPr>
          <w:p w14:paraId="3DCFD1E7" w14:textId="4C435F52" w:rsidR="0034590E" w:rsidRPr="00BE7AD6" w:rsidRDefault="0034590E" w:rsidP="00EC1C67">
            <w:pPr>
              <w:ind w:firstLine="0"/>
              <w:jc w:val="left"/>
            </w:pPr>
            <w:r w:rsidRPr="00BE7AD6">
              <w:t xml:space="preserve">10 мл 10% #кальция глюконата** и 2 мл #клемастина 1 мг/мл (либо 1 мл #дифенгидрамина** 10 мг/мл, либо 1 мл #хлоропирамина 20 мг/мл) в 100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p>
        </w:tc>
      </w:tr>
      <w:tr w:rsidR="0034590E" w:rsidRPr="00BE7AD6" w14:paraId="1898359F" w14:textId="77777777" w:rsidTr="00EC1C67">
        <w:tc>
          <w:tcPr>
            <w:tcW w:w="14560" w:type="dxa"/>
            <w:gridSpan w:val="3"/>
            <w:shd w:val="clear" w:color="auto" w:fill="auto"/>
          </w:tcPr>
          <w:p w14:paraId="6BA9D6B9" w14:textId="77777777" w:rsidR="0034590E" w:rsidRPr="00BE7AD6" w:rsidRDefault="0034590E" w:rsidP="00EC1C67">
            <w:pPr>
              <w:ind w:firstLine="0"/>
              <w:jc w:val="left"/>
            </w:pPr>
            <w:r w:rsidRPr="00BE7AD6">
              <w:t>Отсроченная серологическая трансфузионная реакция:</w:t>
            </w:r>
          </w:p>
          <w:p w14:paraId="6D9F6FFD" w14:textId="77777777" w:rsidR="0034590E" w:rsidRPr="00BE7AD6" w:rsidRDefault="0034590E" w:rsidP="00EC1C67">
            <w:pPr>
              <w:ind w:firstLine="0"/>
              <w:jc w:val="left"/>
            </w:pPr>
            <w:r w:rsidRPr="00BE7AD6">
              <w:t>установленное наличие антиэритроцитарных антител: положительная непрямая проба Кумбса при определении индивидуальной совместимости крови донора и реципиента в лаборатории иммуногематологии или если таковая не проводилась, ЛИБО предполагаемое - при эритроцитарном химеризме</w:t>
            </w:r>
          </w:p>
        </w:tc>
      </w:tr>
      <w:tr w:rsidR="0034590E" w:rsidRPr="00BE7AD6" w14:paraId="4BCD0DAD" w14:textId="77777777" w:rsidTr="00EC1C67">
        <w:tc>
          <w:tcPr>
            <w:tcW w:w="3208" w:type="dxa"/>
            <w:shd w:val="clear" w:color="auto" w:fill="auto"/>
          </w:tcPr>
          <w:p w14:paraId="224DE037" w14:textId="77777777" w:rsidR="0034590E" w:rsidRPr="00BE7AD6" w:rsidRDefault="0034590E" w:rsidP="00EC1C67">
            <w:pPr>
              <w:ind w:firstLine="0"/>
              <w:jc w:val="left"/>
            </w:pPr>
            <w:r w:rsidRPr="00BE7AD6">
              <w:t xml:space="preserve">Отсроченная серологическая трансфузионная реакция </w:t>
            </w:r>
          </w:p>
        </w:tc>
        <w:tc>
          <w:tcPr>
            <w:tcW w:w="3082" w:type="dxa"/>
            <w:shd w:val="clear" w:color="auto" w:fill="auto"/>
          </w:tcPr>
          <w:p w14:paraId="209F7473" w14:textId="77777777" w:rsidR="0034590E" w:rsidRPr="00BE7AD6" w:rsidRDefault="0034590E" w:rsidP="00EC1C67">
            <w:pPr>
              <w:ind w:firstLine="0"/>
              <w:jc w:val="left"/>
            </w:pPr>
            <w:r w:rsidRPr="00BE7AD6">
              <w:t>Любой компонент донорской крови</w:t>
            </w:r>
          </w:p>
        </w:tc>
        <w:tc>
          <w:tcPr>
            <w:tcW w:w="8270" w:type="dxa"/>
            <w:shd w:val="clear" w:color="auto" w:fill="auto"/>
          </w:tcPr>
          <w:p w14:paraId="20432AC8" w14:textId="238541CE" w:rsidR="0034590E" w:rsidRPr="00BE7AD6" w:rsidRDefault="0034590E" w:rsidP="00EC1C67">
            <w:pPr>
              <w:ind w:firstLine="0"/>
              <w:jc w:val="left"/>
            </w:pPr>
            <w:r w:rsidRPr="00BE7AD6">
              <w:t xml:space="preserve">10 мл 10% #кальция глюконата** в 100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r w:rsidRPr="00BE7AD6">
              <w:t>.</w:t>
            </w:r>
          </w:p>
        </w:tc>
      </w:tr>
      <w:tr w:rsidR="0034590E" w:rsidRPr="00BE7AD6" w14:paraId="54B4C38A" w14:textId="77777777" w:rsidTr="00EC1C67">
        <w:tc>
          <w:tcPr>
            <w:tcW w:w="14560" w:type="dxa"/>
            <w:gridSpan w:val="3"/>
            <w:shd w:val="clear" w:color="auto" w:fill="auto"/>
          </w:tcPr>
          <w:p w14:paraId="14928995" w14:textId="77777777" w:rsidR="0034590E" w:rsidRPr="00BE7AD6" w:rsidRDefault="0034590E" w:rsidP="00EC1C67">
            <w:pPr>
              <w:ind w:firstLine="0"/>
              <w:jc w:val="left"/>
            </w:pPr>
            <w:r w:rsidRPr="00BE7AD6">
              <w:t>Острый или отсроченный иммунный гемолиз</w:t>
            </w:r>
          </w:p>
        </w:tc>
      </w:tr>
      <w:tr w:rsidR="0034590E" w:rsidRPr="00BE7AD6" w14:paraId="4D1BEA98" w14:textId="77777777" w:rsidTr="00EC1C67">
        <w:tc>
          <w:tcPr>
            <w:tcW w:w="3208" w:type="dxa"/>
            <w:shd w:val="clear" w:color="auto" w:fill="auto"/>
          </w:tcPr>
          <w:p w14:paraId="35BE57A1" w14:textId="77777777" w:rsidR="0034590E" w:rsidRPr="00BE7AD6" w:rsidRDefault="0034590E" w:rsidP="00EC1C67">
            <w:pPr>
              <w:ind w:firstLine="0"/>
              <w:jc w:val="left"/>
            </w:pPr>
            <w:r w:rsidRPr="00BE7AD6">
              <w:t>Гемолиз в анамнезе (клинических признаков гемолиза в настоящее время нет)</w:t>
            </w:r>
          </w:p>
        </w:tc>
        <w:tc>
          <w:tcPr>
            <w:tcW w:w="3082" w:type="dxa"/>
            <w:shd w:val="clear" w:color="auto" w:fill="auto"/>
          </w:tcPr>
          <w:p w14:paraId="623494CD" w14:textId="77777777" w:rsidR="0034590E" w:rsidRPr="00BE7AD6" w:rsidRDefault="0034590E" w:rsidP="00EC1C67">
            <w:pPr>
              <w:ind w:firstLine="0"/>
              <w:jc w:val="left"/>
            </w:pPr>
            <w:r w:rsidRPr="00BE7AD6">
              <w:t>Любой компонент донорской крови</w:t>
            </w:r>
          </w:p>
        </w:tc>
        <w:tc>
          <w:tcPr>
            <w:tcW w:w="8270" w:type="dxa"/>
            <w:shd w:val="clear" w:color="auto" w:fill="auto"/>
          </w:tcPr>
          <w:p w14:paraId="163D6A18" w14:textId="512784DE" w:rsidR="0034590E" w:rsidRPr="00BE7AD6" w:rsidRDefault="0034590E" w:rsidP="00EC1C67">
            <w:pPr>
              <w:ind w:firstLine="0"/>
              <w:jc w:val="left"/>
            </w:pPr>
            <w:r w:rsidRPr="00BE7AD6">
              <w:t xml:space="preserve">10 мл 10% #кальция глюконата** в 100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p>
        </w:tc>
      </w:tr>
      <w:tr w:rsidR="0034590E" w:rsidRPr="00BE7AD6" w14:paraId="32EA7EB5" w14:textId="77777777" w:rsidTr="00EC1C67">
        <w:tc>
          <w:tcPr>
            <w:tcW w:w="3208" w:type="dxa"/>
            <w:vMerge w:val="restart"/>
            <w:shd w:val="clear" w:color="auto" w:fill="auto"/>
          </w:tcPr>
          <w:p w14:paraId="430394D2" w14:textId="77777777" w:rsidR="0034590E" w:rsidRPr="00BE7AD6" w:rsidRDefault="0034590E" w:rsidP="00EC1C67">
            <w:pPr>
              <w:ind w:firstLine="0"/>
              <w:jc w:val="left"/>
            </w:pPr>
            <w:r w:rsidRPr="00BE7AD6">
              <w:t>Активный гемолиз (признаки гемолиза сохраняются)</w:t>
            </w:r>
          </w:p>
        </w:tc>
        <w:tc>
          <w:tcPr>
            <w:tcW w:w="3082" w:type="dxa"/>
            <w:shd w:val="clear" w:color="auto" w:fill="auto"/>
          </w:tcPr>
          <w:p w14:paraId="7B7120B1" w14:textId="77777777" w:rsidR="0034590E" w:rsidRPr="00BE7AD6" w:rsidRDefault="0034590E" w:rsidP="00EC1C67">
            <w:pPr>
              <w:ind w:firstLine="0"/>
              <w:jc w:val="left"/>
            </w:pPr>
            <w:r w:rsidRPr="00BE7AD6">
              <w:t>Эритроцитсодержащие компоненты донорской крови</w:t>
            </w:r>
          </w:p>
        </w:tc>
        <w:tc>
          <w:tcPr>
            <w:tcW w:w="8270" w:type="dxa"/>
            <w:shd w:val="clear" w:color="auto" w:fill="auto"/>
          </w:tcPr>
          <w:p w14:paraId="3E000F6D" w14:textId="5E86FC62" w:rsidR="0034590E" w:rsidRPr="00BE7AD6" w:rsidRDefault="0034590E" w:rsidP="00EC1C67">
            <w:pPr>
              <w:ind w:firstLine="0"/>
              <w:jc w:val="left"/>
            </w:pPr>
            <w:r w:rsidRPr="00BE7AD6">
              <w:t xml:space="preserve">10 мл 10% #кальция глюконата** в 250-500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r w:rsidRPr="00BE7AD6">
              <w:t>.</w:t>
            </w:r>
          </w:p>
          <w:p w14:paraId="235C9C72" w14:textId="77777777" w:rsidR="0034590E" w:rsidRPr="00BE7AD6" w:rsidRDefault="0034590E" w:rsidP="00EC1C67">
            <w:pPr>
              <w:ind w:firstLine="0"/>
              <w:jc w:val="left"/>
            </w:pPr>
            <w:r w:rsidRPr="00BE7AD6">
              <w:t xml:space="preserve">При высоком риске дальнейшего усиления иммунного гемолиза следует индивидуально рассмотреть </w:t>
            </w:r>
            <w:r w:rsidRPr="00BE7AD6">
              <w:lastRenderedPageBreak/>
              <w:t>возможность введения глюкокортикоидов.</w:t>
            </w:r>
          </w:p>
        </w:tc>
      </w:tr>
      <w:tr w:rsidR="0034590E" w:rsidRPr="00BE7AD6" w14:paraId="5993AE2D" w14:textId="77777777" w:rsidTr="00EC1C67">
        <w:tc>
          <w:tcPr>
            <w:tcW w:w="3208" w:type="dxa"/>
            <w:vMerge/>
            <w:shd w:val="clear" w:color="auto" w:fill="auto"/>
          </w:tcPr>
          <w:p w14:paraId="690BAF8E" w14:textId="77777777" w:rsidR="0034590E" w:rsidRPr="00BE7AD6" w:rsidRDefault="0034590E" w:rsidP="00EC1C67">
            <w:pPr>
              <w:ind w:firstLine="0"/>
              <w:jc w:val="left"/>
            </w:pPr>
          </w:p>
        </w:tc>
        <w:tc>
          <w:tcPr>
            <w:tcW w:w="3082" w:type="dxa"/>
            <w:shd w:val="clear" w:color="auto" w:fill="auto"/>
          </w:tcPr>
          <w:p w14:paraId="005AD792" w14:textId="77777777" w:rsidR="0034590E" w:rsidRPr="00BE7AD6" w:rsidRDefault="0034590E" w:rsidP="00EC1C67">
            <w:pPr>
              <w:ind w:firstLine="0"/>
              <w:jc w:val="left"/>
            </w:pPr>
            <w:r w:rsidRPr="00BE7AD6">
              <w:t>Концентрат тромбоцитов, свежезамороженная плазма, криопреципитат, криосупернатант</w:t>
            </w:r>
          </w:p>
        </w:tc>
        <w:tc>
          <w:tcPr>
            <w:tcW w:w="8270" w:type="dxa"/>
            <w:shd w:val="clear" w:color="auto" w:fill="auto"/>
          </w:tcPr>
          <w:p w14:paraId="380CAE9E" w14:textId="591B8E11" w:rsidR="0034590E" w:rsidRPr="00BE7AD6" w:rsidRDefault="0034590E" w:rsidP="00EC1C67">
            <w:pPr>
              <w:ind w:firstLine="0"/>
              <w:jc w:val="left"/>
            </w:pPr>
            <w:r w:rsidRPr="00BE7AD6">
              <w:t xml:space="preserve">10 мл 10% #кальция глюконата** в 500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p>
        </w:tc>
      </w:tr>
      <w:tr w:rsidR="0034590E" w:rsidRPr="00BE7AD6" w14:paraId="0BEBEDEB" w14:textId="77777777" w:rsidTr="00EC1C67">
        <w:tc>
          <w:tcPr>
            <w:tcW w:w="14560" w:type="dxa"/>
            <w:gridSpan w:val="3"/>
            <w:shd w:val="clear" w:color="auto" w:fill="auto"/>
          </w:tcPr>
          <w:p w14:paraId="118DE737" w14:textId="77777777" w:rsidR="0034590E" w:rsidRPr="00BE7AD6" w:rsidRDefault="0034590E" w:rsidP="00EC1C67">
            <w:pPr>
              <w:ind w:firstLine="0"/>
              <w:jc w:val="left"/>
            </w:pPr>
            <w:r w:rsidRPr="00BE7AD6">
              <w:t>Посттрансфузионная болезнь «трансплантат против хозяина»</w:t>
            </w:r>
          </w:p>
        </w:tc>
      </w:tr>
      <w:tr w:rsidR="0034590E" w:rsidRPr="00BE7AD6" w14:paraId="0B202203" w14:textId="77777777" w:rsidTr="00EC1C67">
        <w:tc>
          <w:tcPr>
            <w:tcW w:w="3208" w:type="dxa"/>
            <w:shd w:val="clear" w:color="auto" w:fill="auto"/>
          </w:tcPr>
          <w:p w14:paraId="7513080A" w14:textId="77777777" w:rsidR="0034590E" w:rsidRPr="00BE7AD6" w:rsidRDefault="0034590E" w:rsidP="00EC1C67">
            <w:pPr>
              <w:ind w:firstLine="0"/>
              <w:jc w:val="left"/>
            </w:pPr>
            <w:r w:rsidRPr="00BE7AD6">
              <w:t>Посттрансфузионная болезнь «трансплантат против хозяина»</w:t>
            </w:r>
          </w:p>
        </w:tc>
        <w:tc>
          <w:tcPr>
            <w:tcW w:w="3082" w:type="dxa"/>
            <w:shd w:val="clear" w:color="auto" w:fill="auto"/>
          </w:tcPr>
          <w:p w14:paraId="76286642" w14:textId="77777777" w:rsidR="0034590E" w:rsidRPr="00BE7AD6" w:rsidRDefault="0034590E" w:rsidP="00EC1C67">
            <w:pPr>
              <w:ind w:firstLine="0"/>
              <w:jc w:val="left"/>
            </w:pPr>
            <w:r w:rsidRPr="00BE7AD6">
              <w:t>Любой компонент донорской крови</w:t>
            </w:r>
          </w:p>
        </w:tc>
        <w:tc>
          <w:tcPr>
            <w:tcW w:w="8270" w:type="dxa"/>
            <w:shd w:val="clear" w:color="auto" w:fill="auto"/>
          </w:tcPr>
          <w:p w14:paraId="06E7F149" w14:textId="1205BF0A" w:rsidR="0034590E" w:rsidRPr="00BE7AD6" w:rsidRDefault="0034590E" w:rsidP="00EC1C67">
            <w:pPr>
              <w:ind w:firstLine="0"/>
              <w:jc w:val="left"/>
            </w:pPr>
            <w:r w:rsidRPr="00BE7AD6">
              <w:t xml:space="preserve">10 мл 10% #кальция глюконата** в 100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p>
        </w:tc>
      </w:tr>
      <w:tr w:rsidR="0034590E" w:rsidRPr="00BE7AD6" w14:paraId="76A3C019" w14:textId="77777777" w:rsidTr="00EC1C67">
        <w:tc>
          <w:tcPr>
            <w:tcW w:w="14560" w:type="dxa"/>
            <w:gridSpan w:val="3"/>
            <w:shd w:val="clear" w:color="auto" w:fill="auto"/>
          </w:tcPr>
          <w:p w14:paraId="6AC5922C" w14:textId="77777777" w:rsidR="0034590E" w:rsidRPr="00BE7AD6" w:rsidRDefault="0034590E" w:rsidP="00EC1C67">
            <w:pPr>
              <w:ind w:firstLine="0"/>
              <w:jc w:val="left"/>
            </w:pPr>
            <w:r w:rsidRPr="00BE7AD6">
              <w:t xml:space="preserve">Посттрансфузионная пурпура: </w:t>
            </w:r>
          </w:p>
          <w:p w14:paraId="38858DF5" w14:textId="77777777" w:rsidR="0034590E" w:rsidRPr="00BE7AD6" w:rsidRDefault="0034590E" w:rsidP="00EC1C67">
            <w:pPr>
              <w:ind w:firstLine="0"/>
              <w:jc w:val="left"/>
            </w:pPr>
            <w:r w:rsidRPr="00BE7AD6">
              <w:t>наличие антилейкоцитарных и (или) специфических антитромбоцитарных антител, рефрактерность к трансфузиям тромбоцитсодержащих сред</w:t>
            </w:r>
          </w:p>
        </w:tc>
      </w:tr>
      <w:tr w:rsidR="0034590E" w:rsidRPr="00BE7AD6" w14:paraId="6B94B913" w14:textId="77777777" w:rsidTr="00EC1C67">
        <w:tc>
          <w:tcPr>
            <w:tcW w:w="3208" w:type="dxa"/>
            <w:vMerge w:val="restart"/>
            <w:shd w:val="clear" w:color="auto" w:fill="auto"/>
          </w:tcPr>
          <w:p w14:paraId="030D85F5" w14:textId="77777777" w:rsidR="0034590E" w:rsidRPr="00BE7AD6" w:rsidRDefault="0034590E" w:rsidP="00EC1C67">
            <w:pPr>
              <w:ind w:firstLine="0"/>
              <w:jc w:val="left"/>
            </w:pPr>
            <w:r w:rsidRPr="00BE7AD6">
              <w:t xml:space="preserve">Посттрансфузионная пурпура </w:t>
            </w:r>
          </w:p>
        </w:tc>
        <w:tc>
          <w:tcPr>
            <w:tcW w:w="3082" w:type="dxa"/>
            <w:shd w:val="clear" w:color="auto" w:fill="auto"/>
          </w:tcPr>
          <w:p w14:paraId="38D8B9AF" w14:textId="77777777" w:rsidR="0034590E" w:rsidRPr="00BE7AD6" w:rsidRDefault="0034590E" w:rsidP="00EC1C67">
            <w:pPr>
              <w:ind w:firstLine="0"/>
              <w:jc w:val="left"/>
            </w:pPr>
            <w:r w:rsidRPr="00BE7AD6">
              <w:t>Индивидуально подобранный концентрат тромбоцитов методом адгезии на твердой фазе / в лимфоцитотоксическом тесте</w:t>
            </w:r>
          </w:p>
        </w:tc>
        <w:tc>
          <w:tcPr>
            <w:tcW w:w="8270" w:type="dxa"/>
            <w:shd w:val="clear" w:color="auto" w:fill="auto"/>
          </w:tcPr>
          <w:p w14:paraId="6D583276" w14:textId="252C966C" w:rsidR="0034590E" w:rsidRPr="00BE7AD6" w:rsidRDefault="0034590E" w:rsidP="00EC1C67">
            <w:pPr>
              <w:ind w:firstLine="0"/>
              <w:jc w:val="left"/>
            </w:pPr>
            <w:r w:rsidRPr="00BE7AD6">
              <w:t xml:space="preserve">10 мл 10% #кальция глюконата** и 2 мл #клемастина 1 мг/мл (либо 1 мл #дифенгидрамина** 10 мг/мл, либо 1 мл #хлоропирамина** 20 мг/мл) в 100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p>
        </w:tc>
      </w:tr>
      <w:tr w:rsidR="0034590E" w:rsidRPr="00BE7AD6" w14:paraId="2288D9E6" w14:textId="77777777" w:rsidTr="00EC1C67">
        <w:tc>
          <w:tcPr>
            <w:tcW w:w="3208" w:type="dxa"/>
            <w:vMerge/>
            <w:shd w:val="clear" w:color="auto" w:fill="auto"/>
          </w:tcPr>
          <w:p w14:paraId="438CF06F" w14:textId="77777777" w:rsidR="0034590E" w:rsidRPr="00BE7AD6" w:rsidRDefault="0034590E" w:rsidP="00EC1C67">
            <w:pPr>
              <w:ind w:firstLine="0"/>
              <w:jc w:val="left"/>
            </w:pPr>
          </w:p>
        </w:tc>
        <w:tc>
          <w:tcPr>
            <w:tcW w:w="3082" w:type="dxa"/>
            <w:shd w:val="clear" w:color="auto" w:fill="auto"/>
          </w:tcPr>
          <w:p w14:paraId="10F0A6C6" w14:textId="77777777" w:rsidR="0034590E" w:rsidRPr="00BE7AD6" w:rsidRDefault="0034590E" w:rsidP="00EC1C67">
            <w:pPr>
              <w:ind w:firstLine="0"/>
              <w:jc w:val="left"/>
            </w:pPr>
            <w:r w:rsidRPr="00BE7AD6">
              <w:t>Концентрат тромбоцитов с невозможностью проведения индивидуального подбора</w:t>
            </w:r>
          </w:p>
        </w:tc>
        <w:tc>
          <w:tcPr>
            <w:tcW w:w="8270" w:type="dxa"/>
            <w:shd w:val="clear" w:color="auto" w:fill="auto"/>
          </w:tcPr>
          <w:p w14:paraId="7B3AA23D" w14:textId="38CE0209" w:rsidR="0034590E" w:rsidRPr="00BE7AD6" w:rsidRDefault="0034590E" w:rsidP="00EC1C67">
            <w:pPr>
              <w:ind w:firstLine="0"/>
              <w:jc w:val="left"/>
            </w:pPr>
            <w:r w:rsidRPr="00BE7AD6">
              <w:t xml:space="preserve">10 мл 10% #кальция глюконата** и 2 мл #клемастина 1 мг/мл (либо 1 мл #дифенгидрамина** 10 мг/мл, либо 1 мл #хлоропирамина** 20 мг/мл) в 100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r w:rsidRPr="00BE7AD6">
              <w:t>.</w:t>
            </w:r>
          </w:p>
          <w:p w14:paraId="136EF3BA" w14:textId="77777777" w:rsidR="0034590E" w:rsidRPr="00BE7AD6" w:rsidRDefault="0034590E" w:rsidP="00EC1C67">
            <w:pPr>
              <w:ind w:firstLine="0"/>
              <w:jc w:val="left"/>
            </w:pPr>
            <w:r w:rsidRPr="00BE7AD6">
              <w:t xml:space="preserve">Индивидуально рассмотреть возможность разового введения глюкокортикоидов с целью снижения дальнейшей аллоиммунизации и уменьшения выраженности возможной </w:t>
            </w:r>
            <w:r w:rsidRPr="00BE7AD6">
              <w:lastRenderedPageBreak/>
              <w:t>посттрансфузионной реакции или осложнений на данную трансфузию (следует соотнести потенциальные риски и ожидаемую пользу).</w:t>
            </w:r>
          </w:p>
        </w:tc>
      </w:tr>
      <w:tr w:rsidR="0034590E" w:rsidRPr="00BE7AD6" w14:paraId="3C0A57A1" w14:textId="77777777" w:rsidTr="00EC1C67">
        <w:tc>
          <w:tcPr>
            <w:tcW w:w="3208" w:type="dxa"/>
            <w:vMerge/>
            <w:shd w:val="clear" w:color="auto" w:fill="auto"/>
          </w:tcPr>
          <w:p w14:paraId="771C1049" w14:textId="77777777" w:rsidR="0034590E" w:rsidRPr="00BE7AD6" w:rsidRDefault="0034590E" w:rsidP="00EC1C67">
            <w:pPr>
              <w:ind w:firstLine="0"/>
              <w:jc w:val="left"/>
            </w:pPr>
          </w:p>
        </w:tc>
        <w:tc>
          <w:tcPr>
            <w:tcW w:w="3082" w:type="dxa"/>
            <w:shd w:val="clear" w:color="auto" w:fill="auto"/>
          </w:tcPr>
          <w:p w14:paraId="0AA9C885" w14:textId="77777777" w:rsidR="0034590E" w:rsidRPr="00BE7AD6" w:rsidRDefault="0034590E" w:rsidP="00EC1C67">
            <w:pPr>
              <w:ind w:firstLine="0"/>
              <w:jc w:val="left"/>
            </w:pPr>
            <w:r w:rsidRPr="00BE7AD6">
              <w:t>Другие компоненты донорской крови</w:t>
            </w:r>
          </w:p>
        </w:tc>
        <w:tc>
          <w:tcPr>
            <w:tcW w:w="8270" w:type="dxa"/>
            <w:shd w:val="clear" w:color="auto" w:fill="auto"/>
          </w:tcPr>
          <w:p w14:paraId="2E7E3D81" w14:textId="01E13B91" w:rsidR="0034590E" w:rsidRPr="00BE7AD6" w:rsidRDefault="0034590E" w:rsidP="00EC1C67">
            <w:pPr>
              <w:ind w:firstLine="0"/>
              <w:jc w:val="left"/>
            </w:pPr>
            <w:r w:rsidRPr="00BE7AD6">
              <w:t xml:space="preserve">10 мл 10% #кальция глюконата** в 100 мл 0,9% раствора NaCl** в/в капельно </w:t>
            </w:r>
            <w:r w:rsidRPr="00BE7AD6">
              <w:fldChar w:fldCharType="begin" w:fldLock="1"/>
            </w:r>
            <w:r w:rsidR="00F44253">
              <w:instrText>ADDIN CSL_CITATION {"citationItems":[{"id":"ITEM-1","itemData":{"DOI":"10.25837/HAT.2019.62.39.006","author":[{"dropping-particle":"","family":"Аксельрод","given":"Б.А.","non-dropping-particle":"","parse-names":false,"suffix":""},{"dropping-particle":"","family":"Балашова","given":"Е.Н.","non-dropping-particle":"","parse-names":false,"suffix":""},{"dropping-particle":"","family":"Баутин","given":"А.Е.","non-dropping-particle":"","parse-names":false,"suffix":""},{"dropping-particle":"","family":"Баховадинов","given":"Б.Б.","non-dropping-particle":"","parse-names":false,"suffix":""},{"dropping-particle":"","family":"Бирюкова","given":"Л.С.","non-dropping-particle":"","parse-names":false,"suffix":""},{"dropping-particle":"","family":"Буланов","given":"А.Ю.","non-dropping-particle":"","parse-names":false,"suffix":""}],"container-title":"Гематология и трансфузиология","id":"ITEM-1","issue":"4","issued":{"date-parts":[["2018"]]},"page":"372-435","title":"Клиническое использование эритроцитсодержащих компонентов донорской крови","type":"article-journal","volume":"63"},"uris":["http://www.mendeley.com/documents/?uuid=cd542ca9-33b9-45f5-acca-a02e2a721c67"]}],"mendeley":{"formattedCitation":"[84]","plainTextFormattedCitation":"[84]","previouslyFormattedCitation":"[84]"},"properties":{"noteIndex":0},"schema":"https://github.com/citation-style-language/schema/raw/master/csl-citation.json"}</w:instrText>
            </w:r>
            <w:r w:rsidRPr="00BE7AD6">
              <w:fldChar w:fldCharType="separate"/>
            </w:r>
            <w:r w:rsidR="004D13EB" w:rsidRPr="004D13EB">
              <w:rPr>
                <w:noProof/>
              </w:rPr>
              <w:t>[84]</w:t>
            </w:r>
            <w:r w:rsidRPr="00BE7AD6">
              <w:fldChar w:fldCharType="end"/>
            </w:r>
          </w:p>
        </w:tc>
      </w:tr>
    </w:tbl>
    <w:p w14:paraId="73D08630" w14:textId="77777777" w:rsidR="0034590E" w:rsidRPr="00BE7AD6" w:rsidRDefault="0034590E" w:rsidP="0034590E">
      <w:pPr>
        <w:pStyle w:val="affff"/>
        <w:spacing w:beforeAutospacing="0" w:afterAutospacing="0" w:line="360" w:lineRule="auto"/>
      </w:pPr>
      <w:r w:rsidRPr="00BE7AD6">
        <w:t>* Предшествующие реакции и осложнения, связанные с трансфузией донорской крови и (или) ее компонентов, не влияющие на объем последующей премедикации при проведении трансфузионной терапии:</w:t>
      </w:r>
    </w:p>
    <w:p w14:paraId="21B8E350" w14:textId="77777777" w:rsidR="0034590E" w:rsidRPr="00BE7AD6" w:rsidRDefault="0034590E" w:rsidP="00A72B1B">
      <w:pPr>
        <w:pStyle w:val="affff"/>
        <w:numPr>
          <w:ilvl w:val="0"/>
          <w:numId w:val="66"/>
        </w:numPr>
        <w:spacing w:beforeAutospacing="0" w:afterAutospacing="0" w:line="360" w:lineRule="auto"/>
      </w:pPr>
      <w:r w:rsidRPr="00BE7AD6">
        <w:t>иммунные:</w:t>
      </w:r>
    </w:p>
    <w:p w14:paraId="4CF541EA" w14:textId="77777777" w:rsidR="0034590E" w:rsidRPr="00BE7AD6" w:rsidRDefault="0034590E" w:rsidP="00A72B1B">
      <w:pPr>
        <w:pStyle w:val="affff"/>
        <w:numPr>
          <w:ilvl w:val="1"/>
          <w:numId w:val="66"/>
        </w:numPr>
        <w:spacing w:beforeAutospacing="0" w:afterAutospacing="0" w:line="360" w:lineRule="auto"/>
      </w:pPr>
      <w:r w:rsidRPr="00BE7AD6">
        <w:t>обусловленное трансфузией острое повреждение легких</w:t>
      </w:r>
    </w:p>
    <w:p w14:paraId="77EE7D47" w14:textId="77777777" w:rsidR="0034590E" w:rsidRPr="00BE7AD6" w:rsidRDefault="0034590E" w:rsidP="00A72B1B">
      <w:pPr>
        <w:pStyle w:val="affff"/>
        <w:numPr>
          <w:ilvl w:val="1"/>
          <w:numId w:val="66"/>
        </w:numPr>
        <w:spacing w:beforeAutospacing="0" w:afterAutospacing="0" w:line="360" w:lineRule="auto"/>
      </w:pPr>
      <w:r w:rsidRPr="00BE7AD6">
        <w:t>обусловленная трансфузией одышка</w:t>
      </w:r>
    </w:p>
    <w:p w14:paraId="134913BE" w14:textId="77777777" w:rsidR="0034590E" w:rsidRPr="00BE7AD6" w:rsidRDefault="0034590E" w:rsidP="00A72B1B">
      <w:pPr>
        <w:pStyle w:val="affff"/>
        <w:numPr>
          <w:ilvl w:val="0"/>
          <w:numId w:val="66"/>
        </w:numPr>
        <w:spacing w:beforeAutospacing="0" w:afterAutospacing="0" w:line="360" w:lineRule="auto"/>
      </w:pPr>
      <w:r w:rsidRPr="00BE7AD6">
        <w:t>неиммунные:</w:t>
      </w:r>
    </w:p>
    <w:p w14:paraId="758718BE" w14:textId="77777777" w:rsidR="0034590E" w:rsidRPr="00BE7AD6" w:rsidRDefault="0034590E" w:rsidP="00A72B1B">
      <w:pPr>
        <w:pStyle w:val="affff"/>
        <w:numPr>
          <w:ilvl w:val="1"/>
          <w:numId w:val="66"/>
        </w:numPr>
        <w:spacing w:beforeAutospacing="0" w:afterAutospacing="0" w:line="360" w:lineRule="auto"/>
      </w:pPr>
      <w:r w:rsidRPr="00BE7AD6">
        <w:t>обусловленная трансфузией циркуляторная перегрузка</w:t>
      </w:r>
    </w:p>
    <w:p w14:paraId="5ACD1E1E" w14:textId="77777777" w:rsidR="0034590E" w:rsidRPr="00BE7AD6" w:rsidRDefault="0034590E" w:rsidP="00A72B1B">
      <w:pPr>
        <w:pStyle w:val="affff"/>
        <w:numPr>
          <w:ilvl w:val="1"/>
          <w:numId w:val="66"/>
        </w:numPr>
        <w:spacing w:beforeAutospacing="0" w:afterAutospacing="0" w:line="360" w:lineRule="auto"/>
      </w:pPr>
      <w:r w:rsidRPr="00BE7AD6">
        <w:t>посттрансфузионная гипертензия</w:t>
      </w:r>
    </w:p>
    <w:p w14:paraId="0A0950B9" w14:textId="77777777" w:rsidR="0034590E" w:rsidRPr="00BE7AD6" w:rsidRDefault="0034590E" w:rsidP="00A72B1B">
      <w:pPr>
        <w:pStyle w:val="affff"/>
        <w:numPr>
          <w:ilvl w:val="1"/>
          <w:numId w:val="66"/>
        </w:numPr>
        <w:spacing w:beforeAutospacing="0" w:afterAutospacing="0" w:line="360" w:lineRule="auto"/>
      </w:pPr>
      <w:r w:rsidRPr="00BE7AD6">
        <w:t>острый неиммунный гемолиз</w:t>
      </w:r>
    </w:p>
    <w:p w14:paraId="226A8B4C" w14:textId="77777777" w:rsidR="0034590E" w:rsidRPr="00BE7AD6" w:rsidRDefault="0034590E" w:rsidP="00A72B1B">
      <w:pPr>
        <w:pStyle w:val="affff"/>
        <w:numPr>
          <w:ilvl w:val="1"/>
          <w:numId w:val="66"/>
        </w:numPr>
        <w:spacing w:beforeAutospacing="0" w:afterAutospacing="0" w:line="360" w:lineRule="auto"/>
      </w:pPr>
      <w:r w:rsidRPr="00BE7AD6">
        <w:t>септический шок</w:t>
      </w:r>
    </w:p>
    <w:p w14:paraId="6C6E9E06" w14:textId="77777777" w:rsidR="0034590E" w:rsidRPr="00BE7AD6" w:rsidRDefault="0034590E" w:rsidP="00A72B1B">
      <w:pPr>
        <w:pStyle w:val="affff"/>
        <w:numPr>
          <w:ilvl w:val="1"/>
          <w:numId w:val="66"/>
        </w:numPr>
        <w:spacing w:beforeAutospacing="0" w:afterAutospacing="0" w:line="360" w:lineRule="auto"/>
      </w:pPr>
      <w:r w:rsidRPr="00BE7AD6">
        <w:t>хроническая перегрузка железом</w:t>
      </w:r>
    </w:p>
    <w:p w14:paraId="6AB14DF4" w14:textId="77777777" w:rsidR="0034590E" w:rsidRPr="00BE7AD6" w:rsidRDefault="0034590E" w:rsidP="0034590E">
      <w:pPr>
        <w:pStyle w:val="affff"/>
        <w:spacing w:beforeAutospacing="0" w:afterAutospacing="0" w:line="360" w:lineRule="auto"/>
      </w:pPr>
      <w:r w:rsidRPr="00BE7AD6">
        <w:t xml:space="preserve">Решение вопроса о введении глюкокортикоидов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глубокой нейтропении), сахарный диабет, артериальная гипертензия и другие. Глюкокортикоиды в эквивалентных дозировках, применяемые в качестве премедикации перед трансфузией: 10-50 мг преднизолона**, либо 2-6 мг дексаметазона**, либо 25-100 мг гидрокортизона**, либо 62,5-250 мг метилпреднизолона**. </w:t>
      </w:r>
    </w:p>
    <w:p w14:paraId="2F087A8F" w14:textId="77777777" w:rsidR="0034590E" w:rsidRPr="00BE7AD6" w:rsidRDefault="0034590E" w:rsidP="0034590E">
      <w:pPr>
        <w:pStyle w:val="affff"/>
        <w:spacing w:beforeAutospacing="0" w:afterAutospacing="0" w:line="360" w:lineRule="auto"/>
      </w:pPr>
    </w:p>
    <w:p w14:paraId="73528F85" w14:textId="77777777" w:rsidR="0034590E" w:rsidRPr="00DE4EC5" w:rsidRDefault="0034590E" w:rsidP="0034590E">
      <w:pPr>
        <w:pStyle w:val="affff"/>
        <w:spacing w:beforeAutospacing="0" w:afterAutospacing="0" w:line="360" w:lineRule="auto"/>
        <w:rPr>
          <w:b/>
          <w:bCs/>
        </w:rPr>
      </w:pPr>
      <w:r w:rsidRPr="00DE4EC5">
        <w:rPr>
          <w:b/>
          <w:bCs/>
        </w:rPr>
        <w:t xml:space="preserve">Лечебный плазмаферез в терапии рефрактерности к трансфузиям тромбоцитов </w:t>
      </w:r>
    </w:p>
    <w:p w14:paraId="4158DDC6" w14:textId="77777777" w:rsidR="0034590E" w:rsidRPr="00BE7AD6" w:rsidRDefault="0034590E" w:rsidP="0034590E">
      <w:pPr>
        <w:pStyle w:val="affff"/>
        <w:spacing w:beforeAutospacing="0" w:afterAutospacing="0" w:line="360" w:lineRule="auto"/>
      </w:pPr>
      <w:r w:rsidRPr="00BE7AD6">
        <w:t>Если с помощью индивидуального подбора донорских тромбоцитов не удаётся получить достаточный прирост тромбоцитов и клинический эффект от трансфузий концентрата тромбоцитов, то для улучшения эффективности индивидуального подбора пары «донор-реципиент» к терапии добавляют процедуры плазмафереза</w:t>
      </w:r>
      <w:r>
        <w:t xml:space="preserve"> (ПА)</w:t>
      </w:r>
      <w:r w:rsidRPr="00BE7AD6">
        <w:t xml:space="preserve">. В основе развивающейся рефрактерности к трансфузиям концентрата тромбоцитов лежит аллосенсибилизация реципиента лейкоцитарными и тромбоцитарными антигенами </w:t>
      </w:r>
      <w:r w:rsidRPr="00BE7AD6">
        <w:lastRenderedPageBreak/>
        <w:t>донорских клеток крови. В этом случае целью проведения ПА является уменьшение концентрации циркулирующих аллоантител и иммунных комплексов.</w:t>
      </w:r>
    </w:p>
    <w:p w14:paraId="0940C388" w14:textId="77777777" w:rsidR="0034590E" w:rsidRPr="00BE7AD6" w:rsidRDefault="0034590E" w:rsidP="0034590E">
      <w:pPr>
        <w:pStyle w:val="affff"/>
        <w:spacing w:beforeAutospacing="0" w:afterAutospacing="0" w:line="360" w:lineRule="auto"/>
      </w:pPr>
      <w:r w:rsidRPr="00BE7AD6">
        <w:t xml:space="preserve">Для преодоления рефрактерности к трансфузиям концентрата тромбоцитов в большинстве случаев достаточно провести 5-6 процедур (от 2 до 15 процедур) ПА в сочетании с индивидуальным подбором тромбоцитов. </w:t>
      </w:r>
    </w:p>
    <w:p w14:paraId="149A00A4" w14:textId="77777777" w:rsidR="0034590E" w:rsidRPr="00BE7AD6" w:rsidRDefault="0034590E" w:rsidP="0034590E">
      <w:pPr>
        <w:pStyle w:val="affff"/>
        <w:spacing w:beforeAutospacing="0" w:afterAutospacing="0" w:line="360" w:lineRule="auto"/>
      </w:pPr>
      <w:r w:rsidRPr="00BE7AD6">
        <w:t xml:space="preserve">ПА проводятся 2-3 раза в неделю с интервалом 2-3 дня. </w:t>
      </w:r>
    </w:p>
    <w:p w14:paraId="73174AF3" w14:textId="77777777" w:rsidR="0034590E" w:rsidRPr="00BE7AD6" w:rsidRDefault="0034590E" w:rsidP="0034590E">
      <w:pPr>
        <w:pStyle w:val="affff"/>
        <w:spacing w:beforeAutospacing="0" w:afterAutospacing="0" w:line="360" w:lineRule="auto"/>
      </w:pPr>
      <w:r w:rsidRPr="00BE7AD6">
        <w:t>Объём удаляемой плазмы: за одну процедуру удаляется 0,5 ОЦП, в среднем 1500 мл (1000</w:t>
      </w:r>
      <w:r>
        <w:t>-</w:t>
      </w:r>
      <w:r w:rsidRPr="00BE7AD6">
        <w:t>2000 мл).</w:t>
      </w:r>
    </w:p>
    <w:p w14:paraId="5FA32F08" w14:textId="77777777" w:rsidR="0034590E" w:rsidRPr="00BE7AD6" w:rsidRDefault="0034590E" w:rsidP="0034590E">
      <w:pPr>
        <w:pStyle w:val="affff"/>
        <w:spacing w:beforeAutospacing="0" w:afterAutospacing="0" w:line="360" w:lineRule="auto"/>
      </w:pPr>
      <w:r w:rsidRPr="00BE7AD6">
        <w:t>С целью предупреждения дополнительной аллоиммунизации антигенами донорских клеток крови и белками донорской плазмы замещение объёма удалённой плазмы проводится 5%, 10%, 20% раствором альбумина человека** и раствором натрия хлорида** 0,9%.</w:t>
      </w:r>
    </w:p>
    <w:p w14:paraId="12502F55" w14:textId="77777777" w:rsidR="0034590E" w:rsidRPr="00BE7AD6" w:rsidRDefault="0034590E" w:rsidP="0034590E">
      <w:pPr>
        <w:pStyle w:val="affff"/>
        <w:spacing w:beforeAutospacing="0" w:afterAutospacing="0" w:line="360" w:lineRule="auto"/>
      </w:pPr>
      <w:r w:rsidRPr="00BE7AD6">
        <w:t xml:space="preserve">Соотношение раствора 5% альбумина человека** и раствора натрия хлорида** 0,9% 1:1 при уровне общего белка ≥ 65г/л: </w:t>
      </w:r>
    </w:p>
    <w:p w14:paraId="29349929" w14:textId="77777777" w:rsidR="0034590E" w:rsidRPr="00BE7AD6" w:rsidRDefault="0034590E" w:rsidP="00A72B1B">
      <w:pPr>
        <w:pStyle w:val="affff"/>
        <w:numPr>
          <w:ilvl w:val="0"/>
          <w:numId w:val="67"/>
        </w:numPr>
        <w:spacing w:beforeAutospacing="0" w:afterAutospacing="0" w:line="360" w:lineRule="auto"/>
      </w:pPr>
      <w:r w:rsidRPr="00BE7AD6">
        <w:t xml:space="preserve">альбумин человека** 5% </w:t>
      </w:r>
      <w:r>
        <w:t>–</w:t>
      </w:r>
      <w:r w:rsidRPr="00BE7AD6">
        <w:t xml:space="preserve"> (500мл</w:t>
      </w:r>
      <w:r>
        <w:t>-</w:t>
      </w:r>
      <w:r w:rsidRPr="00BE7AD6">
        <w:t xml:space="preserve">1000мл) в среднем 800 мл; </w:t>
      </w:r>
    </w:p>
    <w:p w14:paraId="61E48618" w14:textId="77777777" w:rsidR="0034590E" w:rsidRPr="00BE7AD6" w:rsidRDefault="0034590E" w:rsidP="00A72B1B">
      <w:pPr>
        <w:pStyle w:val="affff"/>
        <w:numPr>
          <w:ilvl w:val="0"/>
          <w:numId w:val="67"/>
        </w:numPr>
        <w:spacing w:beforeAutospacing="0" w:afterAutospacing="0" w:line="360" w:lineRule="auto"/>
      </w:pPr>
      <w:r w:rsidRPr="00BE7AD6">
        <w:t>раствор натрия хлорида** 0,9% в среднем 800 мл (500</w:t>
      </w:r>
      <w:r>
        <w:t>-</w:t>
      </w:r>
      <w:r w:rsidRPr="00BE7AD6">
        <w:t>1000 мл).</w:t>
      </w:r>
    </w:p>
    <w:p w14:paraId="16F93C82" w14:textId="77777777" w:rsidR="0034590E" w:rsidRPr="00BE7AD6" w:rsidRDefault="0034590E" w:rsidP="0034590E">
      <w:pPr>
        <w:pStyle w:val="affff"/>
        <w:spacing w:beforeAutospacing="0" w:afterAutospacing="0" w:line="360" w:lineRule="auto"/>
      </w:pPr>
    </w:p>
    <w:p w14:paraId="72930F61" w14:textId="77777777" w:rsidR="0034590E" w:rsidRPr="00DE4EC5" w:rsidRDefault="0034590E" w:rsidP="0034590E">
      <w:pPr>
        <w:pStyle w:val="affff"/>
        <w:spacing w:beforeAutospacing="0" w:afterAutospacing="0" w:line="360" w:lineRule="auto"/>
        <w:rPr>
          <w:i/>
          <w:iCs/>
        </w:rPr>
      </w:pPr>
      <w:r w:rsidRPr="00DE4EC5">
        <w:rPr>
          <w:i/>
          <w:iCs/>
        </w:rPr>
        <w:t xml:space="preserve">Методические аспекты проведения ПА при тромбоцитопении, рефрактерной к трансфузиям концентрата тромбоцитов: </w:t>
      </w:r>
    </w:p>
    <w:p w14:paraId="0EC1F95F" w14:textId="77777777" w:rsidR="0034590E" w:rsidRPr="00BE7AD6" w:rsidRDefault="0034590E" w:rsidP="0034590E">
      <w:pPr>
        <w:pStyle w:val="affff"/>
        <w:spacing w:beforeAutospacing="0" w:afterAutospacing="0" w:line="360" w:lineRule="auto"/>
      </w:pPr>
      <w:r w:rsidRPr="00BE7AD6">
        <w:t>При наличии глубокой тромбоцитопении (≤ 20х10</w:t>
      </w:r>
      <w:r w:rsidRPr="00DE4EC5">
        <w:rPr>
          <w:vertAlign w:val="superscript"/>
        </w:rPr>
        <w:t>9</w:t>
      </w:r>
      <w:r w:rsidRPr="00BE7AD6">
        <w:t>/л) перед началом проведения процедуры ПА необходимо провести трансфузию 4</w:t>
      </w:r>
      <w:r>
        <w:t>-</w:t>
      </w:r>
      <w:r w:rsidRPr="00BE7AD6">
        <w:t>6 доз тромбоцитов, заказать концентрат тромбоцитов для трансфузии после окончания процедуры ПА.</w:t>
      </w:r>
    </w:p>
    <w:p w14:paraId="4288722D" w14:textId="77777777" w:rsidR="0034590E" w:rsidRPr="00BE7AD6" w:rsidRDefault="0034590E" w:rsidP="0034590E">
      <w:pPr>
        <w:pStyle w:val="affff"/>
        <w:spacing w:beforeAutospacing="0" w:afterAutospacing="0" w:line="360" w:lineRule="auto"/>
      </w:pPr>
      <w:r w:rsidRPr="00BE7AD6">
        <w:t>После проведённой процедуры ПА уровень общего белка плазмы должен быть ≥ 50</w:t>
      </w:r>
      <w:r>
        <w:t> </w:t>
      </w:r>
      <w:r w:rsidRPr="00BE7AD6">
        <w:t>г/л; если уровень общего белка плазмы будет меньше, то требуется дополнительное введение альбумина.</w:t>
      </w:r>
    </w:p>
    <w:p w14:paraId="0790F8D3" w14:textId="77777777" w:rsidR="0034590E" w:rsidRPr="00BE7AD6" w:rsidRDefault="0034590E" w:rsidP="0034590E">
      <w:pPr>
        <w:pStyle w:val="affff"/>
        <w:spacing w:beforeAutospacing="0" w:afterAutospacing="0" w:line="360" w:lineRule="auto"/>
      </w:pPr>
      <w:r w:rsidRPr="00BE7AD6">
        <w:t>После каждых 2</w:t>
      </w:r>
      <w:r>
        <w:t>-</w:t>
      </w:r>
      <w:r w:rsidRPr="00BE7AD6">
        <w:t>3 процедур ПА необходим контроль уровня сывороточного белка и коагулограммы для исключения дефицита факторов свёртывания крови и развития геморрагического синдрома. При сохранении дефицита факторов свёртывания крови замещение объёма удалённой плазмы надо проводить СЗП + р</w:t>
      </w:r>
      <w:r>
        <w:t>аствором</w:t>
      </w:r>
      <w:r w:rsidRPr="00BE7AD6">
        <w:t xml:space="preserve"> 5% альбумина человека** и раствором натрия хлорида</w:t>
      </w:r>
      <w:r>
        <w:t>**</w:t>
      </w:r>
      <w:r w:rsidRPr="00BE7AD6">
        <w:t xml:space="preserve"> 0,9%. </w:t>
      </w:r>
    </w:p>
    <w:p w14:paraId="5FA66D46" w14:textId="77777777" w:rsidR="0034590E" w:rsidRPr="00BE7AD6" w:rsidRDefault="0034590E" w:rsidP="0034590E">
      <w:pPr>
        <w:pStyle w:val="affff"/>
        <w:spacing w:beforeAutospacing="0" w:afterAutospacing="0" w:line="360" w:lineRule="auto"/>
      </w:pPr>
      <w:r w:rsidRPr="00BE7AD6">
        <w:t>Соотношение СЗП + раствора 5% альбумина человека** и раствора натрия хлорида** 0,9% 1:1 при уровне общего белка ≥ 65</w:t>
      </w:r>
      <w:r>
        <w:t> </w:t>
      </w:r>
      <w:r w:rsidRPr="00BE7AD6">
        <w:t>г/л</w:t>
      </w:r>
      <w:r>
        <w:t>:</w:t>
      </w:r>
    </w:p>
    <w:p w14:paraId="0EBB003B" w14:textId="77777777" w:rsidR="0034590E" w:rsidRPr="00BE7AD6" w:rsidRDefault="0034590E" w:rsidP="00A72B1B">
      <w:pPr>
        <w:pStyle w:val="affff"/>
        <w:numPr>
          <w:ilvl w:val="0"/>
          <w:numId w:val="68"/>
        </w:numPr>
        <w:spacing w:beforeAutospacing="0" w:afterAutospacing="0" w:line="360" w:lineRule="auto"/>
      </w:pPr>
      <w:r w:rsidRPr="00BE7AD6">
        <w:t>СЗП – в среднем 500 мл (500</w:t>
      </w:r>
      <w:r>
        <w:t>-</w:t>
      </w:r>
      <w:r w:rsidRPr="00BE7AD6">
        <w:t>1000 мл);</w:t>
      </w:r>
    </w:p>
    <w:p w14:paraId="37049D31" w14:textId="77777777" w:rsidR="0034590E" w:rsidRPr="00BE7AD6" w:rsidRDefault="0034590E" w:rsidP="00A72B1B">
      <w:pPr>
        <w:pStyle w:val="affff"/>
        <w:numPr>
          <w:ilvl w:val="0"/>
          <w:numId w:val="68"/>
        </w:numPr>
        <w:spacing w:beforeAutospacing="0" w:afterAutospacing="0" w:line="360" w:lineRule="auto"/>
      </w:pPr>
      <w:r w:rsidRPr="00BE7AD6">
        <w:t>Альбумин человека** 5% 200</w:t>
      </w:r>
      <w:r>
        <w:t>-</w:t>
      </w:r>
      <w:r w:rsidRPr="00BE7AD6">
        <w:t>300мл (10</w:t>
      </w:r>
      <w:r>
        <w:t>-</w:t>
      </w:r>
      <w:r w:rsidRPr="00BE7AD6">
        <w:t>15</w:t>
      </w:r>
      <w:r>
        <w:t> </w:t>
      </w:r>
      <w:r w:rsidRPr="00BE7AD6">
        <w:t>г);</w:t>
      </w:r>
    </w:p>
    <w:p w14:paraId="470F3EC3" w14:textId="77777777" w:rsidR="0034590E" w:rsidRPr="00BE7AD6" w:rsidRDefault="0034590E" w:rsidP="00A72B1B">
      <w:pPr>
        <w:pStyle w:val="affff"/>
        <w:numPr>
          <w:ilvl w:val="0"/>
          <w:numId w:val="68"/>
        </w:numPr>
        <w:spacing w:beforeAutospacing="0" w:afterAutospacing="0" w:line="360" w:lineRule="auto"/>
      </w:pPr>
      <w:r w:rsidRPr="00BE7AD6">
        <w:lastRenderedPageBreak/>
        <w:t>Раствор натрия хлорида 0,9% в среднем 800 мл (500</w:t>
      </w:r>
      <w:r>
        <w:t>-</w:t>
      </w:r>
      <w:r w:rsidRPr="00BE7AD6">
        <w:t xml:space="preserve">1000 мл). </w:t>
      </w:r>
    </w:p>
    <w:p w14:paraId="2EE79023" w14:textId="77777777" w:rsidR="0034590E" w:rsidRPr="00BE7AD6" w:rsidRDefault="0034590E" w:rsidP="0034590E">
      <w:pPr>
        <w:pStyle w:val="affff"/>
        <w:spacing w:beforeAutospacing="0" w:afterAutospacing="0" w:line="360" w:lineRule="auto"/>
      </w:pPr>
      <w:r w:rsidRPr="00BE7AD6">
        <w:t>Соотношение СЗП + раствора 5% альбумина и раствора натрия хлорида** 0,9% составляет 2:1 при уровне общего белка  ≤ 55г/л:</w:t>
      </w:r>
    </w:p>
    <w:p w14:paraId="04916BA1" w14:textId="77777777" w:rsidR="0034590E" w:rsidRPr="00BE7AD6" w:rsidRDefault="0034590E" w:rsidP="00A72B1B">
      <w:pPr>
        <w:pStyle w:val="affff"/>
        <w:numPr>
          <w:ilvl w:val="0"/>
          <w:numId w:val="69"/>
        </w:numPr>
        <w:spacing w:beforeAutospacing="0" w:afterAutospacing="0" w:line="360" w:lineRule="auto"/>
      </w:pPr>
      <w:r w:rsidRPr="00BE7AD6">
        <w:t>СЗП – в среднем 800 мл (500</w:t>
      </w:r>
      <w:r>
        <w:t>-</w:t>
      </w:r>
      <w:r w:rsidRPr="00BE7AD6">
        <w:t xml:space="preserve">1000 мл); </w:t>
      </w:r>
    </w:p>
    <w:p w14:paraId="59DABBF4" w14:textId="77777777" w:rsidR="0034590E" w:rsidRPr="00BE7AD6" w:rsidRDefault="0034590E" w:rsidP="00A72B1B">
      <w:pPr>
        <w:pStyle w:val="affff"/>
        <w:numPr>
          <w:ilvl w:val="0"/>
          <w:numId w:val="69"/>
        </w:numPr>
        <w:spacing w:beforeAutospacing="0" w:afterAutospacing="0" w:line="360" w:lineRule="auto"/>
      </w:pPr>
      <w:r w:rsidRPr="00BE7AD6">
        <w:t>Альбумин человека** 5% 200</w:t>
      </w:r>
      <w:r>
        <w:t>-</w:t>
      </w:r>
      <w:r w:rsidRPr="00BE7AD6">
        <w:t>300 мл (10-15 г);</w:t>
      </w:r>
    </w:p>
    <w:p w14:paraId="37696FE2" w14:textId="77777777" w:rsidR="0034590E" w:rsidRPr="000009BA" w:rsidRDefault="0034590E" w:rsidP="00A72B1B">
      <w:pPr>
        <w:pStyle w:val="affff"/>
        <w:numPr>
          <w:ilvl w:val="0"/>
          <w:numId w:val="69"/>
        </w:numPr>
        <w:spacing w:beforeAutospacing="0" w:afterAutospacing="0" w:line="360" w:lineRule="auto"/>
      </w:pPr>
      <w:r w:rsidRPr="00BE7AD6">
        <w:t>Раствор натрия хлорида** 0,9% – в среднем 500</w:t>
      </w:r>
      <w:r>
        <w:t xml:space="preserve"> </w:t>
      </w:r>
      <w:r w:rsidRPr="00BE7AD6">
        <w:t>мл (500</w:t>
      </w:r>
      <w:r>
        <w:t>-</w:t>
      </w:r>
      <w:r w:rsidRPr="00BE7AD6">
        <w:t>1000</w:t>
      </w:r>
      <w:r>
        <w:t xml:space="preserve"> </w:t>
      </w:r>
      <w:r w:rsidRPr="00BE7AD6">
        <w:t>мл).</w:t>
      </w:r>
    </w:p>
    <w:p w14:paraId="62F60EAF" w14:textId="77777777" w:rsidR="0034590E" w:rsidRDefault="0034590E" w:rsidP="0034590E">
      <w:pPr>
        <w:pStyle w:val="afd"/>
        <w:ind w:left="0"/>
        <w:rPr>
          <w:szCs w:val="24"/>
        </w:rPr>
      </w:pPr>
    </w:p>
    <w:p w14:paraId="149E4AC2" w14:textId="77777777" w:rsidR="0034590E" w:rsidRPr="003A6791" w:rsidRDefault="0034590E" w:rsidP="0034590E">
      <w:pPr>
        <w:pStyle w:val="2"/>
        <w:spacing w:before="0"/>
      </w:pPr>
      <w:bookmarkStart w:id="123" w:name="_Toc101882895"/>
      <w:r w:rsidRPr="006641A3">
        <w:t>Приложение А3.</w:t>
      </w:r>
      <w:r>
        <w:t xml:space="preserve">6. </w:t>
      </w:r>
      <w:r w:rsidRPr="00952000">
        <w:rPr>
          <w:bCs/>
        </w:rPr>
        <w:t>Обеспечение сосудистого доступа</w:t>
      </w:r>
      <w:bookmarkEnd w:id="123"/>
    </w:p>
    <w:p w14:paraId="17A6BFA2" w14:textId="77777777" w:rsidR="0034590E" w:rsidRPr="00952000" w:rsidRDefault="0034590E" w:rsidP="0034590E">
      <w:pPr>
        <w:rPr>
          <w:szCs w:val="24"/>
          <w:shd w:val="clear" w:color="auto" w:fill="FFFFFF"/>
        </w:rPr>
      </w:pPr>
      <w:r w:rsidRPr="00952000">
        <w:rPr>
          <w:szCs w:val="24"/>
          <w:shd w:val="clear" w:color="auto" w:fill="FFFFFF"/>
        </w:rPr>
        <w:t>Обеспечение сосудистого доступа является неотъемлемой составляющей частью современной химиотерапии онкогематологических больных</w:t>
      </w:r>
      <w:r w:rsidRPr="00952000">
        <w:rPr>
          <w:szCs w:val="24"/>
        </w:rPr>
        <w:t xml:space="preserve">. </w:t>
      </w:r>
      <w:r w:rsidRPr="00952000">
        <w:rPr>
          <w:szCs w:val="24"/>
          <w:shd w:val="clear" w:color="auto" w:fill="FFFFFF"/>
        </w:rPr>
        <w:t>Через центральный венозный катетер (ЦВК) вводятся химиотерапевтические препараты, корригируются электролитные нарушения, проводится парентеральное питание, осуществляется взятие образцов крови для исследования и т.</w:t>
      </w:r>
      <w:r>
        <w:rPr>
          <w:szCs w:val="24"/>
          <w:shd w:val="clear" w:color="auto" w:fill="FFFFFF"/>
        </w:rPr>
        <w:t> </w:t>
      </w:r>
      <w:r w:rsidRPr="00952000">
        <w:rPr>
          <w:szCs w:val="24"/>
          <w:shd w:val="clear" w:color="auto" w:fill="FFFFFF"/>
        </w:rPr>
        <w:t xml:space="preserve">д. </w:t>
      </w:r>
    </w:p>
    <w:p w14:paraId="73126471" w14:textId="0916685C" w:rsidR="0034590E" w:rsidRPr="00952000" w:rsidRDefault="0034590E" w:rsidP="0034590E">
      <w:pPr>
        <w:rPr>
          <w:szCs w:val="24"/>
        </w:rPr>
      </w:pPr>
      <w:r w:rsidRPr="00952000">
        <w:rPr>
          <w:szCs w:val="24"/>
        </w:rPr>
        <w:t xml:space="preserve">Выделяют следующие особенности сосудистого доступа в гематологии: необходимость только внутривенного введения многих лекарственных препаратов, массивность инфузионных программ сдавление крупных венозных сосудов увеличенными лимфатическими узлами и/или опухолевой массой, </w:t>
      </w:r>
      <w:r w:rsidRPr="00952000">
        <w:rPr>
          <w:rFonts w:eastAsia="Times New Roman"/>
          <w:szCs w:val="24"/>
        </w:rPr>
        <w:t>как с внутригрудным, так и с внутрибрюшным поражением,</w:t>
      </w:r>
      <w:r w:rsidRPr="00952000">
        <w:rPr>
          <w:szCs w:val="24"/>
        </w:rPr>
        <w:t xml:space="preserve"> что значительно затрудняет задачу обеспечения сосудистого доступа </w:t>
      </w:r>
      <w:r w:rsidRPr="00952000">
        <w:rPr>
          <w:szCs w:val="24"/>
        </w:rPr>
        <w:fldChar w:fldCharType="begin" w:fldLock="1"/>
      </w:r>
      <w:r w:rsidR="00F44253">
        <w:rPr>
          <w:szCs w:val="24"/>
        </w:rPr>
        <w:instrText>ADDIN CSL_CITATION {"citationItems":[{"id":"ITEM-1","itemData":{"abstract":"NTRODUCTION. SVCS results from compression of the superior vena cava. Lymphoma - one of the most frequent causes of the malignant SVCS.\r\nThe aim of the study was to identify the incidence of SVCS in lymphoma pts and features of the central venous access in lymphoma pts\r\nwith SVCS. METHODS. Materials and methods. 686 lymphoma pts (311 male,\r\n375 female) were included in the prospective study. The pts suffered\r\nfrom Hodgkin's lymphoma (HL) (69 pts) and non-Hodgkin's lymphoma (NHL) (617 pts). In all pts SVCS was diagnosed clinically and was\r\nconfirmed by CT scan or MRI. In pts with confirmed SVCS the central\r\nvenous access was provided by non-tunneled central venous catheters (non-tCVCs) (Certofix DUO 7Fr, BBraun) and totally implantable\r\ncentral venous port system (PowerPort, Bard Access System). The indwelling time, the number of the replaced CVCs and the incidence of complications were analyzed. Statistic: SPSS ver.23 (IBM, Chicago, II., USA). Pearson's chi-squared test and Fisher's exact test were used.\r\nRESULTS. . SVCS was revealed in 70 (10.2%) of 686 lymphoma pts (9 pts with HL and 61 pts with NHL). Among lymphoma pts the frequency of SVCS was highest in pts with primary mediastinal large Bcell lymphoma (PMBCL). SVCS was revealed in 49 (51.6%) of 95 PMBCL pts. In SVCS pts venous access was provided by non-tCVC\r\ninserted in femoral vein (50 pts) and TIVAPS (20 pts) implanted into v. cava inferior through the femoral vein. TIVAPS reservoirs were implanted on the thigh. During lymphoma treatment most pts with non-tCVCs needed repeated catheterizations: median 3 (1-14) CVCs. Among pts with TIVAPS only in 3 pts TIVAPS needed repeated catheterizations; their TIVAPS were removed due to complications. The median indwelling times were 6 (1-129) catheter days for CVCs and\r\n164 (1-280) catheter days for TIVAPS (p&lt;0.05). Incidences of CVC related bloodstream infections (CRBSI) were 2.1/1000 catheter days for\r\nCVCs and 0.1/1000 catheter days for TIVAPS. Incidence of CVC associated thrombosis (CAT) were 4.1/1000 catheter days for CVCs and 0.5/\r\n1000 catheter days for TIVAPS. One patient had infection of the subcutaneous pocket (0.3/1000 catheter days). The reasons for nontCVCs removal were the treatment completion (82.8%) and complications: CRBSI (7.1%), CAT (8.5%), malfunction (1.6%). The reasons for the TIVAPS removal were the treatment completion (85%), CRBSI (5%), infection of the subcutaneous pocket (5%) and CAT (5%). CONCLUSION. SVCS was revealed in 10.2% l…","author":[{"dropping-particle":"","family":"SPIRIN","given":"M.","non-dropping-particle":"","parse-names":false,"suffix":""},{"dropping-particle":"","family":"GALSTYAN","given":"G.","non-dropping-particle":"","parse-names":false,"suffix":""},{"dropping-particle":"","family":"DROKOV","given":"M.","non-dropping-particle":"","parse-names":false,"suffix":""}],"container-title":"INTENSIVE CARE MEDICINE EXPERIMENTAL","id":"ITEM-1","issue":"Suppl. 3:001341","issued":{"date-parts":[["2019"]]},"page":"388-389","title":"Central venous access in lymphoma patients (pts) with superior vena cava syndrome (SVCS)","type":"article-journal","volume":"7"},"uris":["http://www.mendeley.com/documents/?uuid=d4b66f57-5a46-3b0e-bb39-8451d9534a0c","http://www.mendeley.com/documents/?uuid=c29428ae-471c-4ca0-bb6e-1085dbeae434","http://www.mendeley.com/documents/?uuid=34ed67cd-3386-4746-82ca-e1d8edc0179d"]}],"mendeley":{"formattedCitation":"[85]","plainTextFormattedCitation":"[85]","previouslyFormattedCitation":"[85]"},"properties":{"noteIndex":0},"schema":"https://github.com/citation-style-language/schema/raw/master/csl-citation.json"}</w:instrText>
      </w:r>
      <w:r w:rsidRPr="00952000">
        <w:rPr>
          <w:szCs w:val="24"/>
        </w:rPr>
        <w:fldChar w:fldCharType="separate"/>
      </w:r>
      <w:r w:rsidR="004D13EB" w:rsidRPr="004D13EB">
        <w:rPr>
          <w:noProof/>
          <w:szCs w:val="24"/>
        </w:rPr>
        <w:t>[85]</w:t>
      </w:r>
      <w:r w:rsidRPr="00952000">
        <w:rPr>
          <w:szCs w:val="24"/>
        </w:rPr>
        <w:fldChar w:fldCharType="end"/>
      </w:r>
      <w:r w:rsidRPr="00952000">
        <w:rPr>
          <w:szCs w:val="24"/>
        </w:rPr>
        <w:t xml:space="preserve">, высокий риск геморрагического синдрома (врожденные и приобретенные коагулопатии, тромбоцитопения), тромбоза, большая продолжительность лечения. В общей сложности, в надежном сосудистом доступе онкогематологические пациенты нуждаются от нескольких месяцев до года, как в стационарных, так и амбулаторных условиях. Использование с этой целью периферического венозного доступа неприемлемо, поскольку большинство вводимых растворов обладает раздражающим действием (везиканты, ирританты, эксфолианты) и экстравазация таких препаратов в подкожную клетчатку может привести к ее некрозу </w:t>
      </w:r>
      <w:r w:rsidRPr="00952000">
        <w:rPr>
          <w:szCs w:val="24"/>
        </w:rPr>
        <w:fldChar w:fldCharType="begin" w:fldLock="1"/>
      </w:r>
      <w:r w:rsidR="00F44253">
        <w:rPr>
          <w:szCs w:val="24"/>
        </w:rPr>
        <w:instrText>ADDIN CSL_CITATION {"citationItems":[{"id":"ITEM-1","itemData":{"DOI":"10.1007/s12254-016-0304-2","ISSN":"1865-5041","PMID":"28058065","abstract":"In cancer treatment, extravasation is defined as an inadvertent instillation or leakage of cytotoxic drugs into the perivascular space during infusion. As a dreaded complication of chemotherapy, extravasation has gained increasing attention in recent years. Classified according to their subcutaneous toxicity, three types of cytotoxins have been established: vesicants, irritants and nonvesicant drugs. Vesicant cytotoxic drugs may induce tissue damage, ulceration and tissue necrosis. Although we have established measures to manage extravasation emergencies, prevention is of paramount importance. This may be achieved within hospitals through regular training and education, which is best provided by a specialised and experienced task force including all disciplines involved in cancer therapy. Moreover, clinical and translational studies contribute to a better management of chemotherapy-induced extravasation as shown by our group in recent years. We were able to demonstrate that the evaluation of blood flow by indocyanine green angiography in the extravasation area predicts the extent of damage and the need of future surgical intervention. When a Port-a-Cath® extravasation is detected early, a subcutaneous wash-out procedure was found to be beneficial, corroborated by the analytical evaluation of the removed cytotoxic compound epirubicin. In another study, the tissue distribution of platinum was quantified at the anatomic level in cryosections of various tissues. This novel knowledge complements and supports our current efforts to handle extravasations better. On the other hand, a number of new drugs (chemotherapy, monoclonal antibodies, checkpoint inhibitors etc.) with many open issues to reliably classify their tissue toxicity still require our attention.","author":[{"dropping-particle":"","family":"Pluschnig","given":"Ursula","non-dropping-particle":"","parse-names":false,"suffix":""},{"dropping-particle":"","family":"Haslik","given":"Werner","non-dropping-particle":"","parse-names":false,"suffix":""},{"dropping-particle":"","family":"Bartsch","given":"Rupert","non-dropping-particle":"","parse-names":false,"suffix":""},{"dropping-particle":"","family":"Mader","given":"Robert M","non-dropping-particle":"","parse-names":false,"suffix":""}],"container-title":"Memo","id":"ITEM-1","issue":"4","issued":{"date-parts":[["2016"]]},"page":"226-230","publisher":"Springer","title":"Extravasation emergencies: state-of-the-art management and progress in clinical research.","type":"article-journal","volume":"9"},"uris":["http://www.mendeley.com/documents/?uuid=587be6ac-ed25-3be6-bca1-30c719328058","http://www.mendeley.com/documents/?uuid=aed12f5b-d478-4cce-aae2-def10fec8352"]}],"mendeley":{"formattedCitation":"[86]","plainTextFormattedCitation":"[86]","previouslyFormattedCitation":"[86]"},"properties":{"noteIndex":0},"schema":"https://github.com/citation-style-language/schema/raw/master/csl-citation.json"}</w:instrText>
      </w:r>
      <w:r w:rsidRPr="00952000">
        <w:rPr>
          <w:szCs w:val="24"/>
        </w:rPr>
        <w:fldChar w:fldCharType="separate"/>
      </w:r>
      <w:r w:rsidR="004D13EB" w:rsidRPr="004D13EB">
        <w:rPr>
          <w:noProof/>
          <w:szCs w:val="24"/>
        </w:rPr>
        <w:t>[86]</w:t>
      </w:r>
      <w:r w:rsidRPr="00952000">
        <w:rPr>
          <w:szCs w:val="24"/>
        </w:rPr>
        <w:fldChar w:fldCharType="end"/>
      </w:r>
      <w:r w:rsidRPr="00952000">
        <w:rPr>
          <w:szCs w:val="24"/>
        </w:rPr>
        <w:t>. Помимо этого, у многих больных вследствие проводимой ранее химиотерапии нередко отсутствуют доступные периферические вены.</w:t>
      </w:r>
    </w:p>
    <w:p w14:paraId="23A444E7" w14:textId="77777777" w:rsidR="0034590E" w:rsidRDefault="0034590E" w:rsidP="0034590E">
      <w:pPr>
        <w:rPr>
          <w:b/>
          <w:bCs/>
          <w:szCs w:val="24"/>
        </w:rPr>
      </w:pPr>
    </w:p>
    <w:p w14:paraId="6FF42383" w14:textId="77777777" w:rsidR="0034590E" w:rsidRPr="004A739C" w:rsidRDefault="0034590E" w:rsidP="0034590E">
      <w:pPr>
        <w:rPr>
          <w:i/>
          <w:iCs/>
          <w:szCs w:val="24"/>
          <w:u w:val="single"/>
        </w:rPr>
      </w:pPr>
      <w:r w:rsidRPr="004A739C">
        <w:rPr>
          <w:i/>
          <w:iCs/>
          <w:szCs w:val="24"/>
          <w:u w:val="single"/>
        </w:rPr>
        <w:t>Показания к катетеризации центральных вен.</w:t>
      </w:r>
    </w:p>
    <w:p w14:paraId="04035161" w14:textId="77777777" w:rsidR="0034590E" w:rsidRPr="00952000" w:rsidRDefault="0034590E" w:rsidP="00A72B1B">
      <w:pPr>
        <w:pStyle w:val="afd"/>
        <w:numPr>
          <w:ilvl w:val="0"/>
          <w:numId w:val="39"/>
        </w:numPr>
        <w:ind w:left="993" w:hanging="284"/>
        <w:rPr>
          <w:rFonts w:eastAsia="Times New Roman"/>
          <w:szCs w:val="24"/>
          <w:lang w:eastAsia="ru-RU"/>
        </w:rPr>
      </w:pPr>
      <w:r w:rsidRPr="00952000">
        <w:rPr>
          <w:rFonts w:eastAsia="Times New Roman"/>
          <w:szCs w:val="24"/>
          <w:lang w:eastAsia="ru-RU"/>
        </w:rPr>
        <w:t>ограниченный доступ к периферическим венам,</w:t>
      </w:r>
    </w:p>
    <w:p w14:paraId="0E55A239" w14:textId="77777777" w:rsidR="0034590E" w:rsidRPr="00952000" w:rsidRDefault="0034590E" w:rsidP="00A72B1B">
      <w:pPr>
        <w:pStyle w:val="afd"/>
        <w:numPr>
          <w:ilvl w:val="0"/>
          <w:numId w:val="39"/>
        </w:numPr>
        <w:ind w:left="993" w:hanging="284"/>
        <w:rPr>
          <w:rFonts w:eastAsia="Times New Roman"/>
          <w:szCs w:val="24"/>
          <w:lang w:eastAsia="ru-RU"/>
        </w:rPr>
      </w:pPr>
      <w:r w:rsidRPr="00952000">
        <w:rPr>
          <w:rFonts w:eastAsia="Times New Roman"/>
          <w:szCs w:val="24"/>
          <w:lang w:eastAsia="ru-RU"/>
        </w:rPr>
        <w:t>необходимость проведения химиотерапии или парентерального питания, массивная инфузионная терапия,</w:t>
      </w:r>
    </w:p>
    <w:p w14:paraId="063D3017" w14:textId="77777777" w:rsidR="0034590E" w:rsidRPr="00952000" w:rsidRDefault="0034590E" w:rsidP="00A72B1B">
      <w:pPr>
        <w:pStyle w:val="afd"/>
        <w:numPr>
          <w:ilvl w:val="0"/>
          <w:numId w:val="39"/>
        </w:numPr>
        <w:ind w:left="993" w:hanging="284"/>
        <w:rPr>
          <w:rFonts w:eastAsia="Times New Roman"/>
          <w:szCs w:val="24"/>
          <w:lang w:eastAsia="ru-RU"/>
        </w:rPr>
      </w:pPr>
      <w:r w:rsidRPr="00952000">
        <w:rPr>
          <w:rFonts w:eastAsia="Times New Roman"/>
          <w:szCs w:val="24"/>
          <w:lang w:eastAsia="ru-RU"/>
        </w:rPr>
        <w:t>необходимость мониторинга гемодинамики (центральное венозное давление),</w:t>
      </w:r>
    </w:p>
    <w:p w14:paraId="746A8B7D" w14:textId="77777777" w:rsidR="0034590E" w:rsidRPr="00952000" w:rsidRDefault="0034590E" w:rsidP="00A72B1B">
      <w:pPr>
        <w:pStyle w:val="afd"/>
        <w:numPr>
          <w:ilvl w:val="0"/>
          <w:numId w:val="39"/>
        </w:numPr>
        <w:ind w:left="993" w:hanging="284"/>
        <w:rPr>
          <w:rFonts w:eastAsia="Times New Roman"/>
          <w:szCs w:val="24"/>
          <w:lang w:eastAsia="ru-RU"/>
        </w:rPr>
      </w:pPr>
      <w:r w:rsidRPr="00952000">
        <w:rPr>
          <w:rFonts w:eastAsia="Times New Roman"/>
          <w:szCs w:val="24"/>
          <w:lang w:eastAsia="ru-RU"/>
        </w:rPr>
        <w:t>необходимость мониторинга давления в легочной артерии,</w:t>
      </w:r>
    </w:p>
    <w:p w14:paraId="36762FE6" w14:textId="77777777" w:rsidR="0034590E" w:rsidRPr="00952000" w:rsidRDefault="0034590E" w:rsidP="00A72B1B">
      <w:pPr>
        <w:pStyle w:val="afd"/>
        <w:numPr>
          <w:ilvl w:val="0"/>
          <w:numId w:val="39"/>
        </w:numPr>
        <w:ind w:left="993" w:hanging="284"/>
        <w:rPr>
          <w:rFonts w:eastAsia="Times New Roman"/>
          <w:szCs w:val="24"/>
          <w:lang w:eastAsia="ru-RU"/>
        </w:rPr>
      </w:pPr>
      <w:r w:rsidRPr="00952000">
        <w:rPr>
          <w:rFonts w:eastAsia="Times New Roman"/>
          <w:szCs w:val="24"/>
          <w:lang w:eastAsia="ru-RU"/>
        </w:rPr>
        <w:lastRenderedPageBreak/>
        <w:t>установка кардиостимулятора,</w:t>
      </w:r>
    </w:p>
    <w:p w14:paraId="6F185D33" w14:textId="77777777" w:rsidR="0034590E" w:rsidRPr="00952000" w:rsidRDefault="0034590E" w:rsidP="00A72B1B">
      <w:pPr>
        <w:pStyle w:val="afd"/>
        <w:numPr>
          <w:ilvl w:val="0"/>
          <w:numId w:val="39"/>
        </w:numPr>
        <w:ind w:left="993" w:hanging="284"/>
        <w:rPr>
          <w:rFonts w:eastAsia="Times New Roman"/>
          <w:szCs w:val="24"/>
          <w:lang w:eastAsia="ru-RU"/>
        </w:rPr>
      </w:pPr>
      <w:r w:rsidRPr="00952000">
        <w:rPr>
          <w:rFonts w:eastAsia="Times New Roman"/>
          <w:szCs w:val="24"/>
          <w:lang w:eastAsia="ru-RU"/>
        </w:rPr>
        <w:t>необходимость проведения заместительной почечной терапии.</w:t>
      </w:r>
    </w:p>
    <w:p w14:paraId="14BC54C8" w14:textId="77777777" w:rsidR="0034590E" w:rsidRDefault="0034590E" w:rsidP="0034590E">
      <w:pPr>
        <w:rPr>
          <w:b/>
          <w:bCs/>
          <w:szCs w:val="24"/>
        </w:rPr>
      </w:pPr>
    </w:p>
    <w:p w14:paraId="180D3BD3" w14:textId="77777777" w:rsidR="0034590E" w:rsidRPr="004A739C" w:rsidRDefault="0034590E" w:rsidP="0034590E">
      <w:pPr>
        <w:rPr>
          <w:i/>
          <w:iCs/>
          <w:szCs w:val="24"/>
          <w:u w:val="single"/>
        </w:rPr>
      </w:pPr>
      <w:r w:rsidRPr="004A739C">
        <w:rPr>
          <w:i/>
          <w:iCs/>
          <w:szCs w:val="24"/>
          <w:u w:val="single"/>
        </w:rPr>
        <w:t>Противопоказания к катетеризации центральных вен</w:t>
      </w:r>
    </w:p>
    <w:p w14:paraId="4EBCC5D9" w14:textId="77777777" w:rsidR="0034590E" w:rsidRPr="004A739C" w:rsidRDefault="0034590E" w:rsidP="00A72B1B">
      <w:pPr>
        <w:pStyle w:val="afd"/>
        <w:numPr>
          <w:ilvl w:val="0"/>
          <w:numId w:val="39"/>
        </w:numPr>
        <w:ind w:left="993" w:hanging="284"/>
        <w:rPr>
          <w:rFonts w:eastAsia="Times New Roman"/>
          <w:szCs w:val="24"/>
          <w:lang w:eastAsia="ru-RU"/>
        </w:rPr>
      </w:pPr>
      <w:r w:rsidRPr="004A739C">
        <w:rPr>
          <w:rFonts w:eastAsia="Times New Roman"/>
          <w:szCs w:val="24"/>
          <w:lang w:eastAsia="ru-RU"/>
        </w:rPr>
        <w:t>Абсолютные:</w:t>
      </w:r>
    </w:p>
    <w:p w14:paraId="3AFEF883" w14:textId="77777777" w:rsidR="0034590E" w:rsidRPr="004A739C" w:rsidRDefault="0034590E" w:rsidP="00A72B1B">
      <w:pPr>
        <w:pStyle w:val="afd"/>
        <w:numPr>
          <w:ilvl w:val="1"/>
          <w:numId w:val="39"/>
        </w:numPr>
        <w:rPr>
          <w:rFonts w:eastAsia="Times New Roman"/>
          <w:szCs w:val="24"/>
          <w:lang w:eastAsia="ru-RU"/>
        </w:rPr>
      </w:pPr>
      <w:r w:rsidRPr="004A739C">
        <w:rPr>
          <w:rFonts w:eastAsia="Times New Roman"/>
          <w:szCs w:val="24"/>
          <w:lang w:eastAsia="ru-RU"/>
        </w:rPr>
        <w:t>воспаление в планируемом месте доступа</w:t>
      </w:r>
    </w:p>
    <w:p w14:paraId="62909BE5" w14:textId="77777777" w:rsidR="0034590E" w:rsidRPr="004A739C" w:rsidRDefault="0034590E" w:rsidP="00A72B1B">
      <w:pPr>
        <w:pStyle w:val="afd"/>
        <w:numPr>
          <w:ilvl w:val="1"/>
          <w:numId w:val="39"/>
        </w:numPr>
        <w:rPr>
          <w:rFonts w:eastAsia="Times New Roman"/>
          <w:szCs w:val="24"/>
          <w:lang w:eastAsia="ru-RU"/>
        </w:rPr>
      </w:pPr>
      <w:r w:rsidRPr="004A739C">
        <w:rPr>
          <w:rFonts w:eastAsia="Times New Roman"/>
          <w:szCs w:val="24"/>
          <w:lang w:eastAsia="ru-RU"/>
        </w:rPr>
        <w:t>недавно проведенное оперативное вмешательство в месте доступа</w:t>
      </w:r>
    </w:p>
    <w:p w14:paraId="60B98604" w14:textId="77777777" w:rsidR="0034590E" w:rsidRPr="004A739C" w:rsidRDefault="0034590E" w:rsidP="00A72B1B">
      <w:pPr>
        <w:pStyle w:val="afd"/>
        <w:numPr>
          <w:ilvl w:val="0"/>
          <w:numId w:val="39"/>
        </w:numPr>
        <w:ind w:left="993" w:hanging="284"/>
        <w:rPr>
          <w:rFonts w:eastAsia="Times New Roman"/>
          <w:szCs w:val="24"/>
          <w:lang w:eastAsia="ru-RU"/>
        </w:rPr>
      </w:pPr>
      <w:r w:rsidRPr="004A739C">
        <w:rPr>
          <w:rFonts w:eastAsia="Times New Roman"/>
          <w:szCs w:val="24"/>
          <w:lang w:eastAsia="ru-RU"/>
        </w:rPr>
        <w:t>Относительные</w:t>
      </w:r>
    </w:p>
    <w:p w14:paraId="485741E3" w14:textId="77777777" w:rsidR="0034590E" w:rsidRPr="004A739C" w:rsidRDefault="0034590E" w:rsidP="00A72B1B">
      <w:pPr>
        <w:pStyle w:val="afd"/>
        <w:numPr>
          <w:ilvl w:val="1"/>
          <w:numId w:val="39"/>
        </w:numPr>
        <w:rPr>
          <w:rFonts w:eastAsia="Times New Roman"/>
          <w:szCs w:val="24"/>
          <w:lang w:eastAsia="ru-RU"/>
        </w:rPr>
      </w:pPr>
      <w:r w:rsidRPr="004A739C">
        <w:rPr>
          <w:rFonts w:eastAsia="Times New Roman"/>
          <w:szCs w:val="24"/>
          <w:lang w:eastAsia="ru-RU"/>
        </w:rPr>
        <w:t>выраженный геморрагический синдром (вследствие тромбоцитопении, гипофибриногенемии, наследственных или приобретенных коагулопатий).</w:t>
      </w:r>
    </w:p>
    <w:p w14:paraId="568773A9" w14:textId="77777777" w:rsidR="0034590E" w:rsidRDefault="0034590E" w:rsidP="0034590E">
      <w:pPr>
        <w:pStyle w:val="Default"/>
        <w:spacing w:line="360" w:lineRule="auto"/>
        <w:ind w:firstLine="709"/>
        <w:jc w:val="both"/>
        <w:rPr>
          <w:i/>
          <w:color w:val="auto"/>
        </w:rPr>
      </w:pPr>
    </w:p>
    <w:p w14:paraId="256CFE33" w14:textId="77777777" w:rsidR="0034590E" w:rsidRPr="00952000" w:rsidRDefault="0034590E" w:rsidP="0034590E">
      <w:pPr>
        <w:pStyle w:val="Default"/>
        <w:spacing w:line="360" w:lineRule="auto"/>
        <w:ind w:firstLine="709"/>
        <w:jc w:val="both"/>
        <w:rPr>
          <w:color w:val="auto"/>
        </w:rPr>
      </w:pPr>
      <w:r w:rsidRPr="00952000">
        <w:rPr>
          <w:i/>
          <w:color w:val="auto"/>
        </w:rPr>
        <w:t>Тромбоцитопения</w:t>
      </w:r>
      <w:r w:rsidRPr="00952000">
        <w:rPr>
          <w:color w:val="auto"/>
        </w:rPr>
        <w:t xml:space="preserve"> – одна из самых частых причин геморрагического синдрома. Хотя безопасным уровнем для катетеризации мы считаем количество тромбоцитов крови более 20 х 10</w:t>
      </w:r>
      <w:r w:rsidRPr="00952000">
        <w:rPr>
          <w:color w:val="auto"/>
          <w:vertAlign w:val="superscript"/>
        </w:rPr>
        <w:t>9</w:t>
      </w:r>
      <w:r w:rsidRPr="00952000">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под контролем ультразвука без использования дилататора, может быть безопасной даже при количестве тромбоцитов менее 20 х 10</w:t>
      </w:r>
      <w:r w:rsidRPr="00952000">
        <w:rPr>
          <w:color w:val="auto"/>
          <w:vertAlign w:val="superscript"/>
        </w:rPr>
        <w:t>9</w:t>
      </w:r>
      <w:r w:rsidRPr="00952000">
        <w:rPr>
          <w:color w:val="auto"/>
        </w:rPr>
        <w:t>/л.</w:t>
      </w:r>
    </w:p>
    <w:p w14:paraId="6160C244" w14:textId="318F6C1D" w:rsidR="0034590E" w:rsidRPr="00952000" w:rsidRDefault="0034590E" w:rsidP="0034590E">
      <w:pPr>
        <w:rPr>
          <w:szCs w:val="24"/>
        </w:rPr>
      </w:pPr>
      <w:r w:rsidRPr="00952000">
        <w:rPr>
          <w:i/>
          <w:szCs w:val="24"/>
        </w:rPr>
        <w:t>Плазменная концентрация фибриногена</w:t>
      </w:r>
      <w:r w:rsidRPr="00952000">
        <w:rPr>
          <w:szCs w:val="24"/>
        </w:rPr>
        <w:t xml:space="preserve"> ассоциируется с геморрагическими осложнениями при установке ЦВК: она значимо ниже у больных с геморрагическими осложнениями, чем без осложнений </w:t>
      </w:r>
      <w:r w:rsidRPr="00952000">
        <w:rPr>
          <w:szCs w:val="24"/>
        </w:rPr>
        <w:fldChar w:fldCharType="begin" w:fldLock="1"/>
      </w:r>
      <w:r w:rsidR="00F44253">
        <w:rPr>
          <w:szCs w:val="24"/>
        </w:rPr>
        <w:instrText>ADDIN CSL_CITATION {"citationItems":[{"id":"ITEM-1","itemData":{"DOI":"10.1111/j.1537-2995.2011.03147.x","ISSN":"1537-2995","PMID":"21517892","abstract":"BACKGROUND Patients with severe thrombocytopenia are at risk for bleeding during insertion of central venous catheters (CVCs). Although most guidelines recommend preprocedural platelet (PLT) transfusions at a threshold of less than 50 × 10(9) /L, there is only weak evidence supporting such recommendations. STUDY DESIGN AND METHODS The current study aimed to establish a safe PLT transfusion trigger in patients with CVC placements. We performed a retrospective single-center analysis of 604 CVC insertions in 193 patients with acute leukemia receiving intensive chemotherapy or stem cell transplantation. RESULTS A total of 48% of the patients had a bleeding risk during CVC insertions, mostly due to thrombocytopenia. The bleeding incidence was 32% with 96% Grade 1 and 4% Grade 2 bleedings requiring prolonged local compression. There were no Grade 3 to 4 bleedings. Hemoglobin levels were similar before and 24 and 48 hours after the CVC insertion in the bleeding and nonbleeding group and there was no difference in the red blood cell (p = 0.72) and PLT transfusion requirements (p = 0.057) after CVC insertion. In multivariate analysis, only patients with PLT counts of less than 20 × 10(9) /L were at higher risk for bleeding before (p = 0.015) and after preprocedural PLT transfusions (p =0.006) compared to patients with PLT counts of 100 × 10(9) /L or more. CONCLUSION CVC placements can safely be performed in patients with PLT counts of 20 × 10(9) /L or more without preprocedural PLT transfusions.","author":[{"dropping-particle":"","family":"Zeidler","given":"Kristin","non-dropping-particle":"","parse-names":false,"suffix":""},{"dropping-particle":"","family":"Arn","given":"Kornelius","non-dropping-particle":"","parse-names":false,"suffix":""},{"dropping-particle":"","family":"Senn","given":"Oliver","non-dropping-particle":"","parse-names":false,"suffix":""},{"dropping-particle":"","family":"Schanz","given":"Urs","non-dropping-particle":"","parse-names":false,"suffix":""},{"dropping-particle":"","family":"Stussi","given":"Georg","non-dropping-particle":"","parse-names":false,"suffix":""}],"container-title":"Transfusion","id":"ITEM-1","issue":"11","issued":{"date-parts":[["2011","11"]]},"page":"2269-76","title":"Optimal preprocedural platelet transfusion threshold for central venous catheter insertions in patients with thrombocytopenia.","type":"article-journal","volume":"51"},"uris":["http://www.mendeley.com/documents/?uuid=11f6a6da-e80c-4c12-b31e-ce8ac19b442b"]}],"mendeley":{"formattedCitation":"[87]","plainTextFormattedCitation":"[87]","previouslyFormattedCitation":"[87]"},"properties":{"noteIndex":0},"schema":"https://github.com/citation-style-language/schema/raw/master/csl-citation.json"}</w:instrText>
      </w:r>
      <w:r w:rsidRPr="00952000">
        <w:rPr>
          <w:szCs w:val="24"/>
        </w:rPr>
        <w:fldChar w:fldCharType="separate"/>
      </w:r>
      <w:r w:rsidR="004D13EB" w:rsidRPr="004D13EB">
        <w:rPr>
          <w:noProof/>
          <w:szCs w:val="24"/>
        </w:rPr>
        <w:t>[87]</w:t>
      </w:r>
      <w:r w:rsidRPr="00952000">
        <w:rPr>
          <w:szCs w:val="24"/>
        </w:rPr>
        <w:fldChar w:fldCharType="end"/>
      </w:r>
      <w:r w:rsidRPr="00952000">
        <w:rPr>
          <w:szCs w:val="24"/>
        </w:rPr>
        <w:t>.</w:t>
      </w:r>
    </w:p>
    <w:p w14:paraId="58099F71" w14:textId="77777777" w:rsidR="0034590E" w:rsidRDefault="0034590E" w:rsidP="0034590E">
      <w:pPr>
        <w:rPr>
          <w:b/>
          <w:bCs/>
          <w:szCs w:val="24"/>
        </w:rPr>
      </w:pPr>
    </w:p>
    <w:p w14:paraId="04368BBE" w14:textId="77777777" w:rsidR="0034590E" w:rsidRPr="008879EC" w:rsidRDefault="0034590E" w:rsidP="0034590E">
      <w:pPr>
        <w:rPr>
          <w:i/>
          <w:iCs/>
          <w:szCs w:val="24"/>
          <w:u w:val="single"/>
        </w:rPr>
      </w:pPr>
      <w:r w:rsidRPr="008879EC">
        <w:rPr>
          <w:i/>
          <w:iCs/>
          <w:szCs w:val="24"/>
          <w:u w:val="single"/>
        </w:rPr>
        <w:t>Типы катетеров</w:t>
      </w:r>
    </w:p>
    <w:p w14:paraId="3B9BBBC2" w14:textId="77777777" w:rsidR="0034590E" w:rsidRPr="00952000" w:rsidRDefault="0034590E" w:rsidP="0034590E">
      <w:pPr>
        <w:ind w:firstLine="708"/>
        <w:contextualSpacing/>
        <w:rPr>
          <w:szCs w:val="24"/>
        </w:rPr>
      </w:pPr>
      <w:r w:rsidRPr="00952000">
        <w:rPr>
          <w:i/>
          <w:szCs w:val="24"/>
        </w:rPr>
        <w:t>ЦВК</w:t>
      </w:r>
      <w:r w:rsidRPr="00952000">
        <w:rPr>
          <w:szCs w:val="24"/>
        </w:rPr>
        <w:t xml:space="preserve"> – это полая трубка, устанавливаемая в одну из центральных вен. ЦВК изготавливаются из различных материалов, имеют разный диаметр. ЦВК могут быть оснащены клапанами на разных концах, или камерой на проксимальном конце, а также иметь один или несколько просветов, для возможности проведения одновременных инфузий несовместимых между собой растворов. </w:t>
      </w:r>
    </w:p>
    <w:p w14:paraId="607EE31B" w14:textId="77777777" w:rsidR="0034590E" w:rsidRPr="00952000" w:rsidRDefault="0034590E" w:rsidP="0034590E">
      <w:pPr>
        <w:ind w:firstLine="700"/>
        <w:rPr>
          <w:rFonts w:eastAsia="Times New Roman"/>
          <w:i/>
          <w:szCs w:val="24"/>
          <w:lang w:eastAsia="ru-RU"/>
        </w:rPr>
      </w:pPr>
      <w:r w:rsidRPr="00952000">
        <w:rPr>
          <w:rFonts w:eastAsia="Times New Roman"/>
          <w:i/>
          <w:szCs w:val="24"/>
          <w:lang w:eastAsia="ru-RU"/>
        </w:rPr>
        <w:t>Нетуннелируемые катетеры</w:t>
      </w:r>
    </w:p>
    <w:p w14:paraId="7EDB76A5" w14:textId="216FD904" w:rsidR="0034590E" w:rsidRPr="00DE117D" w:rsidRDefault="0034590E" w:rsidP="0034590E">
      <w:pPr>
        <w:ind w:firstLine="700"/>
        <w:rPr>
          <w:rFonts w:eastAsia="Times New Roman"/>
          <w:strike/>
          <w:szCs w:val="24"/>
        </w:rPr>
      </w:pPr>
      <w:r w:rsidRPr="00952000">
        <w:rPr>
          <w:rFonts w:eastAsia="Times New Roman"/>
          <w:szCs w:val="24"/>
          <w:lang w:eastAsia="ru-RU"/>
        </w:rPr>
        <w:t xml:space="preserve">Это полиуретановые устройства длиной от 20 до 30 см и с внешним диаметром до 8 Fr, а в случае с катетером для проведения гемодиализа 12 </w:t>
      </w:r>
      <w:r w:rsidRPr="00952000">
        <w:rPr>
          <w:rFonts w:eastAsia="Times New Roman"/>
          <w:szCs w:val="24"/>
          <w:lang w:val="en-US" w:eastAsia="ru-RU"/>
        </w:rPr>
        <w:t>Fr</w:t>
      </w:r>
      <w:r w:rsidRPr="00952000">
        <w:rPr>
          <w:rFonts w:eastAsia="Times New Roman"/>
          <w:szCs w:val="24"/>
          <w:lang w:eastAsia="ru-RU"/>
        </w:rPr>
        <w:t>, которые имплантируются путем чрескожной пункции вены (внутренней ярёмной, подключичной, подмышечной или бедренной вены), с позиционированием дистального конца катетера у кава-атриального соединения. Использование в амбулаторных условиях не рекомендуется, так как риск инфицирования или случайного повреждения/удаления у них выше</w:t>
      </w:r>
      <w:r>
        <w:rPr>
          <w:rFonts w:eastAsia="Times New Roman"/>
          <w:szCs w:val="24"/>
          <w:lang w:eastAsia="ru-RU"/>
        </w:rPr>
        <w:t>,</w:t>
      </w:r>
      <w:r w:rsidRPr="00952000">
        <w:rPr>
          <w:rFonts w:eastAsia="Times New Roman"/>
          <w:szCs w:val="24"/>
          <w:lang w:eastAsia="ru-RU"/>
        </w:rPr>
        <w:t xml:space="preserve"> по сравнению с </w:t>
      </w:r>
      <w:r w:rsidRPr="00952000">
        <w:rPr>
          <w:rFonts w:eastAsia="Times New Roman"/>
          <w:szCs w:val="24"/>
          <w:lang w:eastAsia="ru-RU"/>
        </w:rPr>
        <w:lastRenderedPageBreak/>
        <w:t xml:space="preserve">другими типами катетеров, вследствие того, что они не туннелированы и удерживаются на месте фиксирующим швом или при помощи устройства бесшовной фиксации на коже у места пункции </w:t>
      </w:r>
      <w:r w:rsidRPr="00952000">
        <w:rPr>
          <w:rFonts w:eastAsia="Times New Roman"/>
          <w:szCs w:val="24"/>
          <w:lang w:eastAsia="ru-RU"/>
        </w:rPr>
        <w:fldChar w:fldCharType="begin" w:fldLock="1"/>
      </w:r>
      <w:r w:rsidR="00F44253">
        <w:rPr>
          <w:rFonts w:eastAsia="Times New Roman"/>
          <w:szCs w:val="24"/>
          <w:lang w:eastAsia="ru-RU"/>
        </w:rPr>
        <w:instrText>ADDIN CSL_CITATION {"citationItems":[{"id":"ITEM-1","itemData":{"DOI":"10.1590/1677-5449.008216","author":[{"dropping-particle":"","family":"Zerati","given":"A.E.","non-dropping-particle":"","parse-names":false,"suffix":""},{"dropping-particle":"","family":"Wolosker","given":"N","non-dropping-particle":"","parse-names":false,"suffix":""},{"dropping-particle":"","family":"Luccia","given":"N","non-dropping-particle":"de","parse-names":false,"suffix":""},{"dropping-particle":"","family":"Puech-Leão","given":"P.","non-dropping-particle":"","parse-names":false,"suffix":""}],"container-title":"J Vasc Bras.","id":"ITEM-1","issue":"2","issued":{"date-parts":[["2017"]]},"page":"128-139","title":"Totally implantable venous catheters : history , implantation technique and complications.","type":"article-journal","volume":"16"},"uris":["http://www.mendeley.com/documents/?uuid=d029e3cf-7ed7-47d9-8f50-87f7004ddbed","http://www.mendeley.com/documents/?uuid=5353e640-d658-416d-8033-f443a1c37557"]}],"mendeley":{"formattedCitation":"[88]","plainTextFormattedCitation":"[88]","previouslyFormattedCitation":"[88]"},"properties":{"noteIndex":0},"schema":"https://github.com/citation-style-language/schema/raw/master/csl-citation.json"}</w:instrText>
      </w:r>
      <w:r w:rsidRPr="00952000">
        <w:rPr>
          <w:rFonts w:eastAsia="Times New Roman"/>
          <w:szCs w:val="24"/>
          <w:lang w:eastAsia="ru-RU"/>
        </w:rPr>
        <w:fldChar w:fldCharType="separate"/>
      </w:r>
      <w:r w:rsidR="004D13EB" w:rsidRPr="004D13EB">
        <w:rPr>
          <w:rFonts w:eastAsia="Times New Roman"/>
          <w:noProof/>
          <w:szCs w:val="24"/>
          <w:lang w:eastAsia="ru-RU"/>
        </w:rPr>
        <w:t>[88]</w:t>
      </w:r>
      <w:r w:rsidRPr="00952000">
        <w:rPr>
          <w:rFonts w:eastAsia="Times New Roman"/>
          <w:szCs w:val="24"/>
          <w:lang w:eastAsia="ru-RU"/>
        </w:rPr>
        <w:fldChar w:fldCharType="end"/>
      </w:r>
      <w:r>
        <w:rPr>
          <w:rFonts w:eastAsia="Times New Roman"/>
          <w:szCs w:val="24"/>
          <w:lang w:eastAsia="ru-RU"/>
        </w:rPr>
        <w:t>. Существую</w:t>
      </w:r>
      <w:r w:rsidRPr="00952000">
        <w:rPr>
          <w:rFonts w:eastAsia="Times New Roman"/>
          <w:szCs w:val="24"/>
          <w:lang w:eastAsia="ru-RU"/>
        </w:rPr>
        <w:t>т версии катетеров с антимикробными или антисептическими покрытиями. Применение катетеров с покрытием требует дальнейшего изучения, так как не раскрыты вопросы антибиотикорезистентности</w:t>
      </w:r>
      <w:r>
        <w:rPr>
          <w:rFonts w:eastAsia="Times New Roman"/>
          <w:szCs w:val="24"/>
          <w:lang w:eastAsia="ru-RU"/>
        </w:rPr>
        <w:t xml:space="preserve">. </w:t>
      </w:r>
    </w:p>
    <w:p w14:paraId="4463911A" w14:textId="77777777" w:rsidR="0034590E" w:rsidRPr="00952000" w:rsidRDefault="0034590E" w:rsidP="0034590E">
      <w:pPr>
        <w:ind w:firstLine="708"/>
        <w:rPr>
          <w:rFonts w:eastAsia="Times New Roman"/>
          <w:i/>
          <w:szCs w:val="24"/>
          <w:lang w:eastAsia="ru-RU"/>
        </w:rPr>
      </w:pPr>
      <w:r w:rsidRPr="00952000">
        <w:rPr>
          <w:rFonts w:eastAsia="Times New Roman"/>
          <w:i/>
          <w:szCs w:val="24"/>
          <w:lang w:eastAsia="ru-RU"/>
        </w:rPr>
        <w:t xml:space="preserve">Туннелируемые катетеры </w:t>
      </w:r>
    </w:p>
    <w:p w14:paraId="3AC26158" w14:textId="302CCB98" w:rsidR="0034590E" w:rsidRPr="00952000" w:rsidRDefault="0034590E" w:rsidP="0034590E">
      <w:pPr>
        <w:ind w:firstLine="708"/>
        <w:rPr>
          <w:rFonts w:eastAsia="Times New Roman"/>
          <w:strike/>
          <w:szCs w:val="24"/>
          <w:lang w:eastAsia="ru-RU"/>
        </w:rPr>
      </w:pPr>
      <w:r w:rsidRPr="00952000">
        <w:rPr>
          <w:rFonts w:eastAsia="Times New Roman"/>
          <w:szCs w:val="24"/>
          <w:lang w:eastAsia="ru-RU"/>
        </w:rPr>
        <w:t xml:space="preserve">Туннелируемые катетеры – это имплантируемые катетеры, у которых при помощи подкожного туннеля разнесены места пункции вены и выхода на кожу. Внутри туннеля катетер имеет манжету, которая, врастая в окружающие ткани, фиксирует катетер в туннеле и препятствует распространению инфекции </w:t>
      </w:r>
      <w:r w:rsidRPr="00952000">
        <w:rPr>
          <w:rFonts w:eastAsia="Times New Roman"/>
          <w:szCs w:val="24"/>
          <w:lang w:eastAsia="ru-RU"/>
        </w:rPr>
        <w:fldChar w:fldCharType="begin" w:fldLock="1"/>
      </w:r>
      <w:r w:rsidR="00F44253">
        <w:rPr>
          <w:rFonts w:eastAsia="Times New Roman"/>
          <w:szCs w:val="24"/>
          <w:lang w:eastAsia="ru-RU"/>
        </w:rPr>
        <w:instrText>ADDIN CSL_CITATION {"citationItems":[{"id":"ITEM-1","itemData":{"DOI":"10.1016/j.amjsurg.2017.03.021","ISSN":"18791883","PMID":"28364951","abstract":"Background Tunneled central venous catheters (CVC) were developed five decades ago. Since then, several clinician-inventors have created a variety of catheters with different functions. Indeed, many catheters have been named after their inventor. Many have wondered who the inventors were of each catheter, and what specifically inspired their inventions. Many of these compelling stories have yet to be told. Data source A literature review of common catheters and personal communication with inventors. Only first person accounts from inventors or those close to the invention were used. Conclusions CVCs are now essential devices that have saved countless lives. Though the inventors have earned the honor of naming their catheters, it may be reasonable to consider more consistent terminology to describe these catheters to avoid confusion.","author":[{"dropping-particle":"","family":"Gow","given":"Kenneth W.","non-dropping-particle":"","parse-names":false,"suffix":""},{"dropping-particle":"","family":"Tapper","given":"David","non-dropping-particle":"","parse-names":false,"suffix":""},{"dropping-particle":"","family":"Hickman","given":"Robert O.","non-dropping-particle":"","parse-names":false,"suffix":""}],"container-title":"American Journal of Surgery","id":"ITEM-1","issue":"5","issued":{"date-parts":[["2017"]]},"page":"837-848","publisher":"Elsevier Ltd","title":"Between the lines: The 50th anniversary of long-term central venous catheters","type":"article-journal","volume":"213"},"uris":["http://www.mendeley.com/documents/?uuid=161c3217-d679-4fd1-9554-18030d03e6fc","http://www.mendeley.com/documents/?uuid=fd0b87b9-b50a-4553-a221-0efbeb55e54e"]}],"mendeley":{"formattedCitation":"[89]","plainTextFormattedCitation":"[89]","previouslyFormattedCitation":"[89]"},"properties":{"noteIndex":0},"schema":"https://github.com/citation-style-language/schema/raw/master/csl-citation.json"}</w:instrText>
      </w:r>
      <w:r w:rsidRPr="00952000">
        <w:rPr>
          <w:rFonts w:eastAsia="Times New Roman"/>
          <w:szCs w:val="24"/>
          <w:lang w:eastAsia="ru-RU"/>
        </w:rPr>
        <w:fldChar w:fldCharType="separate"/>
      </w:r>
      <w:r w:rsidR="004D13EB" w:rsidRPr="004D13EB">
        <w:rPr>
          <w:rFonts w:eastAsia="Times New Roman"/>
          <w:noProof/>
          <w:szCs w:val="24"/>
          <w:lang w:eastAsia="ru-RU"/>
        </w:rPr>
        <w:t>[89]</w:t>
      </w:r>
      <w:r w:rsidRPr="00952000">
        <w:rPr>
          <w:rFonts w:eastAsia="Times New Roman"/>
          <w:szCs w:val="24"/>
          <w:lang w:eastAsia="ru-RU"/>
        </w:rPr>
        <w:fldChar w:fldCharType="end"/>
      </w:r>
      <w:r w:rsidRPr="00952000">
        <w:rPr>
          <w:rFonts w:eastAsia="Times New Roman"/>
          <w:szCs w:val="24"/>
          <w:lang w:eastAsia="ru-RU"/>
        </w:rPr>
        <w:t xml:space="preserve">. </w:t>
      </w:r>
    </w:p>
    <w:p w14:paraId="4E1D5113" w14:textId="7E801DF3" w:rsidR="0034590E" w:rsidRPr="00952000" w:rsidRDefault="0034590E" w:rsidP="0034590E">
      <w:pPr>
        <w:ind w:firstLine="708"/>
        <w:rPr>
          <w:rFonts w:eastAsia="Times New Roman"/>
          <w:szCs w:val="24"/>
          <w:lang w:eastAsia="ru-RU"/>
        </w:rPr>
      </w:pPr>
      <w:r w:rsidRPr="00952000">
        <w:rPr>
          <w:rFonts w:eastAsia="Times New Roman"/>
          <w:szCs w:val="24"/>
          <w:lang w:eastAsia="ru-RU"/>
        </w:rPr>
        <w:t>Туннелируемый тип катетера предпочтительнее нетуннелируемого</w:t>
      </w:r>
      <w:r>
        <w:rPr>
          <w:rFonts w:eastAsia="Times New Roman"/>
          <w:szCs w:val="24"/>
          <w:lang w:eastAsia="ru-RU"/>
        </w:rPr>
        <w:t>, особенно</w:t>
      </w:r>
      <w:r w:rsidRPr="00952000">
        <w:rPr>
          <w:rFonts w:eastAsia="Times New Roman"/>
          <w:szCs w:val="24"/>
          <w:lang w:eastAsia="ru-RU"/>
        </w:rPr>
        <w:t xml:space="preserve"> при необходимости проведения массивной инфузионной терапии </w:t>
      </w:r>
      <w:r>
        <w:rPr>
          <w:rFonts w:eastAsia="Times New Roman"/>
          <w:szCs w:val="24"/>
          <w:lang w:eastAsia="ru-RU"/>
        </w:rPr>
        <w:t>в течение более 3 недель</w:t>
      </w:r>
      <w:r w:rsidRPr="00952000">
        <w:rPr>
          <w:rFonts w:eastAsia="Times New Roman"/>
          <w:szCs w:val="24"/>
          <w:lang w:eastAsia="ru-RU"/>
        </w:rPr>
        <w:t xml:space="preserve">, особенно у онкогематологических пациентов </w:t>
      </w:r>
      <w:r w:rsidRPr="00952000">
        <w:rPr>
          <w:rFonts w:eastAsia="Times New Roman"/>
          <w:szCs w:val="24"/>
          <w:lang w:eastAsia="ru-RU"/>
        </w:rPr>
        <w:fldChar w:fldCharType="begin" w:fldLock="1"/>
      </w:r>
      <w:r w:rsidR="00F44253">
        <w:rPr>
          <w:rFonts w:eastAsia="Times New Roman"/>
          <w:szCs w:val="24"/>
          <w:lang w:eastAsia="ru-RU"/>
        </w:rPr>
        <w:instrText>ADDIN CSL_CITATION {"citationItems":[{"id":"ITEM-1","itemData":{"DOI":"10.4274/tjh.2013.0278","ISSN":"1300-7777","PMID":"25805675","abstract":"OBJECTIVE Haematopoietic stem cell recipients need central venous catheters (CVCs) for easy administration of intravenous fluid, medications, apheresis, or dialysis procedures. However, CVCs may lead to infectious or non-infectious complications such as thrombosis. The effect of these complications on transplantation outcome is not clear. This manuscript presents the complication rates of double-lumen tunnelled CVCs and their effect on transplantation outcome. MATERIALS AND METHODS Data from 111 consecutive patients, of whom 75 received autologous and 36 received allogeneic peripheral blood stem cell transplantations, were collected retrospectively. The data were validated by the Record Inspection Group of the related JACIE-accredited transplantation centre. RESULTS Thrombosis developed in 2.7% of recipients (0.9 per 1000 catheter days). Catheter-related infection was identified in 14 (12.6%) patients (3.6 per 1000 catheter days). Coagulase-negative Staphylococcus was the most common causative agent. Engraftment time, rate of 100-day mortality, and development of grade II-IV graft-versus-host disease were not found to be associated with catheter-related complications. CONCLUSION These results indicate that adverse events related with tunnelled CVCs are manageable and have no negative effects on transplant outcome. Amaç: Hematopoetik kök hücre nakli alıcıları damar içi mayi, ilaç, aferez ve diyaliz işlemleri için santral venöz kateterlere (SVK) ihtiyaç duyarlar. Ancak SVK’ların enfeksiyöz ve tromboz gibi enfeksiyöz olmayan komplikasyonları vardır. Bu komplikasyonların nakil sürecine etkisi net değildir. Bu çalışma ile çift lümen tünelli santral kateter komplikasyonlarının sıklığı ve nakil sürecine etkisi araştırılmıştır. Gereç ve Yöntemler: Geriye dönük olarak 75 otolog ve 39 allojeneik periferik kök hücre nakli uygulanan toplam 111 hastanın verileri toparlandı. Verilerin doğruluğu JACIE akredite merkezimizin kayıt denetleme grubu tarafından kontrol edildi. Bulgular: Olguların %2,7’sinde tromboz gelişti (1000 kateter gününde 0,9). Hastaların 14’ünde (%12,6) kateter ilişkili enfeksiyon tesbit edildi (1000 kateter gününde 3,6). Koagulaz negatif Stafilokoklar en sık etken idi. Kateter ilişkili komplikasyonlar ile engrafman zamanı, evre II-IV graft versus host hastalığı ve 100 günlük mortalite arasında bir ilişki saptanmadı. Sonuç: Sonuçlarımız nakil hastalarında tünelli SVK komplikasyonlarının yönetilebilir olduğunu ve bu komplikasyonların nakil üzerine olu…","author":[{"dropping-particle":"","family":"Yeral","given":"Mahmut","non-dropping-particle":"","parse-names":false,"suffix":""},{"dropping-particle":"","family":"Boğa","given":"Can","non-dropping-particle":"","parse-names":false,"suffix":""},{"dropping-particle":"","family":"Oğuzkurt","given":"Levent","non-dropping-particle":"","parse-names":false,"suffix":""},{"dropping-particle":"","family":"Alışkan","given":"Hikmet Eda","non-dropping-particle":"","parse-names":false,"suffix":""},{"dropping-particle":"","family":"Özdoğu","given":"Hakan","non-dropping-particle":"","parse-names":false,"suffix":""},{"dropping-particle":"","family":"Demiroğlu","given":"Yusuf Ziya","non-dropping-particle":"","parse-names":false,"suffix":""}],"container-title":"Turkish journal of haematology : official journal of Turkish Society of Haematology","id":"ITEM-1","issue":"1","issued":{"date-parts":[["2015","3"]]},"page":"51-7","publisher":"Galenos Yayinevi","title":"Tunnelled central venous catheter-related problems in the early phase of haematopoietic stem cell transplantation and effects on transplant outcome.","type":"article-journal","volume":"32"},"uris":["http://www.mendeley.com/documents/?uuid=2bc92935-3e96-3617-9553-d5dd4c0694cf","http://www.mendeley.com/documents/?uuid=af150765-c543-48ae-8459-7ae0c47be16e"]}],"mendeley":{"formattedCitation":"[90]","plainTextFormattedCitation":"[90]","previouslyFormattedCitation":"[90]"},"properties":{"noteIndex":0},"schema":"https://github.com/citation-style-language/schema/raw/master/csl-citation.json"}</w:instrText>
      </w:r>
      <w:r w:rsidRPr="00952000">
        <w:rPr>
          <w:rFonts w:eastAsia="Times New Roman"/>
          <w:szCs w:val="24"/>
          <w:lang w:eastAsia="ru-RU"/>
        </w:rPr>
        <w:fldChar w:fldCharType="separate"/>
      </w:r>
      <w:r w:rsidR="004D13EB" w:rsidRPr="004D13EB">
        <w:rPr>
          <w:rFonts w:eastAsia="Times New Roman"/>
          <w:noProof/>
          <w:szCs w:val="24"/>
          <w:lang w:eastAsia="ru-RU"/>
        </w:rPr>
        <w:t>[90]</w:t>
      </w:r>
      <w:r w:rsidRPr="00952000">
        <w:rPr>
          <w:rFonts w:eastAsia="Times New Roman"/>
          <w:szCs w:val="24"/>
          <w:lang w:eastAsia="ru-RU"/>
        </w:rPr>
        <w:fldChar w:fldCharType="end"/>
      </w:r>
      <w:r w:rsidRPr="00952000">
        <w:rPr>
          <w:rFonts w:eastAsia="Times New Roman"/>
          <w:szCs w:val="24"/>
          <w:lang w:eastAsia="ru-RU"/>
        </w:rPr>
        <w:t xml:space="preserve">. </w:t>
      </w:r>
    </w:p>
    <w:p w14:paraId="55BC1327" w14:textId="77777777" w:rsidR="0034590E" w:rsidRPr="00952000" w:rsidRDefault="0034590E" w:rsidP="0034590E">
      <w:pPr>
        <w:ind w:firstLine="708"/>
        <w:rPr>
          <w:rFonts w:eastAsia="Times New Roman"/>
          <w:i/>
          <w:szCs w:val="24"/>
          <w:lang w:eastAsia="ru-RU"/>
        </w:rPr>
      </w:pPr>
      <w:r w:rsidRPr="00952000">
        <w:rPr>
          <w:rFonts w:eastAsia="Times New Roman"/>
          <w:i/>
          <w:szCs w:val="24"/>
          <w:lang w:eastAsia="ru-RU"/>
        </w:rPr>
        <w:t xml:space="preserve">Порт-системы </w:t>
      </w:r>
    </w:p>
    <w:p w14:paraId="2B37A36C" w14:textId="0E47972F" w:rsidR="0034590E" w:rsidRPr="00952000" w:rsidRDefault="0034590E" w:rsidP="0034590E">
      <w:pPr>
        <w:ind w:firstLine="708"/>
        <w:rPr>
          <w:rFonts w:eastAsia="Times New Roman"/>
          <w:szCs w:val="24"/>
          <w:lang w:eastAsia="ru-RU"/>
        </w:rPr>
      </w:pPr>
      <w:r w:rsidRPr="00952000">
        <w:rPr>
          <w:rFonts w:eastAsia="Times New Roman"/>
          <w:szCs w:val="24"/>
          <w:lang w:eastAsia="ru-RU"/>
        </w:rPr>
        <w:t>Полностью имплантируемые венозные устройства доступа используются для обеспечения долгосрочного центрального венозного доступа при проведении химиотерапии, парентерального питания, обеспечения возможности профилактического введения фактора свёртывания при наследственных коагулопатиях, например, гемофилии. Порт-системы</w:t>
      </w:r>
      <w:r w:rsidRPr="00952000">
        <w:rPr>
          <w:rFonts w:eastAsia="Times New Roman"/>
          <w:strike/>
          <w:szCs w:val="24"/>
          <w:lang w:eastAsia="ru-RU"/>
        </w:rPr>
        <w:t xml:space="preserve"> </w:t>
      </w:r>
      <w:r w:rsidRPr="00952000">
        <w:rPr>
          <w:rFonts w:eastAsia="Times New Roman"/>
          <w:szCs w:val="24"/>
          <w:lang w:eastAsia="ru-RU"/>
        </w:rPr>
        <w:t xml:space="preserve">полностью скрыты от внешней среды под кожей, их наличие никак не влияет на физическую активность пациентов и считается, что порт-система – это наименее подверженный инфицированию тип ЦВК </w:t>
      </w:r>
      <w:r w:rsidRPr="00952000">
        <w:rPr>
          <w:rFonts w:eastAsia="Times New Roman"/>
          <w:szCs w:val="24"/>
          <w:lang w:eastAsia="ru-RU"/>
        </w:rPr>
        <w:fldChar w:fldCharType="begin" w:fldLock="1"/>
      </w:r>
      <w:r w:rsidR="00F44253">
        <w:rPr>
          <w:rFonts w:eastAsia="Times New Roman"/>
          <w:szCs w:val="24"/>
          <w:lang w:eastAsia="ru-RU"/>
        </w:rPr>
        <w:instrText>ADDIN CSL_CITATION {"citationItems":[{"id":"ITEM-1","itemData":{"DOI":"10.4065/81.9.1159","ISSN":"00256196","abstract":"&lt;h3&gt;OBJECTIVE&lt;/h3&gt;&lt;p&gt;To better understand the absolute and relative risks of bloodstream infection (BSI) associated with the various types of intravascular devices (IVDs), we analyzed 200 published studies of adults in which every device in the study population was prospectively evaluated for evidence of associated infection and microbiologically based criteria were used to define IVD-related BSI.&lt;/p&gt;&lt;h3&gt;METHODS&lt;/h3&gt;&lt;p&gt;English-language reports of prospective studies of adults published between January 1, 1966, and July 1, 2005, were identified by MEDLINE search using the following general search strategy: bacteremia [Medical Subject Heading, MeSH] OR septicemia [MeSH] OR bloodstream infection AND the specific type of intravascular device (eg, central venous port). Mean rates of IVD-related BSI were calculated from pooled data for each type of device and expressed as BSIs per 100 IVDs (%) and per 1000 IVD days.&lt;/p&gt;&lt;h3&gt;RESULTS&lt;/h3&gt;&lt;p&gt;Point incidence rates of IVD-related BSI were lowest with peripheral intravenous catheters (0.1%, 0.5 per 1000 IVD-days) and midline catheters (0.4%, 0.2 per 1000 catheter-days). Far higher rates were seen with short-term noncuffed and nonmedicated central venous catheters (CVCs) (4.4%, 2.7 per 1000 catheter-days). Arterial catheters used for hemodynamic monitoring (0.8%, 1.7 per 1000 catheter-days) and peripherally inserted central catheters used in hospitalized patients (2.4%, 2.1 per 1000 catheter-days) posed risks approaching those seen with short-term conventional CVCs used in the intensive care unit. Surgically implanted long-term central venous devices—cuffed and tunneled catheters (22.5%, 1.6 per 1000 IVD-days) and central venous ports (3.6%, 0.1 per 1000 IVD-days)—appear to have high rates of infection when risk is expressed as BSIs per 100 IVDs but actually pose much lower risk when rates are expressed per 1000 IVD-days. The use of cuffed and tunneled dual lumen CVCs rather than noncuffed, nontunneled catheters for temporary hemodialysis and novel preventive technologies, such as CVCs with anti-infective surfaces, was associated with considerably lower rates of catheter-related BSI.&lt;/p&gt;&lt;h3&gt;CONCLUSIONS&lt;/h3&gt;&lt;p&gt;Expressing risk of IVD-related BSI per 1000 IVD-days rather than BSIs per 100 IVDs allows for more meaningful estimates of risk. These data, based on prospective studies in which every IVD in the study cohort was analyzed for evidence of infection by microbiologically based criteria, show that &lt;i&gt;all&lt;/i&gt; types o…","author":[{"dropping-particle":"","family":"Maki","given":"Dennis G.","non-dropping-particle":"","parse-names":false,"suffix":""},{"dropping-particle":"","family":"Kluger","given":"Daniel M.","non-dropping-particle":"","parse-names":false,"suffix":""},{"dropping-particle":"","family":"Crnich","given":"Christopher J.","non-dropping-particle":"","parse-names":false,"suffix":""}],"container-title":"Mayo Clinic Proceedings","id":"ITEM-1","issue":"9","issued":{"date-parts":[["2006","9"]]},"page":"1159-1171","publisher":"Elsevier","title":"The Risk of Bloodstream Infection in Adults With Different Intravascular Devices: A Systematic Review of 200 Published Prospective Studies","type":"article-journal","volume":"81"},"uris":["http://www.mendeley.com/documents/?uuid=f5c4baf8-7e14-301a-815e-3dfe468d40e4","http://www.mendeley.com/documents/?uuid=3cd9be52-e3e0-46b8-abdf-c9f0acf4135d"]}],"mendeley":{"formattedCitation":"[91]","plainTextFormattedCitation":"[91]","previouslyFormattedCitation":"[91]"},"properties":{"noteIndex":0},"schema":"https://github.com/citation-style-language/schema/raw/master/csl-citation.json"}</w:instrText>
      </w:r>
      <w:r w:rsidRPr="00952000">
        <w:rPr>
          <w:rFonts w:eastAsia="Times New Roman"/>
          <w:szCs w:val="24"/>
          <w:lang w:eastAsia="ru-RU"/>
        </w:rPr>
        <w:fldChar w:fldCharType="separate"/>
      </w:r>
      <w:r w:rsidR="004D13EB" w:rsidRPr="004D13EB">
        <w:rPr>
          <w:rFonts w:eastAsia="Times New Roman"/>
          <w:noProof/>
          <w:szCs w:val="24"/>
          <w:lang w:eastAsia="ru-RU"/>
        </w:rPr>
        <w:t>[91]</w:t>
      </w:r>
      <w:r w:rsidRPr="00952000">
        <w:rPr>
          <w:rFonts w:eastAsia="Times New Roman"/>
          <w:szCs w:val="24"/>
          <w:lang w:eastAsia="ru-RU"/>
        </w:rPr>
        <w:fldChar w:fldCharType="end"/>
      </w:r>
      <w:r w:rsidRPr="00952000">
        <w:rPr>
          <w:rFonts w:eastAsia="Times New Roman"/>
          <w:szCs w:val="24"/>
          <w:lang w:eastAsia="ru-RU"/>
        </w:rPr>
        <w:t xml:space="preserve">. </w:t>
      </w:r>
    </w:p>
    <w:p w14:paraId="1085416D" w14:textId="77777777" w:rsidR="0034590E" w:rsidRPr="00952000" w:rsidRDefault="0034590E" w:rsidP="0034590E">
      <w:pPr>
        <w:ind w:firstLine="708"/>
        <w:rPr>
          <w:rFonts w:eastAsia="Times New Roman"/>
          <w:szCs w:val="24"/>
          <w:lang w:eastAsia="ru-RU"/>
        </w:rPr>
      </w:pPr>
      <w:r w:rsidRPr="00952000">
        <w:rPr>
          <w:rFonts w:eastAsia="Times New Roman"/>
          <w:szCs w:val="24"/>
          <w:lang w:eastAsia="ru-RU"/>
        </w:rPr>
        <w:t xml:space="preserve">В настоящее время существует множество модификаций порт-систем, в т.ч. МРТ совместимые модификации и изделия, обладающие высокой пропускной способностью, позволяющие проводить введение контрастных веществ с использованием автоматических устройств. </w:t>
      </w:r>
    </w:p>
    <w:p w14:paraId="632BA83F" w14:textId="77777777" w:rsidR="0034590E" w:rsidRPr="00952000" w:rsidRDefault="0034590E" w:rsidP="0034590E">
      <w:pPr>
        <w:ind w:firstLine="708"/>
        <w:rPr>
          <w:rFonts w:eastAsia="Times New Roman"/>
          <w:i/>
          <w:szCs w:val="24"/>
          <w:lang w:eastAsia="ru-RU"/>
        </w:rPr>
      </w:pPr>
      <w:r w:rsidRPr="00952000">
        <w:rPr>
          <w:rFonts w:eastAsia="Times New Roman"/>
          <w:i/>
          <w:szCs w:val="24"/>
          <w:lang w:eastAsia="ru-RU"/>
        </w:rPr>
        <w:t>Периферически имплантируемые центральные венозные катетеры.</w:t>
      </w:r>
    </w:p>
    <w:p w14:paraId="1CE254D4" w14:textId="2E620526" w:rsidR="0034590E" w:rsidRPr="00952000" w:rsidRDefault="0034590E" w:rsidP="0034590E">
      <w:pPr>
        <w:ind w:firstLine="708"/>
        <w:rPr>
          <w:rFonts w:eastAsia="Times New Roman"/>
          <w:szCs w:val="24"/>
          <w:lang w:eastAsia="ru-RU"/>
        </w:rPr>
      </w:pPr>
      <w:r w:rsidRPr="00952000">
        <w:rPr>
          <w:rFonts w:eastAsia="Times New Roman"/>
          <w:szCs w:val="24"/>
          <w:lang w:eastAsia="ru-RU"/>
        </w:rPr>
        <w:t>Периферически имплантируемые центральные венозные катетеры (ПИЦВК) – это катетеры для долговременного центрального венозного доступа, которые устанавливают через одну из периферических вен руки в центральную вену. ПИЦВК изготавливаются из силикона или полиуретана, они могут быть одно-, двух- и трехпросветными, их диаметр различный, от 3 Fr до 7 Fr. ПИЦВК используют для проведения терапии</w:t>
      </w:r>
      <w:r>
        <w:rPr>
          <w:rFonts w:eastAsia="Times New Roman"/>
          <w:szCs w:val="24"/>
          <w:lang w:eastAsia="ru-RU"/>
        </w:rPr>
        <w:t xml:space="preserve"> </w:t>
      </w:r>
      <w:r w:rsidRPr="00952000">
        <w:rPr>
          <w:rFonts w:eastAsia="Times New Roman"/>
          <w:szCs w:val="24"/>
          <w:lang w:eastAsia="ru-RU"/>
        </w:rPr>
        <w:t xml:space="preserve">(химиотерапия, гемостатическая терапия и т.д.), в среднем, от 6 мес. до 1 года и рассматривают как вариант центрального венозного доступа, который может использоваться как в стационарных, так и в амбулаторных условиях, как ежедневно, так и периодически, обеспечивая пациенту </w:t>
      </w:r>
      <w:r w:rsidRPr="00952000">
        <w:rPr>
          <w:rFonts w:eastAsia="Times New Roman"/>
          <w:szCs w:val="24"/>
          <w:lang w:eastAsia="ru-RU"/>
        </w:rPr>
        <w:lastRenderedPageBreak/>
        <w:t xml:space="preserve">безопасность и комфорт </w:t>
      </w:r>
      <w:r w:rsidRPr="00952000">
        <w:rPr>
          <w:rFonts w:eastAsia="Times New Roman"/>
          <w:szCs w:val="24"/>
          <w:lang w:eastAsia="ru-RU"/>
        </w:rPr>
        <w:fldChar w:fldCharType="begin" w:fldLock="1"/>
      </w:r>
      <w:r w:rsidR="00F44253">
        <w:rPr>
          <w:rFonts w:eastAsia="Times New Roman"/>
          <w:szCs w:val="24"/>
          <w:lang w:eastAsia="ru-RU"/>
        </w:rPr>
        <w:instrText>ADDIN CSL_CITATION {"citationItems":[{"id":"ITEM-1","itemData":{"DOI":"10.1002/9780470750186","ISBN":"9780470750186","author":[{"dropping-particle":"","family":"Hamilton","given":"Helen","non-dropping-particle":"","parse-names":false,"suffix":""}],"editor":[{"dropping-particle":"","family":"Bodenham","given":"Andrew R.","non-dropping-particle":"","parse-names":false,"suffix":""}],"id":"ITEM-1","issued":{"date-parts":[["2009","2"]]},"publisher":"Wiley-Blackwell","publisher-place":"Oxford, UK","title":"Central Venous Catheters","type":"book"},"uris":["http://www.mendeley.com/documents/?uuid=e2be4192-4b13-32c7-ac3a-c1ee92dec830","http://www.mendeley.com/documents/?uuid=e9419574-fa82-44c8-8d1a-190e223d334b"]}],"mendeley":{"formattedCitation":"[92]","plainTextFormattedCitation":"[92]","previouslyFormattedCitation":"[92]"},"properties":{"noteIndex":0},"schema":"https://github.com/citation-style-language/schema/raw/master/csl-citation.json"}</w:instrText>
      </w:r>
      <w:r w:rsidRPr="00952000">
        <w:rPr>
          <w:rFonts w:eastAsia="Times New Roman"/>
          <w:szCs w:val="24"/>
          <w:lang w:eastAsia="ru-RU"/>
        </w:rPr>
        <w:fldChar w:fldCharType="separate"/>
      </w:r>
      <w:r w:rsidR="004D13EB" w:rsidRPr="004D13EB">
        <w:rPr>
          <w:rFonts w:eastAsia="Times New Roman"/>
          <w:noProof/>
          <w:szCs w:val="24"/>
          <w:lang w:eastAsia="ru-RU"/>
        </w:rPr>
        <w:t>[92]</w:t>
      </w:r>
      <w:r w:rsidRPr="00952000">
        <w:rPr>
          <w:rFonts w:eastAsia="Times New Roman"/>
          <w:szCs w:val="24"/>
          <w:lang w:eastAsia="ru-RU"/>
        </w:rPr>
        <w:fldChar w:fldCharType="end"/>
      </w:r>
      <w:r w:rsidRPr="00952000">
        <w:rPr>
          <w:rFonts w:eastAsia="Times New Roman"/>
          <w:szCs w:val="24"/>
          <w:lang w:eastAsia="ru-RU"/>
        </w:rPr>
        <w:fldChar w:fldCharType="begin" w:fldLock="1"/>
      </w:r>
      <w:r w:rsidR="00F44253">
        <w:rPr>
          <w:rFonts w:eastAsia="Times New Roman"/>
          <w:szCs w:val="24"/>
          <w:lang w:val="en-US" w:eastAsia="ru-RU"/>
        </w:rPr>
        <w:instrText>ADDIN CSL_CITATION {"citationItems":[{"id":"ITEM-1","itemData":{"DOI":"10.1007/978-88-470-5665-7_1","author":[{"dropping-particle":"","family":"Biffi","given":"Roberto","non-dropping-particle":"","parse-names":false,"suffix":""}],"container-title":"Peripherally Inserted Central Venous Catheters","id":"ITEM-1","issued":{"date-parts":[["2014"]]},"page":"1-6","publisher":"Springer Milan","publisher-place":"Milano","title":"Introduction and Overview of PICC History","type":"chapter"},"uris":["http://www.mendeley.com/documents/?uuid=7dba9d59-13c1-354f-9c32-ced4c0b75a01","http://www.mendeley.com/documents/?uuid=575e509f-3cbc-47da-b3dc-996cea404095"]}],"mendeley":{"formattedCitation":"[93]","plainTextFormattedCitation":"[93]","previouslyFormattedCitation":"[93]"},"properties":{"noteIndex":0},"schema":"https://github.com/citation-style-language/schema/raw/master/csl-citation.json"}</w:instrText>
      </w:r>
      <w:r w:rsidRPr="00952000">
        <w:rPr>
          <w:rFonts w:eastAsia="Times New Roman"/>
          <w:szCs w:val="24"/>
          <w:lang w:eastAsia="ru-RU"/>
        </w:rPr>
        <w:fldChar w:fldCharType="separate"/>
      </w:r>
      <w:r w:rsidR="004D13EB" w:rsidRPr="004D13EB">
        <w:rPr>
          <w:rFonts w:eastAsia="Times New Roman"/>
          <w:noProof/>
          <w:szCs w:val="24"/>
          <w:lang w:eastAsia="ru-RU"/>
        </w:rPr>
        <w:t>[93]</w:t>
      </w:r>
      <w:r w:rsidRPr="00952000">
        <w:rPr>
          <w:rFonts w:eastAsia="Times New Roman"/>
          <w:szCs w:val="24"/>
          <w:lang w:eastAsia="ru-RU"/>
        </w:rPr>
        <w:fldChar w:fldCharType="end"/>
      </w:r>
      <w:r w:rsidRPr="00952000">
        <w:rPr>
          <w:rFonts w:eastAsia="Times New Roman"/>
          <w:szCs w:val="24"/>
          <w:lang w:eastAsia="ru-RU"/>
        </w:rPr>
        <w:t>. ПИЦВК имеют ряд преимуществ перед обычными ЦВК. При их установке исключен риск пневмоторакса и гемоторакса, пациенты отмечают больший комфорт, иногда предпочитают по косметическим причинам. Важным преимуществом ПИЦВК является и меньшее количество инфекционных осложнений. ПИЦВК практически незаменимы при наличии выраженного геморрагического синдрома.</w:t>
      </w:r>
    </w:p>
    <w:p w14:paraId="31DCF79F" w14:textId="77777777" w:rsidR="0034590E" w:rsidRPr="00952000" w:rsidRDefault="0034590E" w:rsidP="0034590E">
      <w:pPr>
        <w:ind w:firstLine="708"/>
        <w:rPr>
          <w:rFonts w:eastAsia="Times New Roman"/>
          <w:i/>
          <w:szCs w:val="24"/>
          <w:lang w:eastAsia="ru-RU"/>
        </w:rPr>
      </w:pPr>
      <w:r w:rsidRPr="00952000">
        <w:rPr>
          <w:rFonts w:eastAsia="Times New Roman"/>
          <w:i/>
          <w:szCs w:val="24"/>
          <w:lang w:eastAsia="ru-RU"/>
        </w:rPr>
        <w:t>Диализные катетеры.</w:t>
      </w:r>
    </w:p>
    <w:p w14:paraId="051467DB" w14:textId="77777777" w:rsidR="0034590E" w:rsidRPr="00952000" w:rsidRDefault="0034590E" w:rsidP="0034590E">
      <w:pPr>
        <w:ind w:firstLine="700"/>
        <w:rPr>
          <w:szCs w:val="24"/>
        </w:rPr>
      </w:pPr>
      <w:r w:rsidRPr="00952000">
        <w:rPr>
          <w:rFonts w:eastAsia="Times New Roman"/>
          <w:szCs w:val="24"/>
          <w:lang w:eastAsia="ru-RU"/>
        </w:rPr>
        <w:t xml:space="preserve">Отдельное место занимают так называемые диализные катетеры, то есть катетеры, которые используются для проведения заместительной почечной терапии, а также процедур плазмафереза и лейкоцитафереза, сбора гемопоэтических стволовых клеток. Связано это с большим диаметром катетера, а также особенностями строения дистального конца катетера. </w:t>
      </w:r>
      <w:r w:rsidRPr="00952000">
        <w:rPr>
          <w:szCs w:val="24"/>
        </w:rPr>
        <w:t>Они устанавливаются на время формирования (“созревания”) фистулы или протеза у больных с хронической почечной недостаточностью, нуждающихся в программном гемодиализе или в качестве единственного сосудистого доступа при наличии тяжелой сердечной недостаточности.</w:t>
      </w:r>
    </w:p>
    <w:p w14:paraId="7AE0EEE8" w14:textId="77777777" w:rsidR="0034590E" w:rsidRPr="00781F82" w:rsidRDefault="0034590E" w:rsidP="0034590E">
      <w:pPr>
        <w:rPr>
          <w:i/>
          <w:iCs/>
          <w:szCs w:val="24"/>
          <w:u w:val="single"/>
        </w:rPr>
      </w:pPr>
      <w:r w:rsidRPr="00781F82">
        <w:rPr>
          <w:i/>
          <w:iCs/>
          <w:szCs w:val="24"/>
          <w:u w:val="single"/>
        </w:rPr>
        <w:t>Осложнения</w:t>
      </w:r>
      <w:r w:rsidRPr="00781F82">
        <w:rPr>
          <w:rFonts w:eastAsia="Times New Roman"/>
          <w:i/>
          <w:iCs/>
          <w:szCs w:val="24"/>
          <w:u w:val="single"/>
          <w:lang w:eastAsia="ru-RU"/>
        </w:rPr>
        <w:t xml:space="preserve"> катетеризации центральных вен</w:t>
      </w:r>
    </w:p>
    <w:p w14:paraId="223A3CE2" w14:textId="77777777" w:rsidR="0034590E" w:rsidRPr="00952000" w:rsidRDefault="0034590E" w:rsidP="0034590E">
      <w:pPr>
        <w:rPr>
          <w:rFonts w:eastAsia="Times New Roman"/>
          <w:szCs w:val="24"/>
          <w:lang w:eastAsia="ru-RU"/>
        </w:rPr>
      </w:pPr>
      <w:r w:rsidRPr="00952000">
        <w:rPr>
          <w:rFonts w:eastAsia="Times New Roman"/>
          <w:i/>
          <w:szCs w:val="24"/>
          <w:lang w:eastAsia="ru-RU"/>
        </w:rPr>
        <w:t>К ранним осложнениям</w:t>
      </w:r>
      <w:r w:rsidRPr="00952000">
        <w:rPr>
          <w:rFonts w:eastAsia="Times New Roman"/>
          <w:szCs w:val="24"/>
          <w:lang w:eastAsia="ru-RU"/>
        </w:rPr>
        <w:t xml:space="preserve"> относят возникшие во время проведения манипуляции:</w:t>
      </w:r>
    </w:p>
    <w:p w14:paraId="2F3E74A8" w14:textId="77777777" w:rsidR="0034590E" w:rsidRPr="00952000" w:rsidRDefault="0034590E" w:rsidP="00A72B1B">
      <w:pPr>
        <w:pStyle w:val="afd"/>
        <w:numPr>
          <w:ilvl w:val="0"/>
          <w:numId w:val="40"/>
        </w:numPr>
        <w:ind w:left="993" w:hanging="284"/>
        <w:rPr>
          <w:rFonts w:eastAsia="Times New Roman"/>
          <w:szCs w:val="24"/>
          <w:lang w:eastAsia="ru-RU"/>
        </w:rPr>
      </w:pPr>
      <w:r w:rsidRPr="00952000">
        <w:rPr>
          <w:rFonts w:eastAsia="Times New Roman"/>
          <w:szCs w:val="24"/>
          <w:lang w:eastAsia="ru-RU"/>
        </w:rPr>
        <w:t xml:space="preserve">ранение магистральных артерий, </w:t>
      </w:r>
    </w:p>
    <w:p w14:paraId="0A0E209C" w14:textId="77777777" w:rsidR="0034590E" w:rsidRPr="00952000" w:rsidRDefault="0034590E" w:rsidP="00A72B1B">
      <w:pPr>
        <w:pStyle w:val="afd"/>
        <w:numPr>
          <w:ilvl w:val="0"/>
          <w:numId w:val="40"/>
        </w:numPr>
        <w:ind w:left="993" w:hanging="284"/>
        <w:rPr>
          <w:rFonts w:eastAsia="Times New Roman"/>
          <w:szCs w:val="24"/>
          <w:lang w:eastAsia="ru-RU"/>
        </w:rPr>
      </w:pPr>
      <w:r w:rsidRPr="00952000">
        <w:rPr>
          <w:rFonts w:eastAsia="Times New Roman"/>
          <w:szCs w:val="24"/>
          <w:lang w:eastAsia="ru-RU"/>
        </w:rPr>
        <w:t>развитие гематомы в месте пункции сосуда</w:t>
      </w:r>
    </w:p>
    <w:p w14:paraId="5B05B066" w14:textId="77777777" w:rsidR="0034590E" w:rsidRPr="00952000" w:rsidRDefault="0034590E" w:rsidP="00A72B1B">
      <w:pPr>
        <w:pStyle w:val="afd"/>
        <w:numPr>
          <w:ilvl w:val="0"/>
          <w:numId w:val="40"/>
        </w:numPr>
        <w:ind w:left="993" w:hanging="284"/>
        <w:rPr>
          <w:rFonts w:eastAsia="Times New Roman"/>
          <w:szCs w:val="24"/>
          <w:lang w:eastAsia="ru-RU"/>
        </w:rPr>
      </w:pPr>
      <w:r w:rsidRPr="00952000">
        <w:rPr>
          <w:rFonts w:eastAsia="Times New Roman"/>
          <w:szCs w:val="24"/>
          <w:lang w:eastAsia="ru-RU"/>
        </w:rPr>
        <w:t xml:space="preserve">развитие пневмоторакса, гемоторакса, </w:t>
      </w:r>
    </w:p>
    <w:p w14:paraId="044D2DF2" w14:textId="77777777" w:rsidR="0034590E" w:rsidRPr="00952000" w:rsidRDefault="0034590E" w:rsidP="00A72B1B">
      <w:pPr>
        <w:pStyle w:val="afd"/>
        <w:numPr>
          <w:ilvl w:val="0"/>
          <w:numId w:val="40"/>
        </w:numPr>
        <w:ind w:left="993" w:hanging="284"/>
        <w:rPr>
          <w:rFonts w:eastAsia="Times New Roman"/>
          <w:szCs w:val="24"/>
          <w:lang w:eastAsia="ru-RU"/>
        </w:rPr>
      </w:pPr>
      <w:r w:rsidRPr="00952000">
        <w:rPr>
          <w:rFonts w:eastAsia="Times New Roman"/>
          <w:szCs w:val="24"/>
          <w:lang w:eastAsia="ru-RU"/>
        </w:rPr>
        <w:t xml:space="preserve">ранение грудного лимфатического протока, </w:t>
      </w:r>
    </w:p>
    <w:p w14:paraId="1FE85E2E" w14:textId="77777777" w:rsidR="0034590E" w:rsidRPr="00952000" w:rsidRDefault="0034590E" w:rsidP="00A72B1B">
      <w:pPr>
        <w:pStyle w:val="afd"/>
        <w:numPr>
          <w:ilvl w:val="0"/>
          <w:numId w:val="40"/>
        </w:numPr>
        <w:ind w:left="993" w:hanging="284"/>
        <w:rPr>
          <w:rFonts w:eastAsia="Times New Roman"/>
          <w:szCs w:val="24"/>
          <w:lang w:eastAsia="ru-RU"/>
        </w:rPr>
      </w:pPr>
      <w:r w:rsidRPr="00952000">
        <w:rPr>
          <w:rFonts w:eastAsia="Times New Roman"/>
          <w:szCs w:val="24"/>
          <w:lang w:eastAsia="ru-RU"/>
        </w:rPr>
        <w:t xml:space="preserve">повреждение нервных сплетений, </w:t>
      </w:r>
    </w:p>
    <w:p w14:paraId="3071C635" w14:textId="77777777" w:rsidR="0034590E" w:rsidRPr="00952000" w:rsidRDefault="0034590E" w:rsidP="00A72B1B">
      <w:pPr>
        <w:pStyle w:val="afd"/>
        <w:numPr>
          <w:ilvl w:val="0"/>
          <w:numId w:val="40"/>
        </w:numPr>
        <w:ind w:left="993" w:hanging="284"/>
        <w:rPr>
          <w:rFonts w:eastAsia="Times New Roman"/>
          <w:szCs w:val="24"/>
          <w:lang w:eastAsia="ru-RU"/>
        </w:rPr>
      </w:pPr>
      <w:r w:rsidRPr="00952000">
        <w:rPr>
          <w:rFonts w:eastAsia="Times New Roman"/>
          <w:szCs w:val="24"/>
          <w:lang w:eastAsia="ru-RU"/>
        </w:rPr>
        <w:t>неправильная установка катетера</w:t>
      </w:r>
    </w:p>
    <w:p w14:paraId="17CD9B46" w14:textId="77777777" w:rsidR="0034590E" w:rsidRPr="00952000" w:rsidRDefault="0034590E" w:rsidP="0034590E">
      <w:pPr>
        <w:rPr>
          <w:szCs w:val="24"/>
        </w:rPr>
      </w:pPr>
      <w:r w:rsidRPr="00952000">
        <w:rPr>
          <w:i/>
          <w:iCs/>
          <w:szCs w:val="24"/>
        </w:rPr>
        <w:t>Поздние осложнения</w:t>
      </w:r>
      <w:r>
        <w:rPr>
          <w:i/>
          <w:iCs/>
          <w:szCs w:val="24"/>
        </w:rPr>
        <w:t>,</w:t>
      </w:r>
      <w:r w:rsidRPr="00952000">
        <w:rPr>
          <w:szCs w:val="24"/>
        </w:rPr>
        <w:t xml:space="preserve"> возникающие во время или после эксплуатации катетера</w:t>
      </w:r>
      <w:r>
        <w:rPr>
          <w:szCs w:val="24"/>
        </w:rPr>
        <w:t>,</w:t>
      </w:r>
      <w:r w:rsidRPr="00952000">
        <w:rPr>
          <w:szCs w:val="24"/>
        </w:rPr>
        <w:t xml:space="preserve"> бывают тромботическими, стенотическими и инфекционными.</w:t>
      </w:r>
    </w:p>
    <w:p w14:paraId="45CA92DD" w14:textId="77777777" w:rsidR="0034590E" w:rsidRPr="00952000" w:rsidRDefault="0034590E" w:rsidP="0034590E">
      <w:pPr>
        <w:ind w:firstLine="708"/>
        <w:rPr>
          <w:szCs w:val="24"/>
        </w:rPr>
      </w:pPr>
      <w:r w:rsidRPr="00952000">
        <w:rPr>
          <w:szCs w:val="24"/>
        </w:rPr>
        <w:t>Под катетер-ассоциированным тромбозом (</w:t>
      </w:r>
      <w:r w:rsidRPr="00952000">
        <w:rPr>
          <w:i/>
          <w:szCs w:val="24"/>
        </w:rPr>
        <w:t xml:space="preserve">КАТ) </w:t>
      </w:r>
      <w:r w:rsidRPr="00952000">
        <w:rPr>
          <w:szCs w:val="24"/>
        </w:rPr>
        <w:t xml:space="preserve">понимают сочетание клинических и инструментальных признаков тромбоза. </w:t>
      </w:r>
    </w:p>
    <w:p w14:paraId="0770F83D" w14:textId="77777777" w:rsidR="0034590E" w:rsidRPr="00952000" w:rsidRDefault="0034590E" w:rsidP="00A72B1B">
      <w:pPr>
        <w:pStyle w:val="afd"/>
        <w:numPr>
          <w:ilvl w:val="0"/>
          <w:numId w:val="44"/>
        </w:numPr>
        <w:ind w:left="0" w:firstLine="349"/>
        <w:rPr>
          <w:szCs w:val="24"/>
        </w:rPr>
      </w:pPr>
      <w:r w:rsidRPr="00952000">
        <w:rPr>
          <w:szCs w:val="24"/>
        </w:rPr>
        <w:t xml:space="preserve">Клинические признаки: гиперемия кожи, отек подкожной клетчатки и боль, усиление подкожного сосудистого рисунка на стороне установки катетера, нарушение проходимости катетера, истечение жидкости по каналу катетера при проведении инфузии. </w:t>
      </w:r>
    </w:p>
    <w:p w14:paraId="13EFE85F" w14:textId="77777777" w:rsidR="0034590E" w:rsidRPr="00952000" w:rsidRDefault="0034590E" w:rsidP="00A72B1B">
      <w:pPr>
        <w:pStyle w:val="afd"/>
        <w:numPr>
          <w:ilvl w:val="0"/>
          <w:numId w:val="44"/>
        </w:numPr>
        <w:ind w:left="0" w:firstLine="349"/>
        <w:rPr>
          <w:szCs w:val="24"/>
        </w:rPr>
      </w:pPr>
      <w:r w:rsidRPr="00952000">
        <w:rPr>
          <w:szCs w:val="24"/>
        </w:rPr>
        <w:t xml:space="preserve">Инструментальные признаки: выявление при </w:t>
      </w:r>
      <w:r w:rsidRPr="00952000">
        <w:rPr>
          <w:i/>
          <w:szCs w:val="24"/>
        </w:rPr>
        <w:t>УЗИ</w:t>
      </w:r>
      <w:r w:rsidRPr="00952000">
        <w:rPr>
          <w:szCs w:val="24"/>
        </w:rPr>
        <w:t xml:space="preserve"> гиперэхогенного образования в месте установки катетера, полностью или частично перекрывающего просвет сосуда, препятствующее смыканию стенок вен при компрессии датчиком, полное или частичное отсутствие кровотока при УЗИ в допплеровском режиме, появление турбулентного тока крови; дефекты контрастирования сосудов при </w:t>
      </w:r>
      <w:r w:rsidRPr="00952000">
        <w:rPr>
          <w:i/>
          <w:szCs w:val="24"/>
        </w:rPr>
        <w:t>КТ-ангиографии или прямой ангиографии</w:t>
      </w:r>
      <w:r w:rsidRPr="00952000">
        <w:rPr>
          <w:szCs w:val="24"/>
        </w:rPr>
        <w:t>.</w:t>
      </w:r>
    </w:p>
    <w:p w14:paraId="75B23E6E" w14:textId="77777777" w:rsidR="0034590E" w:rsidRPr="00952000" w:rsidRDefault="0034590E" w:rsidP="0034590E">
      <w:pPr>
        <w:pStyle w:val="affff"/>
        <w:spacing w:beforeAutospacing="0" w:afterAutospacing="0" w:line="360" w:lineRule="auto"/>
      </w:pPr>
      <w:r w:rsidRPr="00952000">
        <w:lastRenderedPageBreak/>
        <w:t xml:space="preserve">Тромботические осложнения, ассоциированные с ЦВК, можно разделить на три вида: </w:t>
      </w:r>
    </w:p>
    <w:p w14:paraId="5211EB76" w14:textId="77777777" w:rsidR="0034590E" w:rsidRPr="00952000" w:rsidRDefault="0034590E" w:rsidP="00A72B1B">
      <w:pPr>
        <w:pStyle w:val="affff"/>
        <w:numPr>
          <w:ilvl w:val="0"/>
          <w:numId w:val="41"/>
        </w:numPr>
        <w:spacing w:beforeAutospacing="0" w:afterAutospacing="0" w:line="360" w:lineRule="auto"/>
      </w:pPr>
      <w:r w:rsidRPr="00952000">
        <w:t xml:space="preserve">«фибриновый чехол», </w:t>
      </w:r>
    </w:p>
    <w:p w14:paraId="1482DE1E" w14:textId="77777777" w:rsidR="0034590E" w:rsidRPr="00952000" w:rsidRDefault="0034590E" w:rsidP="00A72B1B">
      <w:pPr>
        <w:pStyle w:val="affff"/>
        <w:numPr>
          <w:ilvl w:val="0"/>
          <w:numId w:val="41"/>
        </w:numPr>
        <w:spacing w:beforeAutospacing="0" w:afterAutospacing="0" w:line="360" w:lineRule="auto"/>
      </w:pPr>
      <w:r w:rsidRPr="00952000">
        <w:t>обструкция катетера</w:t>
      </w:r>
    </w:p>
    <w:p w14:paraId="7B8FECFA" w14:textId="77777777" w:rsidR="0034590E" w:rsidRPr="00952000" w:rsidRDefault="0034590E" w:rsidP="00A72B1B">
      <w:pPr>
        <w:pStyle w:val="affff"/>
        <w:numPr>
          <w:ilvl w:val="0"/>
          <w:numId w:val="41"/>
        </w:numPr>
        <w:spacing w:beforeAutospacing="0" w:afterAutospacing="0" w:line="360" w:lineRule="auto"/>
      </w:pPr>
      <w:r w:rsidRPr="00952000">
        <w:t>пристеночный или обтурирующий внутрисосудистый тромбоз.</w:t>
      </w:r>
    </w:p>
    <w:p w14:paraId="5B8328FB" w14:textId="05E8909D" w:rsidR="0034590E" w:rsidRPr="00952000" w:rsidRDefault="0034590E" w:rsidP="0034590E">
      <w:pPr>
        <w:pStyle w:val="affff"/>
        <w:spacing w:beforeAutospacing="0" w:afterAutospacing="0" w:line="360" w:lineRule="auto"/>
      </w:pPr>
      <w:r w:rsidRPr="00952000">
        <w:t xml:space="preserve">Бессимптомные КАТ более распространены, но их клиническое значение не ясно. Частота выявления КАТ колеблется, по разным данным, от 5% до 12-14% </w:t>
      </w:r>
      <w:r w:rsidRPr="00952000">
        <w:fldChar w:fldCharType="begin" w:fldLock="1"/>
      </w:r>
      <w:r w:rsidR="00F44253">
        <w:instrText>ADDIN CSL_CITATION {"citationItems":[{"id":"ITEM-1","itemData":{"ISSN":"1540-1405","PMID":"17020667","abstract":"Symptomatic thromboembolic complications of central venous catheters (CVCs) occur in 5% or less of general oncology patients. Asymptomatic CVC-related thrombi are more common, but their clinical significance is unclear. Thrombotic risk may be increased by primary thrombophilic disorders, especially the factor V G1691A (Leiden) mutation, thrombogenic catheter material, larger catheter diameter and greater number of lumens, catheter tip malposition, left-sided placement, percutaneous or multiple insertion attempts, a previous CVC or preexisting venous obstruction, prothrombotic therapeutic agents, catheter-associated infections, and fibrinous catheter lumen occlusion. Three recent randomized, prospective, placebo-controlled trials observed no benefit of routine low-dose warfarin or low-molecular-weight heparin in preventing catheter-associated thrombosis. Nevertheless, thromboprophylaxis may be appropriate and safe for selected high-risk patients. Duplex ultrasound can accurately detect CVC-related thrombi involving the jugular, axillary, distal subclavian, and arm veins. Contrast venographic imaging is required for indeterminate duplex findings and to evaluate the deep central veins and pulmonary arteries. Therapeutic anticoagulation, with or without catheter removal, is indicated for patients with acute deep vein thrombosis (DVT) or pulmonary embolism who have no contraindications. Catheter removal alone, with close follow-up, may be sufficient when bleeding risk precludes safe anticoagulation. Approaches to managing catheter-associated thrombosis, including the use of thrombolytic agents, are guided by limited published experience and extrapolation from practices used for lower-extremity DVT. Prospective, randomized, controlled trials are needed to identify the safest and most effective anticoagulant agents, treatment durations, and alternative venous access strategies for cancer patients who develop catheter-associated thrombosis.","author":[{"dropping-particle":"","family":"Linenberger","given":"Michael L","non-dropping-particle":"","parse-names":false,"suffix":""}],"container-title":"Journal of the National Comprehensive Cancer Network : JNCCN","id":"ITEM-1","issue":"9","issued":{"date-parts":[["2006","10"]]},"page":"889-901","title":"Catheter-related thrombosis: risks, diagnosis, and management.","type":"article-journal","volume":"4"},"uris":["http://www.mendeley.com/documents/?uuid=fd996227-febf-46f9-8b4a-37c976acd280"]},{"id":"ITEM-2","itemData":{"DOI":"10.1111/j.1538-7836.2012.04817.x","abstract":"Central venous catheters are extensively used in patients with cancer to secure delivery of chemotherapy and facilitate phlebotomy. Unfortunately, considerable morbidity can result from early complications or late sequelae, ranging from arterial puncture, pneumothorax and bloodstream infections to catheter-related thrombosis (CRT). Contempo-rary studies have shown that the incidence of symptomatic CRT is 5%, whereas the incidence of asymptomatic CRT is higher, at 14–18%. The significance and mechanisms of catheter design, material, insertion location and technique, position of the catheter tip and other risk factors in contributing to the development of CRT are not well understood. Efforts to reduce thrombotic complications, involving flushing the catheter with heparinized solutions, the use of heparin-bonded catheters, and systemic anticoag-ulant prophylaxis, have been largely ineffective. More studies are needed to understand the pathophysiology of thrombotic complications, to help identify effective interventions to reduce this adverse outcome.","author":[{"dropping-particle":"","family":"Lee","given":"A.Y.Y.","non-dropping-particle":"","parse-names":false,"suffix":""},{"dropping-particle":"","family":"Kamphuisen","given":"P.W.","non-dropping-particle":"","parse-names":false,"suffix":""}],"container-title":"Journal of Thrombosis and Haemostasis","id":"ITEM-2","issue":"10","issued":{"date-parts":[["2012"]]},"page":"1491-1499","title":"Epidemiology and prevention of catheter-related thrombosis in patients with cancer","type":"article-journal"},"uris":["http://www.mendeley.com/documents/?uuid=2f9bf3d1-5851-4e76-89ac-5c3d038d67a9"]}],"mendeley":{"formattedCitation":"[94,95]","plainTextFormattedCitation":"[94,95]","previouslyFormattedCitation":"[94,95]"},"properties":{"noteIndex":0},"schema":"https://github.com/citation-style-language/schema/raw/master/csl-citation.json"}</w:instrText>
      </w:r>
      <w:r w:rsidRPr="00952000">
        <w:fldChar w:fldCharType="separate"/>
      </w:r>
      <w:r w:rsidR="004D13EB" w:rsidRPr="004D13EB">
        <w:rPr>
          <w:noProof/>
        </w:rPr>
        <w:t>[94,95]</w:t>
      </w:r>
      <w:r w:rsidRPr="00952000">
        <w:fldChar w:fldCharType="end"/>
      </w:r>
      <w:r w:rsidRPr="00952000">
        <w:t xml:space="preserve">. Факторы, предрасполагающие к развитию КАТ, разделяют на три группы: </w:t>
      </w:r>
    </w:p>
    <w:p w14:paraId="51C81041" w14:textId="77777777" w:rsidR="0034590E" w:rsidRPr="00952000" w:rsidRDefault="0034590E" w:rsidP="00A72B1B">
      <w:pPr>
        <w:pStyle w:val="affff"/>
        <w:numPr>
          <w:ilvl w:val="0"/>
          <w:numId w:val="49"/>
        </w:numPr>
        <w:spacing w:beforeAutospacing="0" w:afterAutospacing="0" w:line="360" w:lineRule="auto"/>
      </w:pPr>
      <w:r w:rsidRPr="00952000">
        <w:t xml:space="preserve">связанные с пациентом (пол, возраст, наличие опухолевого заболевания, тромбофилии); </w:t>
      </w:r>
    </w:p>
    <w:p w14:paraId="03247D1C" w14:textId="77777777" w:rsidR="0034590E" w:rsidRPr="00952000" w:rsidRDefault="0034590E" w:rsidP="00A72B1B">
      <w:pPr>
        <w:pStyle w:val="affff"/>
        <w:numPr>
          <w:ilvl w:val="0"/>
          <w:numId w:val="49"/>
        </w:numPr>
        <w:spacing w:beforeAutospacing="0" w:afterAutospacing="0" w:line="360" w:lineRule="auto"/>
      </w:pPr>
      <w:r w:rsidRPr="00952000">
        <w:t xml:space="preserve">связанные с катетером (большой диаметр, материал катетера, т.е. «жесткий» катетер); </w:t>
      </w:r>
    </w:p>
    <w:p w14:paraId="29E05970" w14:textId="77777777" w:rsidR="0034590E" w:rsidRPr="00952000" w:rsidRDefault="0034590E" w:rsidP="00A72B1B">
      <w:pPr>
        <w:pStyle w:val="affff"/>
        <w:numPr>
          <w:ilvl w:val="0"/>
          <w:numId w:val="49"/>
        </w:numPr>
        <w:spacing w:beforeAutospacing="0" w:afterAutospacing="0" w:line="360" w:lineRule="auto"/>
      </w:pPr>
      <w:r w:rsidRPr="00952000">
        <w:t xml:space="preserve">связанные с лечением (химиотерапия, парентеральное питание и введение других раздражающих веществ). </w:t>
      </w:r>
    </w:p>
    <w:p w14:paraId="1ED3F55C" w14:textId="77777777" w:rsidR="0034590E" w:rsidRPr="00952000" w:rsidRDefault="0034590E" w:rsidP="0034590E">
      <w:pPr>
        <w:ind w:firstLine="708"/>
        <w:rPr>
          <w:strike/>
          <w:szCs w:val="24"/>
        </w:rPr>
      </w:pPr>
      <w:r w:rsidRPr="00952000">
        <w:rPr>
          <w:szCs w:val="24"/>
        </w:rPr>
        <w:t>Наличие опухолевого заболевания увеличивает риск тромбоза.</w:t>
      </w:r>
    </w:p>
    <w:p w14:paraId="44788278" w14:textId="3289E631" w:rsidR="0034590E" w:rsidRPr="00952000" w:rsidRDefault="0034590E" w:rsidP="0034590E">
      <w:pPr>
        <w:ind w:firstLine="708"/>
        <w:rPr>
          <w:szCs w:val="24"/>
        </w:rPr>
      </w:pPr>
      <w:r w:rsidRPr="00952000">
        <w:rPr>
          <w:szCs w:val="24"/>
        </w:rPr>
        <w:t xml:space="preserve">Важную роль в формировании КАТ имеет соотношение диаметра катетера к диаметру вены, которое не должно превышать 1/3, иначе происходит дополнительная травма эндотелия </w:t>
      </w:r>
      <w:r w:rsidRPr="00952000">
        <w:rPr>
          <w:szCs w:val="24"/>
        </w:rPr>
        <w:fldChar w:fldCharType="begin" w:fldLock="1"/>
      </w:r>
      <w:r w:rsidR="00F44253">
        <w:rPr>
          <w:szCs w:val="24"/>
        </w:rPr>
        <w:instrText>ADDIN CSL_CITATION {"citationItems":[{"id":"ITEM-1","itemData":{"author":[{"dropping-particle":"","family":"Цепенщинков","given":"Л.В","non-dropping-particle":"","parse-names":false,"suffix":""},{"dropping-particle":"","family":"Лядов","given":"В.К.","non-dropping-particle":"","parse-names":false,"suffix":""}],"container-title":"Клиническая онкогематология","id":"ITEM-1","issue":"2","issued":{"date-parts":[["2014"]]},"page":"220-228","title":"Периферически имплантируемый центральный венозный катетер: обзор литераутры.","type":"article-journal","volume":"7"},"uris":["http://www.mendeley.com/documents/?uuid=88221962-7bef-43f1-95ef-c82831c18b7b","http://www.mendeley.com/documents/?uuid=6bf891a9-cc26-48dd-8e38-76815056737b"]}],"mendeley":{"formattedCitation":"[96]","plainTextFormattedCitation":"[96]","previouslyFormattedCitation":"[96]"},"properties":{"noteIndex":0},"schema":"https://github.com/citation-style-language/schema/raw/master/csl-citation.json"}</w:instrText>
      </w:r>
      <w:r w:rsidRPr="00952000">
        <w:rPr>
          <w:szCs w:val="24"/>
        </w:rPr>
        <w:fldChar w:fldCharType="separate"/>
      </w:r>
      <w:r w:rsidR="004D13EB" w:rsidRPr="004D13EB">
        <w:rPr>
          <w:noProof/>
          <w:szCs w:val="24"/>
        </w:rPr>
        <w:t>[96]</w:t>
      </w:r>
      <w:r w:rsidRPr="00952000">
        <w:rPr>
          <w:szCs w:val="24"/>
        </w:rPr>
        <w:fldChar w:fldCharType="end"/>
      </w:r>
      <w:r w:rsidRPr="00952000">
        <w:rPr>
          <w:szCs w:val="24"/>
        </w:rPr>
        <w:t xml:space="preserve">. При сравнении силиконовых и полиуретановых катетеров, установленных в вены плеча, значимой разницы </w:t>
      </w:r>
      <w:r w:rsidRPr="00DB2B4A">
        <w:rPr>
          <w:szCs w:val="24"/>
        </w:rPr>
        <w:t xml:space="preserve">в частоте развития КАТ </w:t>
      </w:r>
      <w:r w:rsidRPr="00952000">
        <w:rPr>
          <w:szCs w:val="24"/>
        </w:rPr>
        <w:t xml:space="preserve">не выявили, но отмечен факт повреждения эндотелия, способствующего развитию тромбоза </w:t>
      </w:r>
      <w:r w:rsidRPr="00952000">
        <w:rPr>
          <w:szCs w:val="24"/>
        </w:rPr>
        <w:fldChar w:fldCharType="begin" w:fldLock="1"/>
      </w:r>
      <w:r w:rsidR="00F44253">
        <w:rPr>
          <w:szCs w:val="24"/>
        </w:rPr>
        <w:instrText>ADDIN CSL_CITATION {"citationItems":[{"id":"ITEM-1","itemData":{"DOI":"10.1177/0148607184008004399","ISSN":"0148-6071","PMID":"6431130","abstract":"In order to compare two types of long, soft central venous catheters with the same stiffness, 39 silicone elastomer (SE) and 36 polyurethane (PU) catheters were inserted in 75 patients via basilic or cephalic veins punctured at the cubital fossa. Mean duration of catheterization was 10.5 days. Scanning electron microscopy revealed that the SE catheters to have a more uniform, but somewhat rougher surface topography than the PU catheters. The platelet adhesion in vitro to the SE catheters was four times higher than to the PU catheters. The incidence of clinical thrombophlebitis in the arm veins was 36% with the SE catheters, and 5.5% with the PU catheters (p less than 0.01). No significant differences were found between the SE and PU catheters regarding the number and size of radiologic thrombi in the peripheral and central veins, catheter occlusion rate, and platelet adhesion to the inner side of the catheter tip at withdrawal. Platelet adhesion in vivo correlated with the duration of catheterization in both groups of catheters. Mechanical trauma to the vein endothelium seems to be of vital importance in thrombus formation, but not in the induction of clinical thrombophlebitis.","author":[{"dropping-particle":"","family":"Linder","given":"L E","non-dropping-particle":"","parse-names":false,"suffix":""},{"dropping-particle":"","family":"Curelaru","given":"I","non-dropping-particle":"","parse-names":false,"suffix":""},{"dropping-particle":"","family":"Gustavsson","given":"B","non-dropping-particle":"","parse-names":false,"suffix":""},{"dropping-particle":"","family":"Hansson","given":"H A","non-dropping-particle":"","parse-names":false,"suffix":""},{"dropping-particle":"","family":"Stenqvist","given":"O","non-dropping-particle":"","parse-names":false,"suffix":""},{"dropping-particle":"","family":"Wojciechowski","given":"J","non-dropping-particle":"","parse-names":false,"suffix":""}],"container-title":"JPEN. Journal of parenteral and enteral nutrition","id":"ITEM-1","issue":"4","issued":{"date-parts":[["1984"]]},"page":"399-406","title":"Material thrombogenicity in central venous catheterization: a comparison between soft, antebrachial catheters of silicone elastomer and polyurethane.","type":"article-journal","volume":"8"},"uris":["http://www.mendeley.com/documents/?uuid=50c99be9-4388-35af-aba0-01eefc84f6b5","http://www.mendeley.com/documents/?uuid=52fd94cb-1dbb-4a1b-a63a-91cf9a99438a"]}],"mendeley":{"formattedCitation":"[97]","plainTextFormattedCitation":"[97]","previouslyFormattedCitation":"[97]"},"properties":{"noteIndex":0},"schema":"https://github.com/citation-style-language/schema/raw/master/csl-citation.json"}</w:instrText>
      </w:r>
      <w:r w:rsidRPr="00952000">
        <w:rPr>
          <w:szCs w:val="24"/>
        </w:rPr>
        <w:fldChar w:fldCharType="separate"/>
      </w:r>
      <w:r w:rsidR="004D13EB" w:rsidRPr="004D13EB">
        <w:rPr>
          <w:noProof/>
          <w:szCs w:val="24"/>
        </w:rPr>
        <w:t>[97]</w:t>
      </w:r>
      <w:r w:rsidRPr="00952000">
        <w:rPr>
          <w:szCs w:val="24"/>
        </w:rPr>
        <w:fldChar w:fldCharType="end"/>
      </w:r>
      <w:r w:rsidRPr="00952000">
        <w:rPr>
          <w:szCs w:val="24"/>
        </w:rPr>
        <w:t xml:space="preserve">. Также в патогенезе развития КАТ значимы такие факторы, как травматичность установки </w:t>
      </w:r>
      <w:r w:rsidRPr="00DE117D">
        <w:rPr>
          <w:strike/>
          <w:szCs w:val="24"/>
        </w:rPr>
        <w:t>катетера</w:t>
      </w:r>
      <w:r w:rsidRPr="00952000">
        <w:rPr>
          <w:szCs w:val="24"/>
        </w:rPr>
        <w:t xml:space="preserve">, неправильное расположение дистального конца катетера, левостороннее размещение катетера, множественные попытки пункции вены, наличие предшествующих катетеризаций и их количество, а также эпизоды КАИК в анамнезе. Установка ЦВК сопровождается локальным повреждением стенки вены и эндотелия и образованием тромба, с дальнейшим формированием «фибринового» чехла. </w:t>
      </w:r>
      <w:r w:rsidRPr="00952000">
        <w:rPr>
          <w:rFonts w:eastAsia="Times New Roman"/>
          <w:szCs w:val="24"/>
          <w:lang w:eastAsia="ru-RU"/>
        </w:rPr>
        <w:t xml:space="preserve">Одним из факторов развития венозных тромбозов является наличие венозных клапанов, создающих турбулентный поток. </w:t>
      </w:r>
      <w:r w:rsidRPr="00952000">
        <w:rPr>
          <w:rFonts w:eastAsia="Arial Unicode MS"/>
          <w:szCs w:val="24"/>
        </w:rPr>
        <w:t xml:space="preserve">Фактором, способствующим возникновению КАТ, является позиционирование ЦВК, поскольку миграция катетера, окклюзия дистального конца катетера венозной стенкой, травма венозной стенки дистальным концом катетера, присасывание к стенке конца катетера во время аспирации образцов крови, а введение раздражающих растворов способствуют травме венозной стенке </w:t>
      </w:r>
      <w:r w:rsidRPr="00952000">
        <w:rPr>
          <w:rFonts w:eastAsia="Arial Unicode MS"/>
          <w:szCs w:val="24"/>
        </w:rPr>
        <w:fldChar w:fldCharType="begin" w:fldLock="1"/>
      </w:r>
      <w:r w:rsidR="00F44253">
        <w:rPr>
          <w:rFonts w:eastAsia="Arial Unicode MS"/>
          <w:szCs w:val="24"/>
        </w:rPr>
        <w:instrText>ADDIN CSL_CITATION {"citationItems":[{"id":"ITEM-1","itemData":{"abstract":"Objective This study evaluated the accuracy of placing right atrial catheters using an electrocardiographic (ECG) technique. Summary Background Data Placement of right atrial catheters for vascular access is a common operative procedure. Accurate placement is essential for proper function. Previous placement techniques have used fluoroscopy, which is both time consuming and hazardous. Methods The accuracy of placement of 1236 right atrial catheters using an ECG technique was compared to placement of 586 catheters using fluoroscopy between March 1991 and November 1995. In the ECG technique, the catheter was flushed with sodium bicarbonate. A sterile left-leg ECG lead was attached to the catheter with the other ECG leads applied normally. On advancing the catheter through the superior vena cava, the P-wave amplitude (lead 11) increased in negative deflection until greater than the QRS complex. Passing the sinoatrial node, the P-wave developed an initial positive then negative deflection. The catheter was positioned so the P-wave was biphasic, representing a position midway between the sinoatrial and atrioventricular nodes. For the fluoroscopic technique, catheters were positioned under direct observation just within the atrium estimated from cardiac contour. Use of contrast was optional if atrial anatomy was unclear. Results Postoperative portable chest x-rays showed the ECG method to position the catheter tip within the right atrium just as accurately (average, 1.9 ± 1.3 cm) as with the use of fluoroscopy (average, 1.1 ± 1.6 cm). The ECG method eliminated an average of 20 seconds of radiation exposure, an average of 3.0 minutes operating room time (p &lt; 0.04), avoided all risks of contrast dye, and saved $279.10 per case.","author":[{"dropping-particle":"","family":"Watters","given":"Virginia A","non-dropping-particle":"","parse-names":false,"suffix":""},{"dropping-particle":"","family":"Grant","given":"John P","non-dropping-particle":"","parse-names":false,"suffix":""}],"container-title":"ANNALS OF SURGERY","id":"ITEM-1","issue":"2","issued":{"date-parts":[["0"]]},"page":"165-171","title":"Use of Electrocardiogram to Position Right Atrial Catheters During Surgery","type":"article-journal","volume":"225"},"uris":["http://www.mendeley.com/documents/?uuid=634418a9-1b6a-3971-a74a-26cac4fcbb73","http://www.mendeley.com/documents/?uuid=216df258-45c1-414a-b26e-b5eb61d53634"]}],"mendeley":{"formattedCitation":"[98]","plainTextFormattedCitation":"[98]","previouslyFormattedCitation":"[98]"},"properties":{"noteIndex":0},"schema":"https://github.com/citation-style-language/schema/raw/master/csl-citation.json"}</w:instrText>
      </w:r>
      <w:r w:rsidRPr="00952000">
        <w:rPr>
          <w:rFonts w:eastAsia="Arial Unicode MS"/>
          <w:szCs w:val="24"/>
        </w:rPr>
        <w:fldChar w:fldCharType="separate"/>
      </w:r>
      <w:r w:rsidR="004D13EB" w:rsidRPr="004D13EB">
        <w:rPr>
          <w:rFonts w:eastAsia="Arial Unicode MS"/>
          <w:noProof/>
          <w:szCs w:val="24"/>
        </w:rPr>
        <w:t>[98]</w:t>
      </w:r>
      <w:r w:rsidRPr="00952000">
        <w:rPr>
          <w:rFonts w:eastAsia="Arial Unicode MS"/>
          <w:szCs w:val="24"/>
        </w:rPr>
        <w:fldChar w:fldCharType="end"/>
      </w:r>
      <w:r w:rsidRPr="00952000">
        <w:rPr>
          <w:rFonts w:eastAsia="Arial Unicode MS"/>
          <w:szCs w:val="24"/>
        </w:rPr>
        <w:t xml:space="preserve">. </w:t>
      </w:r>
      <w:r w:rsidRPr="00952000">
        <w:rPr>
          <w:szCs w:val="24"/>
        </w:rPr>
        <w:t xml:space="preserve">ЦВК находятся в непосредственном контакте с внутренней стенкой вен, в результате постоянного движения катетеров, связанного с дыханием, сокращениями сердца, поворотами головы, происходит еще большее </w:t>
      </w:r>
      <w:r w:rsidRPr="00952000">
        <w:rPr>
          <w:szCs w:val="24"/>
        </w:rPr>
        <w:lastRenderedPageBreak/>
        <w:t xml:space="preserve">повреждение эндотелия. Травма эндотелия усугубляется, если траектория катетера в вене характеризуется одним или несколькими изгибами </w:t>
      </w:r>
      <w:r w:rsidRPr="00952000">
        <w:rPr>
          <w:szCs w:val="24"/>
        </w:rPr>
        <w:fldChar w:fldCharType="begin" w:fldLock="1"/>
      </w:r>
      <w:r w:rsidR="00F44253">
        <w:rPr>
          <w:szCs w:val="24"/>
        </w:rPr>
        <w:instrText>ADDIN CSL_CITATION {"citationItems":[{"id":"ITEM-1","itemData":{"DOI":"10.1093/ndt/gfh216","ISSN":"0931-0509","author":[{"dropping-particle":"","family":"Taal","given":"M. W.","non-dropping-particle":"","parse-names":false,"suffix":""},{"dropping-particle":"","family":"Chesterton","given":"L. J.","non-dropping-particle":"","parse-names":false,"suffix":""},{"dropping-particle":"","family":"McIntyre","given":"C. W.","non-dropping-particle":"","parse-names":false,"suffix":""}],"container-title":"Nephrology Dialysis Transplantation","id":"ITEM-1","issue":"6","issued":{"date-parts":[["2004","6"]]},"page":"1542-1545","publisher":"Oxford University Press","title":"Venography at insertion of tunnelled internal jugular vein dialysis catheters reveals significant occult stenosis","type":"article-journal","volume":"19"},"uris":["http://www.mendeley.com/documents/?uuid=27bd8603-4b5c-3170-8bd9-40145339d105","http://www.mendeley.com/documents/?uuid=f32593e8-087e-487f-af57-700299c86f69"]}],"mendeley":{"formattedCitation":"[99]","plainTextFormattedCitation":"[99]","previouslyFormattedCitation":"[99]"},"properties":{"noteIndex":0},"schema":"https://github.com/citation-style-language/schema/raw/master/csl-citation.json"}</w:instrText>
      </w:r>
      <w:r w:rsidRPr="00952000">
        <w:rPr>
          <w:szCs w:val="24"/>
        </w:rPr>
        <w:fldChar w:fldCharType="separate"/>
      </w:r>
      <w:r w:rsidR="004D13EB" w:rsidRPr="004D13EB">
        <w:rPr>
          <w:noProof/>
          <w:szCs w:val="24"/>
        </w:rPr>
        <w:t>[99]</w:t>
      </w:r>
      <w:r w:rsidRPr="00952000">
        <w:rPr>
          <w:szCs w:val="24"/>
        </w:rPr>
        <w:fldChar w:fldCharType="end"/>
      </w:r>
      <w:r w:rsidRPr="00952000">
        <w:rPr>
          <w:szCs w:val="24"/>
        </w:rPr>
        <w:t xml:space="preserve">. В дополнение к травме происходит воспаление интимы как ответ на повреждение, которое приводит к гиперплазии интимы или развитию тромбоза. Пункция левой внутренней яремной вены по сравнению с пункцией правой яремной вены более сложная, так как у 34% пациентов внутренняя яремной вены слева меньше чем правая </w:t>
      </w:r>
      <w:r w:rsidRPr="00952000">
        <w:rPr>
          <w:szCs w:val="24"/>
        </w:rPr>
        <w:fldChar w:fldCharType="begin" w:fldLock="1"/>
      </w:r>
      <w:r w:rsidR="00F44253">
        <w:rPr>
          <w:szCs w:val="24"/>
        </w:rPr>
        <w:instrText>ADDIN CSL_CITATION {"citationItems":[{"id":"ITEM-1","itemData":{"ISSN":"1053-0770","PMID":"10230944","abstract":"OBJECTIVE To compare the cross-sectional area (CSA) of the right internal jugular vein (RIJV) with the left internal jugular vein (LIJV) using two-dimensional ultrasound and to measure the response to the Valsalva maneuver in both the supine and Trendelenburg positions. DESIGN Prospective and randomized. SETTING University-affiliated hospital. PARTICIPANTS Fifty healthy adult volunteers. INTERVENTIONS The CSA of both the RIJV and LIJV was measured with a 5-MHz, two-dimensional surface transducer before and during a 10-second Valsalva maneuver with the subjects in the supine position, and then with the subjects in a 10 degree Trendelenburg tilt. MEASUREMENTS AND MAIN RESULTS After the baseline measurements were performed, the subjects were divided into two groups based on the CSA of the RIJV and LIJV. Group 1 had an LIJV CSA equal to or greater than that of the RIJV (n = 10) and group 2 had an LIJV CSA less than that of the RIJV (n = 40). Of the latter 40 patients, 17 (34%) had an LIJV CSA less than 50% of that of the RIJV. In both groups, the CSA of both veins increased significantly with the Valsalva maneuver, Trendelenburg tilt, and both maneuvers combined. CONCLUSION The findings suggest that in one third of adults (34%), the LIJV is significantly smaller compared with the RIJV and, combined with operator inexperience, may influence the success rate and risk for complications. Thus, the use of ultrasound and maneuvers that increase CSA is suggested during LIJV cannulation.","author":[{"dropping-particle":"","family":"Lobato","given":"E B","non-dropping-particle":"","parse-names":false,"suffix":""},{"dropping-particle":"","family":"Sulek","given":"C A","non-dropping-particle":"","parse-names":false,"suffix":""},{"dropping-particle":"","family":"Moody","given":"R L","non-dropping-particle":"","parse-names":false,"suffix":""},{"dropping-particle":"","family":"Morey","given":"T E","non-dropping-particle":"","parse-names":false,"suffix":""}],"container-title":"Journal of cardiothoracic and vascular anesthesia","id":"ITEM-1","issue":"2","issued":{"date-parts":[["1999","4"]]},"page":"136-8","title":"Cross-sectional area of the right and left internal jugular veins.","type":"article-journal","volume":"13"},"uris":["http://www.mendeley.com/documents/?uuid=946e04e1-436d-33e9-8d74-b2b7aa6566b2","http://www.mendeley.com/documents/?uuid=3c8cfbcb-4e79-4dbf-88c6-7197a21370b9"]}],"mendeley":{"formattedCitation":"[100]","plainTextFormattedCitation":"[100]","previouslyFormattedCitation":"[100]"},"properties":{"noteIndex":0},"schema":"https://github.com/citation-style-language/schema/raw/master/csl-citation.json"}</w:instrText>
      </w:r>
      <w:r w:rsidRPr="00952000">
        <w:rPr>
          <w:szCs w:val="24"/>
        </w:rPr>
        <w:fldChar w:fldCharType="separate"/>
      </w:r>
      <w:r w:rsidR="004D13EB" w:rsidRPr="004D13EB">
        <w:rPr>
          <w:noProof/>
          <w:szCs w:val="24"/>
        </w:rPr>
        <w:t>[100]</w:t>
      </w:r>
      <w:r w:rsidRPr="00952000">
        <w:rPr>
          <w:szCs w:val="24"/>
        </w:rPr>
        <w:fldChar w:fldCharType="end"/>
      </w:r>
      <w:r w:rsidRPr="00952000">
        <w:rPr>
          <w:szCs w:val="24"/>
        </w:rPr>
        <w:t>, что особенно важно при диагностике катетерассоциированного стеноза (КА</w:t>
      </w:r>
      <w:r w:rsidRPr="00952000">
        <w:rPr>
          <w:szCs w:val="24"/>
          <w:lang w:val="en-US"/>
        </w:rPr>
        <w:t>C</w:t>
      </w:r>
      <w:r w:rsidRPr="00952000">
        <w:rPr>
          <w:szCs w:val="24"/>
        </w:rPr>
        <w:t xml:space="preserve">). </w:t>
      </w:r>
    </w:p>
    <w:p w14:paraId="5E320A56" w14:textId="7EA9C477" w:rsidR="0034590E" w:rsidRPr="00952000" w:rsidRDefault="0034590E" w:rsidP="0034590E">
      <w:pPr>
        <w:ind w:firstLine="708"/>
        <w:rPr>
          <w:b/>
          <w:szCs w:val="24"/>
        </w:rPr>
      </w:pPr>
      <w:r w:rsidRPr="00952000">
        <w:rPr>
          <w:szCs w:val="24"/>
        </w:rPr>
        <w:t>Катетер-ассоциированый стеноз (</w:t>
      </w:r>
      <w:r w:rsidRPr="00952000">
        <w:rPr>
          <w:i/>
          <w:szCs w:val="24"/>
        </w:rPr>
        <w:t>КАС)</w:t>
      </w:r>
      <w:r w:rsidRPr="00952000">
        <w:rPr>
          <w:szCs w:val="24"/>
        </w:rPr>
        <w:t xml:space="preserve"> – стойкое сужение просвета сосуда, вплоть до полной облитерации, выявляемое при УЗИ в покое и при выполнении функциональных проб, возникшее после катетеризации, связанное или не связанное с КАТ. У онкогематологических пациентов, наряду с вышеуказанными причинами, значительное место в формировании КАТ и КАС занимает проведение химиотерапии </w:t>
      </w:r>
      <w:r w:rsidRPr="00952000">
        <w:rPr>
          <w:szCs w:val="24"/>
        </w:rPr>
        <w:fldChar w:fldCharType="begin" w:fldLock="1"/>
      </w:r>
      <w:r w:rsidR="00F44253">
        <w:rPr>
          <w:szCs w:val="24"/>
        </w:rPr>
        <w:instrText>ADDIN CSL_CITATION {"citationItems":[{"id":"ITEM-1","itemData":{"author":[{"dropping-particle":"","family":"Червонцева","given":"Алевтина Михайловна","non-dropping-particle":"","parse-names":false,"suffix":""}],"id":"ITEM-1","issued":{"date-parts":[["2008"]]},"title":"Повреждение сосудистого эндотелия в процессе лечения острых миелоидных лейкозов","type":"article"},"uris":["http://www.mendeley.com/documents/?uuid=9afd28b5-41fc-3e5e-bfac-710d3bccc2cd","http://www.mendeley.com/documents/?uuid=b0c847b8-b368-40a1-9c35-cebd6d9d96b6"]}],"mendeley":{"formattedCitation":"[101]","plainTextFormattedCitation":"[101]","previouslyFormattedCitation":"[101]"},"properties":{"noteIndex":0},"schema":"https://github.com/citation-style-language/schema/raw/master/csl-citation.json"}</w:instrText>
      </w:r>
      <w:r w:rsidRPr="00952000">
        <w:rPr>
          <w:szCs w:val="24"/>
        </w:rPr>
        <w:fldChar w:fldCharType="separate"/>
      </w:r>
      <w:r w:rsidR="004D13EB" w:rsidRPr="004D13EB">
        <w:rPr>
          <w:noProof/>
          <w:szCs w:val="24"/>
        </w:rPr>
        <w:t>[101]</w:t>
      </w:r>
      <w:r w:rsidRPr="00952000">
        <w:rPr>
          <w:szCs w:val="24"/>
        </w:rPr>
        <w:fldChar w:fldCharType="end"/>
      </w:r>
      <w:r w:rsidRPr="00952000">
        <w:rPr>
          <w:szCs w:val="24"/>
        </w:rPr>
        <w:t>.</w:t>
      </w:r>
    </w:p>
    <w:p w14:paraId="40C36FCA" w14:textId="13361049" w:rsidR="0034590E" w:rsidRPr="00952000" w:rsidRDefault="0034590E" w:rsidP="0034590E">
      <w:pPr>
        <w:ind w:firstLine="708"/>
        <w:rPr>
          <w:szCs w:val="24"/>
        </w:rPr>
      </w:pPr>
      <w:r w:rsidRPr="00952000">
        <w:rPr>
          <w:szCs w:val="24"/>
        </w:rPr>
        <w:t>Катетер-ассоциированная инфекция кровотока (</w:t>
      </w:r>
      <w:r w:rsidRPr="00952000">
        <w:rPr>
          <w:i/>
          <w:szCs w:val="24"/>
        </w:rPr>
        <w:t>КАИК)</w:t>
      </w:r>
      <w:r w:rsidRPr="00952000">
        <w:rPr>
          <w:szCs w:val="24"/>
        </w:rPr>
        <w:t xml:space="preserve"> – выявление положительной гемокультуры в образце крови взятой из катетера на 2 и более часа ранее, чем в образце крови, взятом из периферической вены, рост микроорганизмов при микробиологическом исследовании дистального конца катетера </w:t>
      </w:r>
      <w:r w:rsidRPr="00952000">
        <w:rPr>
          <w:szCs w:val="24"/>
        </w:rPr>
        <w:fldChar w:fldCharType="begin" w:fldLock="1"/>
      </w:r>
      <w:r w:rsidR="00F44253">
        <w:rPr>
          <w:szCs w:val="24"/>
        </w:rPr>
        <w:instrText>ADDIN CSL_CITATION {"citationItems":[{"id":"ITEM-1","itemData":{"author":[{"dropping-particle":"","family":"Багирова","given":"Н.С.","non-dropping-particle":"","parse-names":false,"suffix":""}],"container-title":"Злокачественные опухоли","id":"ITEM-1","issue":"3","issued":{"date-parts":[["2014"]]},"page":"164-171","title":"Инфекции, связанные с внутрисосудистыми устройствами: терминология, диагностика, профилактика и терапия","type":"article-journal"},"uris":["http://www.mendeley.com/documents/?uuid=fee4a9db-618b-4f34-9352-2ad7841cc05f","http://www.mendeley.com/documents/?uuid=973153ce-d078-4e08-a598-f09e2ab23f94"]}],"mendeley":{"formattedCitation":"[102]","plainTextFormattedCitation":"[102]","previouslyFormattedCitation":"[102]"},"properties":{"noteIndex":0},"schema":"https://github.com/citation-style-language/schema/raw/master/csl-citation.json"}</w:instrText>
      </w:r>
      <w:r w:rsidRPr="00952000">
        <w:rPr>
          <w:szCs w:val="24"/>
        </w:rPr>
        <w:fldChar w:fldCharType="separate"/>
      </w:r>
      <w:r w:rsidR="004D13EB" w:rsidRPr="004D13EB">
        <w:rPr>
          <w:noProof/>
          <w:szCs w:val="24"/>
        </w:rPr>
        <w:t>[102]</w:t>
      </w:r>
      <w:r w:rsidRPr="00952000">
        <w:rPr>
          <w:szCs w:val="24"/>
        </w:rPr>
        <w:fldChar w:fldCharType="end"/>
      </w:r>
      <w:r w:rsidRPr="00952000">
        <w:rPr>
          <w:szCs w:val="24"/>
        </w:rPr>
        <w:t>.</w:t>
      </w:r>
    </w:p>
    <w:p w14:paraId="24A47D77" w14:textId="77777777" w:rsidR="0034590E" w:rsidRPr="00952000" w:rsidRDefault="0034590E" w:rsidP="0034590E">
      <w:pPr>
        <w:ind w:left="360"/>
        <w:rPr>
          <w:szCs w:val="24"/>
        </w:rPr>
      </w:pPr>
      <w:r w:rsidRPr="00952000">
        <w:rPr>
          <w:szCs w:val="24"/>
        </w:rPr>
        <w:t>При применении туннелируемых катетеров могут возникать следующие виды инфицирования:</w:t>
      </w:r>
    </w:p>
    <w:p w14:paraId="556DF2FB" w14:textId="77777777" w:rsidR="0034590E" w:rsidRPr="00952000" w:rsidRDefault="0034590E" w:rsidP="00A72B1B">
      <w:pPr>
        <w:pStyle w:val="afd"/>
        <w:numPr>
          <w:ilvl w:val="0"/>
          <w:numId w:val="43"/>
        </w:numPr>
        <w:rPr>
          <w:i/>
          <w:szCs w:val="24"/>
        </w:rPr>
      </w:pPr>
      <w:r w:rsidRPr="00952000">
        <w:rPr>
          <w:i/>
          <w:szCs w:val="24"/>
        </w:rPr>
        <w:t xml:space="preserve">Туннельная инфекция – </w:t>
      </w:r>
      <w:r w:rsidRPr="00952000">
        <w:rPr>
          <w:szCs w:val="24"/>
        </w:rPr>
        <w:t xml:space="preserve">местное воспаление по ходу сформированного туннеля от места выходного отверстия катетера до манжеты или с локализацией только в </w:t>
      </w:r>
      <w:r w:rsidRPr="00952000">
        <w:rPr>
          <w:iCs/>
          <w:szCs w:val="24"/>
        </w:rPr>
        <w:t>области фиксации манжеты</w:t>
      </w:r>
      <w:r w:rsidRPr="00952000">
        <w:rPr>
          <w:i/>
          <w:szCs w:val="24"/>
        </w:rPr>
        <w:t>.</w:t>
      </w:r>
    </w:p>
    <w:p w14:paraId="760F5C39" w14:textId="77777777" w:rsidR="0034590E" w:rsidRPr="00952000" w:rsidRDefault="0034590E" w:rsidP="00A72B1B">
      <w:pPr>
        <w:pStyle w:val="afd"/>
        <w:numPr>
          <w:ilvl w:val="0"/>
          <w:numId w:val="43"/>
        </w:numPr>
        <w:rPr>
          <w:szCs w:val="24"/>
        </w:rPr>
      </w:pPr>
      <w:r w:rsidRPr="00952000">
        <w:rPr>
          <w:i/>
          <w:szCs w:val="24"/>
        </w:rPr>
        <w:t xml:space="preserve">Инфекция выходного отверстия – </w:t>
      </w:r>
      <w:r w:rsidRPr="00952000">
        <w:rPr>
          <w:szCs w:val="24"/>
        </w:rPr>
        <w:t>местное воспаление, с локализацией только в месте выхода катетера на поверхность кожи.</w:t>
      </w:r>
    </w:p>
    <w:p w14:paraId="4651FD21" w14:textId="77777777" w:rsidR="0034590E" w:rsidRPr="00952000" w:rsidRDefault="0034590E" w:rsidP="00A72B1B">
      <w:pPr>
        <w:pStyle w:val="afd"/>
        <w:numPr>
          <w:ilvl w:val="0"/>
          <w:numId w:val="43"/>
        </w:numPr>
        <w:rPr>
          <w:szCs w:val="24"/>
        </w:rPr>
      </w:pPr>
      <w:r w:rsidRPr="00952000">
        <w:rPr>
          <w:i/>
          <w:szCs w:val="24"/>
        </w:rPr>
        <w:t xml:space="preserve">Инфекция подкожного кармана – </w:t>
      </w:r>
      <w:r w:rsidRPr="00952000">
        <w:rPr>
          <w:szCs w:val="24"/>
        </w:rPr>
        <w:t xml:space="preserve">местное воспаление, локализующееся в месте установки камеры порт-системы. </w:t>
      </w:r>
    </w:p>
    <w:p w14:paraId="5268AFBB" w14:textId="77777777" w:rsidR="0034590E" w:rsidRDefault="0034590E" w:rsidP="0034590E">
      <w:pPr>
        <w:rPr>
          <w:rFonts w:eastAsia="Arial Unicode MS"/>
          <w:b/>
          <w:bCs/>
          <w:szCs w:val="24"/>
          <w:lang w:eastAsia="ru-RU"/>
        </w:rPr>
      </w:pPr>
    </w:p>
    <w:p w14:paraId="152A837C" w14:textId="77777777" w:rsidR="0034590E" w:rsidRPr="009F4EC0" w:rsidRDefault="0034590E" w:rsidP="0034590E">
      <w:pPr>
        <w:rPr>
          <w:rFonts w:eastAsia="Arial Unicode MS"/>
          <w:i/>
          <w:iCs/>
          <w:szCs w:val="24"/>
          <w:u w:val="single"/>
          <w:lang w:eastAsia="ru-RU"/>
        </w:rPr>
      </w:pPr>
      <w:r w:rsidRPr="009F4EC0">
        <w:rPr>
          <w:rFonts w:eastAsia="Arial Unicode MS"/>
          <w:i/>
          <w:iCs/>
          <w:szCs w:val="24"/>
          <w:u w:val="single"/>
          <w:lang w:eastAsia="ru-RU"/>
        </w:rPr>
        <w:t>Способы контроля дистального конца ЦВК</w:t>
      </w:r>
    </w:p>
    <w:p w14:paraId="1B02EAC4" w14:textId="77777777" w:rsidR="0034590E" w:rsidRPr="009F4EC0" w:rsidRDefault="0034590E" w:rsidP="0034590E">
      <w:pPr>
        <w:rPr>
          <w:rFonts w:eastAsia="Arial Unicode MS"/>
          <w:i/>
          <w:iCs/>
          <w:szCs w:val="24"/>
          <w:lang w:eastAsia="ru-RU"/>
        </w:rPr>
      </w:pPr>
      <w:r w:rsidRPr="009F4EC0">
        <w:rPr>
          <w:rFonts w:eastAsia="Arial Unicode MS"/>
          <w:i/>
          <w:iCs/>
          <w:szCs w:val="24"/>
          <w:lang w:eastAsia="ru-RU"/>
        </w:rPr>
        <w:t>Электрокардиографический метод</w:t>
      </w:r>
    </w:p>
    <w:p w14:paraId="59F515F4" w14:textId="77777777" w:rsidR="0034590E" w:rsidRPr="00952000" w:rsidRDefault="0034590E" w:rsidP="0034590E">
      <w:pPr>
        <w:rPr>
          <w:rFonts w:eastAsia="Arial Unicode MS"/>
          <w:strike/>
          <w:szCs w:val="24"/>
          <w:lang w:eastAsia="ru-RU"/>
        </w:rPr>
      </w:pPr>
      <w:r w:rsidRPr="00952000">
        <w:rPr>
          <w:rFonts w:eastAsia="Arial Unicode MS"/>
          <w:szCs w:val="24"/>
          <w:lang w:eastAsia="ru-RU"/>
        </w:rPr>
        <w:t xml:space="preserve">Для контроля положения ЦВК, снабженных штатным электродом, используют эндовенозную </w:t>
      </w:r>
      <w:r w:rsidRPr="00952000">
        <w:rPr>
          <w:szCs w:val="24"/>
        </w:rPr>
        <w:t>электрокардиографию (</w:t>
      </w:r>
      <w:r w:rsidRPr="00952000">
        <w:rPr>
          <w:rFonts w:eastAsia="Arial Unicode MS"/>
          <w:szCs w:val="24"/>
          <w:lang w:eastAsia="ru-RU"/>
        </w:rPr>
        <w:t xml:space="preserve">ЭКГ). Она позволяет позиционировать дистальный конец ЦВК, не увеличивая время установки, по изменениям Р-зубца ЭКГ. </w:t>
      </w:r>
    </w:p>
    <w:p w14:paraId="2A5806B0" w14:textId="77777777" w:rsidR="0034590E" w:rsidRDefault="0034590E" w:rsidP="0034590E">
      <w:pPr>
        <w:rPr>
          <w:rFonts w:eastAsia="ＭＳ 明朝 (Основной текст темы (ази"/>
          <w:b/>
          <w:bCs/>
          <w:szCs w:val="24"/>
          <w:lang w:eastAsia="ru-RU"/>
        </w:rPr>
      </w:pPr>
    </w:p>
    <w:p w14:paraId="0E0547A3" w14:textId="77777777" w:rsidR="0034590E" w:rsidRPr="009F4EC0" w:rsidRDefault="0034590E" w:rsidP="0034590E">
      <w:pPr>
        <w:rPr>
          <w:rFonts w:eastAsia="ＭＳ 明朝 (Основной текст темы (ази"/>
          <w:i/>
          <w:iCs/>
          <w:szCs w:val="24"/>
          <w:lang w:eastAsia="ru-RU"/>
        </w:rPr>
      </w:pPr>
      <w:r w:rsidRPr="009F4EC0">
        <w:rPr>
          <w:rFonts w:eastAsia="ＭＳ 明朝 (Основной текст темы (ази"/>
          <w:i/>
          <w:iCs/>
          <w:szCs w:val="24"/>
          <w:lang w:eastAsia="ru-RU"/>
        </w:rPr>
        <w:t xml:space="preserve">Рентгенологический метод </w:t>
      </w:r>
    </w:p>
    <w:p w14:paraId="7B99E671" w14:textId="77777777" w:rsidR="0034590E" w:rsidRPr="00952000" w:rsidRDefault="0034590E" w:rsidP="0034590E">
      <w:pPr>
        <w:rPr>
          <w:strike/>
          <w:szCs w:val="24"/>
        </w:rPr>
      </w:pPr>
      <w:r w:rsidRPr="00952000">
        <w:rPr>
          <w:rFonts w:eastAsia="ＭＳ 明朝 (Основной текст темы (ази"/>
          <w:szCs w:val="24"/>
          <w:lang w:eastAsia="ru-RU"/>
        </w:rPr>
        <w:lastRenderedPageBreak/>
        <w:t xml:space="preserve">При установке туннелируемых ЦВК, ПИЦВК, порт-систем, а также в </w:t>
      </w:r>
      <w:r w:rsidRPr="00952000">
        <w:rPr>
          <w:szCs w:val="24"/>
        </w:rPr>
        <w:t>случаях мерцательной аритмии или ритма, навязанного кардиостимулятором, положение дистального конца ЦВК подтверждают рентгенологически:</w:t>
      </w:r>
      <w:r w:rsidRPr="00952000">
        <w:rPr>
          <w:strike/>
          <w:szCs w:val="24"/>
        </w:rPr>
        <w:t xml:space="preserve"> </w:t>
      </w:r>
    </w:p>
    <w:p w14:paraId="5A2A8006" w14:textId="77777777" w:rsidR="0034590E" w:rsidRPr="00952000" w:rsidRDefault="0034590E" w:rsidP="0034590E">
      <w:pPr>
        <w:rPr>
          <w:szCs w:val="24"/>
        </w:rPr>
      </w:pPr>
      <w:r w:rsidRPr="00952000">
        <w:rPr>
          <w:szCs w:val="24"/>
        </w:rPr>
        <w:t xml:space="preserve">- на </w:t>
      </w:r>
      <w:r w:rsidRPr="00952000">
        <w:rPr>
          <w:bCs/>
          <w:szCs w:val="24"/>
        </w:rPr>
        <w:t xml:space="preserve">рентгенограмме грудной клетки дистальный конец ЦВК должен был находиться между </w:t>
      </w:r>
      <w:r w:rsidRPr="00952000">
        <w:rPr>
          <w:bCs/>
          <w:szCs w:val="24"/>
          <w:lang w:val="en-US"/>
        </w:rPr>
        <w:t>V</w:t>
      </w:r>
      <w:r w:rsidRPr="00952000">
        <w:rPr>
          <w:bCs/>
          <w:szCs w:val="24"/>
        </w:rPr>
        <w:t xml:space="preserve"> и </w:t>
      </w:r>
      <w:r w:rsidRPr="00952000">
        <w:rPr>
          <w:bCs/>
          <w:szCs w:val="24"/>
          <w:lang w:val="en-US"/>
        </w:rPr>
        <w:t>VI</w:t>
      </w:r>
      <w:r w:rsidRPr="00952000">
        <w:rPr>
          <w:bCs/>
          <w:szCs w:val="24"/>
        </w:rPr>
        <w:t xml:space="preserve"> грудными позвонками. </w:t>
      </w:r>
    </w:p>
    <w:p w14:paraId="2B7E5380" w14:textId="77777777" w:rsidR="0034590E" w:rsidRPr="00952000" w:rsidRDefault="0034590E" w:rsidP="0034590E">
      <w:pPr>
        <w:widowControl w:val="0"/>
        <w:ind w:firstLine="708"/>
        <w:rPr>
          <w:szCs w:val="24"/>
        </w:rPr>
      </w:pPr>
      <w:r w:rsidRPr="00952000">
        <w:rPr>
          <w:szCs w:val="24"/>
        </w:rPr>
        <w:t>- также ориентиром для позиционирования дистального конца ЦВК является правый трахебронхиальный угол, который соответствует верхней границе верхней полой вены. Каваатриальное соединение находится на 3 см ниже этого угла.</w:t>
      </w:r>
    </w:p>
    <w:p w14:paraId="28562FDE" w14:textId="77777777" w:rsidR="0034590E" w:rsidRPr="00952000" w:rsidRDefault="0034590E" w:rsidP="0034590E">
      <w:pPr>
        <w:widowControl w:val="0"/>
        <w:ind w:firstLine="708"/>
        <w:rPr>
          <w:szCs w:val="24"/>
        </w:rPr>
      </w:pPr>
      <w:r w:rsidRPr="00952000">
        <w:rPr>
          <w:szCs w:val="24"/>
        </w:rPr>
        <w:t>- рентгенологическим ориентиром впадения ВПВ в правое предсердие также является пересечение дуги правой границы сердца и линии, идущей вдоль правой границы средостения.</w:t>
      </w:r>
    </w:p>
    <w:p w14:paraId="0D770D60" w14:textId="77777777" w:rsidR="0034590E" w:rsidRDefault="0034590E" w:rsidP="0034590E">
      <w:pPr>
        <w:rPr>
          <w:b/>
          <w:bCs/>
          <w:szCs w:val="24"/>
        </w:rPr>
      </w:pPr>
    </w:p>
    <w:p w14:paraId="2B48D86B" w14:textId="77777777" w:rsidR="0034590E" w:rsidRPr="009F4EC0" w:rsidRDefault="0034590E" w:rsidP="0034590E">
      <w:pPr>
        <w:ind w:firstLine="708"/>
        <w:rPr>
          <w:i/>
          <w:iCs/>
          <w:szCs w:val="24"/>
          <w:u w:val="single"/>
        </w:rPr>
      </w:pPr>
      <w:r w:rsidRPr="009F4EC0">
        <w:rPr>
          <w:i/>
          <w:iCs/>
          <w:szCs w:val="24"/>
          <w:u w:val="single"/>
        </w:rPr>
        <w:t>Обследование пациента, подготовка к манипуляции</w:t>
      </w:r>
    </w:p>
    <w:p w14:paraId="24A351B9" w14:textId="77777777" w:rsidR="0034590E" w:rsidRPr="00952000" w:rsidRDefault="0034590E" w:rsidP="0034590E">
      <w:pPr>
        <w:ind w:firstLine="708"/>
        <w:rPr>
          <w:szCs w:val="24"/>
        </w:rPr>
      </w:pPr>
      <w:r w:rsidRPr="00952000">
        <w:rPr>
          <w:szCs w:val="24"/>
        </w:rPr>
        <w:t xml:space="preserve">Для обеспечения сосудистого доступа необходима консультация врачом-анестезиологом-реаниматологом. </w:t>
      </w:r>
    </w:p>
    <w:p w14:paraId="2882D94F" w14:textId="77777777" w:rsidR="0034590E" w:rsidRPr="00952000" w:rsidRDefault="0034590E" w:rsidP="0034590E">
      <w:pPr>
        <w:ind w:firstLine="708"/>
        <w:rPr>
          <w:szCs w:val="24"/>
        </w:rPr>
      </w:pPr>
      <w:r w:rsidRPr="00952000">
        <w:rPr>
          <w:szCs w:val="24"/>
        </w:rPr>
        <w:t>Физикальный осмотр проводится перед катетеризацией на наличие воспалительных и послеоперационных изменений кожи в местах возможной пункции вен, наличие увеличенных и изменённых лимфоузлов, препятствующих катетеризации, наличие усиленного подкожного рисунка вен, наличие клинических проявлений синдрома сдавления верхней полой вены (осиплость голоса, одышка, кашель, невозможность принятия горизонтального положения и т. д.) Уточняются анамнестические данные – количество предшествующих катетеризаций, имели ли место осложнения катетеризации; интенсивность и сроки планируемого лечения, возможные осложнения (неблагоприятные реакции) терапии, возможность применения других методов лечения, например, лучевой терапии.</w:t>
      </w:r>
    </w:p>
    <w:p w14:paraId="3ED780E5" w14:textId="77777777" w:rsidR="0034590E" w:rsidRDefault="0034590E" w:rsidP="0034590E">
      <w:pPr>
        <w:ind w:firstLine="708"/>
        <w:rPr>
          <w:b/>
          <w:bCs/>
          <w:szCs w:val="24"/>
          <w:shd w:val="clear" w:color="auto" w:fill="FFFFFF"/>
        </w:rPr>
      </w:pPr>
    </w:p>
    <w:p w14:paraId="6C7898D2" w14:textId="77777777" w:rsidR="0034590E" w:rsidRPr="009F4EC0" w:rsidRDefault="0034590E" w:rsidP="0034590E">
      <w:pPr>
        <w:ind w:firstLine="708"/>
        <w:rPr>
          <w:i/>
          <w:iCs/>
          <w:szCs w:val="24"/>
          <w:shd w:val="clear" w:color="auto" w:fill="FFFFFF"/>
        </w:rPr>
      </w:pPr>
      <w:r w:rsidRPr="009F4EC0">
        <w:rPr>
          <w:i/>
          <w:iCs/>
          <w:szCs w:val="24"/>
          <w:shd w:val="clear" w:color="auto" w:fill="FFFFFF"/>
        </w:rPr>
        <w:t>Лабораторная диагностика.</w:t>
      </w:r>
    </w:p>
    <w:p w14:paraId="698BA301" w14:textId="77777777" w:rsidR="0034590E" w:rsidRPr="00952000" w:rsidRDefault="0034590E" w:rsidP="0034590E">
      <w:pPr>
        <w:rPr>
          <w:szCs w:val="24"/>
          <w:shd w:val="clear" w:color="auto" w:fill="FFFFFF"/>
        </w:rPr>
      </w:pPr>
      <w:r w:rsidRPr="00952000">
        <w:rPr>
          <w:szCs w:val="24"/>
          <w:shd w:val="clear" w:color="auto" w:fill="FFFFFF"/>
        </w:rPr>
        <w:t>Перед установкой ЦВК необходимо выполнить:</w:t>
      </w:r>
    </w:p>
    <w:p w14:paraId="2CF93ACD" w14:textId="77777777" w:rsidR="0034590E" w:rsidRPr="00952000" w:rsidRDefault="0034590E" w:rsidP="00A72B1B">
      <w:pPr>
        <w:pStyle w:val="afd"/>
        <w:numPr>
          <w:ilvl w:val="0"/>
          <w:numId w:val="46"/>
        </w:numPr>
        <w:rPr>
          <w:i/>
          <w:szCs w:val="24"/>
          <w:shd w:val="clear" w:color="auto" w:fill="FFFFFF"/>
        </w:rPr>
      </w:pPr>
      <w:r w:rsidRPr="00952000">
        <w:rPr>
          <w:szCs w:val="24"/>
        </w:rPr>
        <w:t>общий (клинический) анализ крови развернутый (при необходимости – с исследованием уровня тромбоцитов в крови по мазку)</w:t>
      </w:r>
    </w:p>
    <w:p w14:paraId="7051915A" w14:textId="77777777" w:rsidR="0034590E" w:rsidRPr="00952000" w:rsidRDefault="0034590E" w:rsidP="00A72B1B">
      <w:pPr>
        <w:pStyle w:val="afd"/>
        <w:numPr>
          <w:ilvl w:val="0"/>
          <w:numId w:val="45"/>
        </w:numPr>
        <w:rPr>
          <w:szCs w:val="24"/>
        </w:rPr>
      </w:pPr>
      <w:r w:rsidRPr="00952000">
        <w:rPr>
          <w:szCs w:val="24"/>
          <w:shd w:val="clear" w:color="auto" w:fill="FFFFFF"/>
        </w:rPr>
        <w:t>коагулограмма с определением АЧТВ, протромбинового индекса, фибриногена, при необходимости – с и</w:t>
      </w:r>
      <w:r w:rsidRPr="00952000">
        <w:rPr>
          <w:szCs w:val="24"/>
        </w:rPr>
        <w:t>сследованием агрегации тромбоцитов</w:t>
      </w:r>
    </w:p>
    <w:p w14:paraId="04422375" w14:textId="77777777" w:rsidR="0034590E" w:rsidRPr="00952000" w:rsidRDefault="0034590E" w:rsidP="00A72B1B">
      <w:pPr>
        <w:pStyle w:val="afd"/>
        <w:numPr>
          <w:ilvl w:val="0"/>
          <w:numId w:val="45"/>
        </w:numPr>
        <w:rPr>
          <w:szCs w:val="24"/>
        </w:rPr>
      </w:pPr>
      <w:r w:rsidRPr="00952000">
        <w:rPr>
          <w:szCs w:val="24"/>
        </w:rPr>
        <w:t xml:space="preserve">определение активности факторов </w:t>
      </w:r>
      <w:r w:rsidRPr="00952000">
        <w:rPr>
          <w:szCs w:val="24"/>
          <w:lang w:val="en-US"/>
        </w:rPr>
        <w:t>VIII</w:t>
      </w:r>
      <w:r w:rsidRPr="00952000">
        <w:rPr>
          <w:szCs w:val="24"/>
        </w:rPr>
        <w:t xml:space="preserve">, </w:t>
      </w:r>
      <w:r w:rsidRPr="00952000">
        <w:rPr>
          <w:szCs w:val="24"/>
          <w:lang w:val="en-US"/>
        </w:rPr>
        <w:t>IX</w:t>
      </w:r>
      <w:r w:rsidRPr="00952000">
        <w:rPr>
          <w:szCs w:val="24"/>
        </w:rPr>
        <w:t xml:space="preserve"> и иных в сыворотке крови – по показаниям</w:t>
      </w:r>
    </w:p>
    <w:p w14:paraId="7856F96C" w14:textId="77777777" w:rsidR="0034590E" w:rsidRPr="00952000" w:rsidRDefault="0034590E" w:rsidP="00A72B1B">
      <w:pPr>
        <w:pStyle w:val="afd"/>
        <w:numPr>
          <w:ilvl w:val="0"/>
          <w:numId w:val="45"/>
        </w:numPr>
        <w:rPr>
          <w:szCs w:val="24"/>
        </w:rPr>
      </w:pPr>
      <w:r w:rsidRPr="00952000">
        <w:rPr>
          <w:szCs w:val="24"/>
        </w:rPr>
        <w:lastRenderedPageBreak/>
        <w:t>определение основных групп крови, определение подгруппы м других групп крови меньшего значения, определение резус-фактора</w:t>
      </w:r>
    </w:p>
    <w:p w14:paraId="3BAB8DBC" w14:textId="77777777" w:rsidR="0034590E" w:rsidRDefault="0034590E" w:rsidP="0034590E">
      <w:pPr>
        <w:ind w:firstLine="708"/>
        <w:rPr>
          <w:b/>
          <w:bCs/>
          <w:szCs w:val="24"/>
        </w:rPr>
      </w:pPr>
    </w:p>
    <w:p w14:paraId="3F69358C" w14:textId="77777777" w:rsidR="0034590E" w:rsidRPr="009F4EC0" w:rsidRDefault="0034590E" w:rsidP="0034590E">
      <w:pPr>
        <w:ind w:firstLine="708"/>
        <w:rPr>
          <w:i/>
          <w:iCs/>
          <w:szCs w:val="24"/>
        </w:rPr>
      </w:pPr>
      <w:r w:rsidRPr="009F4EC0">
        <w:rPr>
          <w:i/>
          <w:iCs/>
          <w:szCs w:val="24"/>
        </w:rPr>
        <w:t>Инструментальная диагностика</w:t>
      </w:r>
    </w:p>
    <w:p w14:paraId="423803F1" w14:textId="77777777" w:rsidR="0034590E" w:rsidRPr="00952000" w:rsidRDefault="0034590E" w:rsidP="0034590E">
      <w:pPr>
        <w:rPr>
          <w:szCs w:val="24"/>
        </w:rPr>
      </w:pPr>
      <w:r w:rsidRPr="00952000">
        <w:rPr>
          <w:szCs w:val="24"/>
        </w:rPr>
        <w:t>Перед выполнением катетеризации необходимо выполнить:</w:t>
      </w:r>
    </w:p>
    <w:p w14:paraId="79FC0459" w14:textId="77777777" w:rsidR="0034590E" w:rsidRPr="00DB2B4A" w:rsidRDefault="0034590E" w:rsidP="00A72B1B">
      <w:pPr>
        <w:pStyle w:val="afd"/>
        <w:numPr>
          <w:ilvl w:val="0"/>
          <w:numId w:val="45"/>
        </w:numPr>
        <w:rPr>
          <w:szCs w:val="24"/>
        </w:rPr>
      </w:pPr>
      <w:r w:rsidRPr="00DB2B4A">
        <w:rPr>
          <w:szCs w:val="24"/>
        </w:rPr>
        <w:t xml:space="preserve">рентгенография органов грудной клетки или </w:t>
      </w:r>
      <w:r w:rsidRPr="00DB2B4A">
        <w:rPr>
          <w:szCs w:val="24"/>
          <w:shd w:val="clear" w:color="auto" w:fill="FFFFFF" w:themeFill="background1"/>
        </w:rPr>
        <w:t>– предпочтительно</w:t>
      </w:r>
      <w:r w:rsidRPr="00DB2B4A">
        <w:rPr>
          <w:szCs w:val="24"/>
        </w:rPr>
        <w:t xml:space="preserve"> </w:t>
      </w:r>
      <w:r>
        <w:rPr>
          <w:szCs w:val="24"/>
        </w:rPr>
        <w:t xml:space="preserve">– </w:t>
      </w:r>
      <w:r w:rsidRPr="00DB2B4A">
        <w:rPr>
          <w:szCs w:val="24"/>
        </w:rPr>
        <w:t>компьютерная томография органов грудной клетки (КТ)</w:t>
      </w:r>
      <w:r w:rsidRPr="00DB2B4A">
        <w:rPr>
          <w:szCs w:val="24"/>
          <w:shd w:val="clear" w:color="auto" w:fill="FFFFFF" w:themeFill="background1"/>
        </w:rPr>
        <w:t>, с болюсным контрастным усилением (по показаниям)</w:t>
      </w:r>
    </w:p>
    <w:p w14:paraId="543FB554" w14:textId="77777777" w:rsidR="0034590E" w:rsidRPr="00952000" w:rsidRDefault="0034590E" w:rsidP="00A72B1B">
      <w:pPr>
        <w:pStyle w:val="afd"/>
        <w:numPr>
          <w:ilvl w:val="0"/>
          <w:numId w:val="45"/>
        </w:numPr>
        <w:rPr>
          <w:szCs w:val="24"/>
        </w:rPr>
      </w:pPr>
      <w:r w:rsidRPr="00952000">
        <w:rPr>
          <w:szCs w:val="24"/>
        </w:rPr>
        <w:t xml:space="preserve">ультразвуковое агиосканирование </w:t>
      </w:r>
    </w:p>
    <w:p w14:paraId="2B1C400B" w14:textId="77777777" w:rsidR="0034590E" w:rsidRPr="00952000" w:rsidRDefault="0034590E" w:rsidP="00A72B1B">
      <w:pPr>
        <w:pStyle w:val="afd"/>
        <w:numPr>
          <w:ilvl w:val="0"/>
          <w:numId w:val="45"/>
        </w:numPr>
        <w:rPr>
          <w:szCs w:val="24"/>
        </w:rPr>
      </w:pPr>
      <w:r w:rsidRPr="00952000">
        <w:rPr>
          <w:szCs w:val="24"/>
        </w:rPr>
        <w:t>ЭКГ</w:t>
      </w:r>
    </w:p>
    <w:p w14:paraId="75D1A861" w14:textId="4A207EEE" w:rsidR="0034590E" w:rsidRPr="00952000" w:rsidRDefault="0034590E" w:rsidP="0034590E">
      <w:pPr>
        <w:pStyle w:val="affff"/>
        <w:spacing w:beforeAutospacing="0" w:afterAutospacing="0" w:line="360" w:lineRule="auto"/>
      </w:pPr>
      <w:r w:rsidRPr="00952000">
        <w:t xml:space="preserve">Ультразвуковое сопровождение в реальном времени обеспечивает возможность выбора направления иглы при пункции внутренней яремной, аксиллярной, подмышечной или бедренной вены, позволяя тем самым избежать случайного ранение артерии </w:t>
      </w:r>
      <w:r w:rsidRPr="00952000">
        <w:fldChar w:fldCharType="begin" w:fldLock="1"/>
      </w:r>
      <w:r w:rsidR="00F44253">
        <w:instrText>ADDIN CSL_CITATION {"citationItems":[{"id":"ITEM-1","itemData":{"DOI":"10.2147/RMHP.S10383","ISSN":"1179-1594","PMID":"22312225","abstract":"Central venous cannulation is a commonly performed procedure which facilitates resuscitation, nutritional support, and long-term vascular access. Mechanical complications most often occur during insertion and are intimately related to the anatomic relationship of the central veins. Working knowledge of surface and deep anatomy minimizes complications. Use of surface anatomic landmarks to orient the deep course of cannulating needle tracts appropriately comprises the crux of complication avoidance. The authors describe use of surface landmarks to facilitate safe placement of internal jugular, subclavian, and femoral venous catheters. The role of real-time sonography as a safety-enhancing adjunct is reviewed.","author":[{"dropping-particle":"","family":"Bannon","given":"Michael P","non-dropping-particle":"","parse-names":false,"suffix":""},{"dropping-particle":"","family":"Heller","given":"Stephanie F","non-dropping-particle":"","parse-names":false,"suffix":""},{"dropping-particle":"","family":"Rivera","given":"Mariela","non-dropping-particle":"","parse-names":false,"suffix":""}],"container-title":"Risk management and healthcare policy","id":"ITEM-1","issued":{"date-parts":[["2011"]]},"page":"27-39","publisher":"Dove Press","title":"Anatomic considerations for central venous cannulation.","type":"article-journal","volume":"4"},"uris":["http://www.mendeley.com/documents/?uuid=f27d2d96-8c0e-37ae-a769-16d58b15a227","http://www.mendeley.com/documents/?uuid=f0df5ed8-bde5-4ae2-bb07-d53d990cfba6"]}],"mendeley":{"formattedCitation":"[103]","plainTextFormattedCitation":"[103]","previouslyFormattedCitation":"[103]"},"properties":{"noteIndex":0},"schema":"https://github.com/citation-style-language/schema/raw/master/csl-citation.json"}</w:instrText>
      </w:r>
      <w:r w:rsidRPr="00952000">
        <w:fldChar w:fldCharType="separate"/>
      </w:r>
      <w:r w:rsidR="004D13EB" w:rsidRPr="004D13EB">
        <w:rPr>
          <w:noProof/>
        </w:rPr>
        <w:t>[103]</w:t>
      </w:r>
      <w:r w:rsidRPr="00952000">
        <w:fldChar w:fldCharType="end"/>
      </w:r>
      <w:r w:rsidRPr="00952000">
        <w:t>.</w:t>
      </w:r>
    </w:p>
    <w:p w14:paraId="07358EE6" w14:textId="77777777" w:rsidR="0034590E" w:rsidRPr="00952000" w:rsidRDefault="0034590E" w:rsidP="0034590E">
      <w:pPr>
        <w:pStyle w:val="affff"/>
        <w:spacing w:beforeAutospacing="0" w:afterAutospacing="0" w:line="360" w:lineRule="auto"/>
        <w:rPr>
          <w:strike/>
        </w:rPr>
      </w:pPr>
      <w:r w:rsidRPr="00952000">
        <w:t>Использование ультразвукового сопровождения даже при установке ЦВК при тромбоцитопении менее 20х10</w:t>
      </w:r>
      <w:r w:rsidRPr="00952000">
        <w:rPr>
          <w:vertAlign w:val="superscript"/>
        </w:rPr>
        <w:t>9</w:t>
      </w:r>
      <w:r w:rsidRPr="00952000">
        <w:t>/л позволяет избежать серьезных геморрагических осложнений.</w:t>
      </w:r>
    </w:p>
    <w:p w14:paraId="2CB7B232" w14:textId="4FE6329C" w:rsidR="0034590E" w:rsidRPr="00952000" w:rsidRDefault="0034590E" w:rsidP="0034590E">
      <w:pPr>
        <w:pStyle w:val="affff"/>
        <w:spacing w:beforeAutospacing="0" w:afterAutospacing="0" w:line="360" w:lineRule="auto"/>
      </w:pPr>
      <w:r w:rsidRPr="00952000">
        <w:t xml:space="preserve">В настоящее время УЗИ считается «золотым стандартом» при установке центрального венозного катетера с использованием яремного доступа, так как ВЯВ близко прилежит к поверхности кожи, нет мышц, которые бы могли затруднить визуализацию </w:t>
      </w:r>
      <w:r w:rsidRPr="00952000">
        <w:fldChar w:fldCharType="begin" w:fldLock="1"/>
      </w:r>
      <w:r w:rsidR="00F44253">
        <w:instrText>ADDIN CSL_CITATION {"citationItems":[{"id":"ITEM-1","itemData":{"DOI":"10.1097/01.CCM.0000171533.92856.E5","ISSN":"0090-3493","author":[{"dropping-particle":"","family":"Milling","given":"Truman J.","non-dropping-particle":"","parse-names":false,"suffix":""},{"dropping-particle":"","family":"Rose","given":"John","non-dropping-particle":"","parse-names":false,"suffix":""},{"dropping-particle":"","family":"Briggs","given":"William M.","non-dropping-particle":"","parse-names":false,"suffix":""},{"dropping-particle":"","family":"Birkhahn","given":"Robert","non-dropping-particle":"","parse-names":false,"suffix":""},{"dropping-particle":"","family":"Gaeta","given":"Theodore J.","non-dropping-particle":"","parse-names":false,"suffix":""},{"dropping-particle":"","family":"Bove","given":"Joseph J.","non-dropping-particle":"","parse-names":false,"suffix":""},{"dropping-particle":"","family":"Melniker","given":"Lawrence A.","non-dropping-particle":"","parse-names":false,"suffix":""}],"container-title":"Critical Care Medicine","id":"ITEM-1","issue":"8","issued":{"date-parts":[["2005","8"]]},"page":"1764-1769","title":"Randomized, controlled clinical trial of point-of-care limited ultrasonography assistance of central venous cannulation: The Third Sonography Outcomes Assessment Program (SOAP-3) Trial*","type":"article-journal","volume":"33"},"uris":["http://www.mendeley.com/documents/?uuid=054ddacc-452c-3e56-9229-17632ae9ca05","http://www.mendeley.com/documents/?uuid=d52028d6-19cc-49b2-bfeb-b898ed00d7fe"]}],"mendeley":{"formattedCitation":"[104]","plainTextFormattedCitation":"[104]","previouslyFormattedCitation":"[104]"},"properties":{"noteIndex":0},"schema":"https://github.com/citation-style-language/schema/raw/master/csl-citation.json"}</w:instrText>
      </w:r>
      <w:r w:rsidRPr="00952000">
        <w:fldChar w:fldCharType="separate"/>
      </w:r>
      <w:r w:rsidR="004D13EB" w:rsidRPr="004D13EB">
        <w:rPr>
          <w:noProof/>
        </w:rPr>
        <w:t>[104]</w:t>
      </w:r>
      <w:r w:rsidRPr="00952000">
        <w:fldChar w:fldCharType="end"/>
      </w:r>
      <w:r w:rsidRPr="00952000">
        <w:t>. Помимо этого, правая ВЯВ образует практически прямую линию, что уменьшает травму сосуда и риск возникновения КАТ при использовании катетера.</w:t>
      </w:r>
    </w:p>
    <w:p w14:paraId="1E3BFB30" w14:textId="77777777" w:rsidR="0034590E" w:rsidRPr="00952000" w:rsidRDefault="0034590E" w:rsidP="0034590E">
      <w:pPr>
        <w:ind w:firstLine="700"/>
        <w:rPr>
          <w:rFonts w:eastAsia="Times New Roman"/>
          <w:szCs w:val="24"/>
          <w:lang w:eastAsia="ru-RU"/>
        </w:rPr>
      </w:pPr>
      <w:r w:rsidRPr="00952000">
        <w:rPr>
          <w:rFonts w:eastAsia="Times New Roman"/>
          <w:szCs w:val="24"/>
          <w:lang w:eastAsia="ru-RU"/>
        </w:rPr>
        <w:t xml:space="preserve">Ультразвуковое сопровождение катетеризации центральных вен не исключает знания анатомии и поверхностных анатомических ориентиров, которые остаются необходимыми для ориентации как иглы, так и самого ультразвукового датчика. Ультразвуковое сопровождение катетеризации позволяет визуализировать не только вену, но и располагающиеся вблизи анатомические структуры. </w:t>
      </w:r>
    </w:p>
    <w:p w14:paraId="7E201DCD" w14:textId="77777777" w:rsidR="0034590E" w:rsidRPr="00952000" w:rsidRDefault="0034590E" w:rsidP="0034590E">
      <w:pPr>
        <w:ind w:firstLine="708"/>
        <w:rPr>
          <w:szCs w:val="24"/>
        </w:rPr>
      </w:pPr>
      <w:r w:rsidRPr="00952000">
        <w:rPr>
          <w:szCs w:val="24"/>
        </w:rPr>
        <w:t>В случае выявления поражения средостения по данным рентгенологического исследования, а также при клинической картине синдрома сдавления верхней полой вены, перед катетеризацией необходимо выполнение КТ органов грудной клетки с болюсным контрастным усилением для оценки проходимости крупных венозных сосудов, диагностики тромботических осложнений.</w:t>
      </w:r>
    </w:p>
    <w:p w14:paraId="3124389C" w14:textId="77777777" w:rsidR="0034590E" w:rsidRDefault="0034590E" w:rsidP="0034590E">
      <w:pPr>
        <w:rPr>
          <w:b/>
          <w:bCs/>
          <w:szCs w:val="24"/>
        </w:rPr>
      </w:pPr>
    </w:p>
    <w:p w14:paraId="559C8B51" w14:textId="77777777" w:rsidR="0034590E" w:rsidRPr="009F4EC0" w:rsidRDefault="0034590E" w:rsidP="0034590E">
      <w:pPr>
        <w:ind w:firstLine="708"/>
        <w:rPr>
          <w:i/>
          <w:iCs/>
          <w:szCs w:val="24"/>
          <w:u w:val="single"/>
        </w:rPr>
      </w:pPr>
      <w:r w:rsidRPr="009F4EC0">
        <w:rPr>
          <w:i/>
          <w:iCs/>
          <w:szCs w:val="24"/>
          <w:u w:val="single"/>
        </w:rPr>
        <w:t>Профилактика осложнений</w:t>
      </w:r>
    </w:p>
    <w:p w14:paraId="719989AD" w14:textId="77777777" w:rsidR="0034590E" w:rsidRPr="009F4EC0" w:rsidRDefault="0034590E" w:rsidP="0034590E">
      <w:pPr>
        <w:ind w:firstLine="708"/>
        <w:rPr>
          <w:i/>
          <w:iCs/>
          <w:szCs w:val="24"/>
        </w:rPr>
      </w:pPr>
      <w:r w:rsidRPr="009F4EC0">
        <w:rPr>
          <w:i/>
          <w:iCs/>
          <w:szCs w:val="24"/>
        </w:rPr>
        <w:t>Методы профилактики ранних осложнений</w:t>
      </w:r>
    </w:p>
    <w:p w14:paraId="2A43973A" w14:textId="77777777" w:rsidR="0034590E" w:rsidRPr="00952000" w:rsidRDefault="0034590E" w:rsidP="00A72B1B">
      <w:pPr>
        <w:pStyle w:val="afd"/>
        <w:numPr>
          <w:ilvl w:val="0"/>
          <w:numId w:val="47"/>
        </w:numPr>
        <w:tabs>
          <w:tab w:val="left" w:pos="709"/>
        </w:tabs>
        <w:ind w:left="709"/>
        <w:rPr>
          <w:szCs w:val="24"/>
        </w:rPr>
      </w:pPr>
      <w:r w:rsidRPr="00952000">
        <w:rPr>
          <w:szCs w:val="24"/>
        </w:rPr>
        <w:lastRenderedPageBreak/>
        <w:t>Ультразвуковое сопровождение катетеризации центральных вен</w:t>
      </w:r>
    </w:p>
    <w:p w14:paraId="7E0D5CC4" w14:textId="77777777" w:rsidR="0034590E" w:rsidRPr="00952000" w:rsidRDefault="0034590E" w:rsidP="0034590E">
      <w:pPr>
        <w:ind w:firstLine="708"/>
        <w:rPr>
          <w:strike/>
          <w:szCs w:val="24"/>
        </w:rPr>
      </w:pPr>
      <w:r w:rsidRPr="00952000">
        <w:rPr>
          <w:szCs w:val="24"/>
        </w:rPr>
        <w:t>С использованием линейного датчика 10 МГц, который обеспечивает поверхность сканирования 20-50 мм и глубину до 80 мм или в допплеровском режиме.</w:t>
      </w:r>
    </w:p>
    <w:p w14:paraId="61ACBD18" w14:textId="77777777" w:rsidR="0034590E" w:rsidRPr="00952000" w:rsidRDefault="0034590E" w:rsidP="0034590E">
      <w:pPr>
        <w:ind w:firstLine="708"/>
        <w:rPr>
          <w:szCs w:val="24"/>
        </w:rPr>
      </w:pPr>
      <w:r w:rsidRPr="00952000">
        <w:rPr>
          <w:szCs w:val="24"/>
        </w:rPr>
        <w:t>Пункцию вены осуществляют в режиме постоянной визуализации острия иглы.</w:t>
      </w:r>
    </w:p>
    <w:p w14:paraId="3ADF1F28" w14:textId="77777777" w:rsidR="0034590E" w:rsidRPr="00952000" w:rsidRDefault="0034590E" w:rsidP="0034590E">
      <w:pPr>
        <w:ind w:firstLine="708"/>
        <w:rPr>
          <w:szCs w:val="24"/>
        </w:rPr>
      </w:pPr>
      <w:r w:rsidRPr="00952000">
        <w:rPr>
          <w:szCs w:val="24"/>
        </w:rPr>
        <w:t xml:space="preserve">Нарушения гемостаза компенсируются с помощью заместительной терапии компонентами крови. </w:t>
      </w:r>
    </w:p>
    <w:p w14:paraId="1CBB086A" w14:textId="77777777" w:rsidR="0034590E" w:rsidRPr="00952000" w:rsidRDefault="0034590E" w:rsidP="0034590E">
      <w:pPr>
        <w:ind w:firstLine="708"/>
        <w:rPr>
          <w:rFonts w:eastAsia="ＭＳ 明朝 (Основной текст темы (ази"/>
          <w:szCs w:val="24"/>
          <w:lang w:eastAsia="ru-RU"/>
        </w:rPr>
      </w:pPr>
      <w:r w:rsidRPr="00952000">
        <w:rPr>
          <w:szCs w:val="24"/>
        </w:rPr>
        <w:t>Трансфузию концентратов тромбоцитов выполняют при снижении их концентрации в периферической крови ниже 20х10</w:t>
      </w:r>
      <w:r w:rsidRPr="00952000">
        <w:rPr>
          <w:szCs w:val="24"/>
          <w:vertAlign w:val="superscript"/>
        </w:rPr>
        <w:t>9</w:t>
      </w:r>
      <w:r w:rsidRPr="00952000">
        <w:rPr>
          <w:szCs w:val="24"/>
        </w:rPr>
        <w:t xml:space="preserve">/л </w:t>
      </w:r>
      <w:r w:rsidRPr="00952000">
        <w:rPr>
          <w:rFonts w:eastAsia="ＭＳ 明朝 (Основной текст темы (ази"/>
          <w:szCs w:val="24"/>
          <w:lang w:eastAsia="ru-RU"/>
        </w:rPr>
        <w:t>из расчета 1 ед. или 0,6х10</w:t>
      </w:r>
      <w:r w:rsidRPr="00952000">
        <w:rPr>
          <w:rFonts w:eastAsia="ＭＳ 明朝 (Основной текст темы (ази"/>
          <w:szCs w:val="24"/>
          <w:vertAlign w:val="superscript"/>
          <w:lang w:eastAsia="ru-RU"/>
        </w:rPr>
        <w:t>11</w:t>
      </w:r>
      <w:r w:rsidRPr="00952000">
        <w:rPr>
          <w:rFonts w:eastAsia="ＭＳ 明朝 (Основной текст темы (ази"/>
          <w:szCs w:val="24"/>
          <w:lang w:eastAsia="ru-RU"/>
        </w:rPr>
        <w:t xml:space="preserve"> клеток на 10 кг массы тела либо 1 терапевтическая доза (2х10</w:t>
      </w:r>
      <w:r w:rsidRPr="00952000">
        <w:rPr>
          <w:rFonts w:eastAsia="ＭＳ 明朝 (Основной текст темы (ази"/>
          <w:szCs w:val="24"/>
          <w:vertAlign w:val="superscript"/>
          <w:lang w:eastAsia="ru-RU"/>
        </w:rPr>
        <w:t>11</w:t>
      </w:r>
      <w:r w:rsidRPr="00952000">
        <w:rPr>
          <w:rFonts w:eastAsia="ＭＳ 明朝 (Основной текст темы (ази"/>
          <w:szCs w:val="24"/>
          <w:lang w:eastAsia="ru-RU"/>
        </w:rPr>
        <w:t xml:space="preserve"> клеток) на 1 м</w:t>
      </w:r>
      <w:r w:rsidRPr="00952000">
        <w:rPr>
          <w:rFonts w:eastAsia="ＭＳ 明朝 (Основной текст темы (ази"/>
          <w:szCs w:val="24"/>
          <w:vertAlign w:val="superscript"/>
          <w:lang w:eastAsia="ru-RU"/>
        </w:rPr>
        <w:t>2</w:t>
      </w:r>
      <w:r w:rsidRPr="00952000">
        <w:rPr>
          <w:rFonts w:eastAsia="ＭＳ 明朝 (Основной текст темы (ази"/>
          <w:szCs w:val="24"/>
          <w:lang w:eastAsia="ru-RU"/>
        </w:rPr>
        <w:t xml:space="preserve"> поверхности тела.</w:t>
      </w:r>
    </w:p>
    <w:p w14:paraId="4E3E9DE7" w14:textId="77777777" w:rsidR="0034590E" w:rsidRPr="00952000" w:rsidRDefault="0034590E" w:rsidP="0034590E">
      <w:pPr>
        <w:ind w:firstLine="708"/>
        <w:rPr>
          <w:szCs w:val="24"/>
        </w:rPr>
      </w:pPr>
      <w:r w:rsidRPr="00952000">
        <w:rPr>
          <w:rFonts w:eastAsia="ＭＳ 明朝 (Основной текст темы (ази"/>
          <w:szCs w:val="24"/>
          <w:lang w:eastAsia="ru-RU"/>
        </w:rPr>
        <w:t>Трансфузии</w:t>
      </w:r>
      <w:r w:rsidRPr="00952000">
        <w:rPr>
          <w:szCs w:val="24"/>
        </w:rPr>
        <w:t xml:space="preserve"> криопреципитата выполняют при снижении концентрации фибриногена плазмы &lt;1,5 г/л из расчета 1 доза на 5 кг массы тела больного.</w:t>
      </w:r>
    </w:p>
    <w:p w14:paraId="533C8720" w14:textId="77777777" w:rsidR="0034590E" w:rsidRPr="00952000" w:rsidRDefault="0034590E" w:rsidP="0034590E">
      <w:pPr>
        <w:ind w:firstLine="708"/>
        <w:rPr>
          <w:rFonts w:eastAsia="ＭＳ 明朝 (Основной текст темы (ази"/>
          <w:szCs w:val="24"/>
          <w:lang w:eastAsia="ru-RU"/>
        </w:rPr>
      </w:pPr>
      <w:r w:rsidRPr="00952000">
        <w:rPr>
          <w:szCs w:val="24"/>
        </w:rPr>
        <w:t>Трансфузии свежезамороженной плазмы проводят для коррекции дефицита факторов свертывания в дозе 10-15 мл/кг для обеспечения концентрации факторов свёртывания на уровне 30%.</w:t>
      </w:r>
    </w:p>
    <w:p w14:paraId="5418B928" w14:textId="49C1DED0" w:rsidR="0034590E" w:rsidRPr="00952000" w:rsidRDefault="0034590E" w:rsidP="0034590E">
      <w:pPr>
        <w:rPr>
          <w:szCs w:val="24"/>
        </w:rPr>
      </w:pPr>
      <w:r w:rsidRPr="00952000">
        <w:rPr>
          <w:szCs w:val="24"/>
        </w:rPr>
        <w:t xml:space="preserve">У больных гемофилией расчет дозы концентрата дефицитного фактора свертывания проводят по формулам </w:t>
      </w:r>
      <w:r w:rsidRPr="00952000">
        <w:rPr>
          <w:szCs w:val="24"/>
        </w:rPr>
        <w:fldChar w:fldCharType="begin" w:fldLock="1"/>
      </w:r>
      <w:r w:rsidR="00F44253">
        <w:rPr>
          <w:szCs w:val="24"/>
        </w:rPr>
        <w:instrText>ADDIN CSL_CITATION {"citationItems":[{"id":"ITEM-1","itemData":{"author":[{"dropping-particle":"","family":"Зозуля","given":"Н.И.","non-dropping-particle":"","parse-names":false,"suffix":""},{"dropping-particle":"","family":"Кумскова","given":"М.А.","non-dropping-particle":"","parse-names":false,"suffix":""}],"container-title":"Алгоритмы диагностики и протоколы лечения заболеваний системы крови. Том 1.","edition":"Практика","editor":[{"dropping-particle":"","family":"Савченко","given":"В.Г.","non-dropping-particle":"","parse-names":false,"suffix":""}],"id":"ITEM-1","issued":{"date-parts":[["2018"]]},"page":"333-358","publisher-place":"Москва","title":"Протокол диагностики и лечения гемофилии.","type":"chapter"},"uris":["http://www.mendeley.com/documents/?uuid=0f5fa306-495f-47fd-a308-cb7187da6dc9","http://www.mendeley.com/documents/?uuid=401a8177-eb94-4a41-8d27-6243609619c9"]}],"mendeley":{"formattedCitation":"[105]","plainTextFormattedCitation":"[105]","previouslyFormattedCitation":"[105]"},"properties":{"noteIndex":0},"schema":"https://github.com/citation-style-language/schema/raw/master/csl-citation.json"}</w:instrText>
      </w:r>
      <w:r w:rsidRPr="00952000">
        <w:rPr>
          <w:szCs w:val="24"/>
        </w:rPr>
        <w:fldChar w:fldCharType="separate"/>
      </w:r>
      <w:r w:rsidR="004D13EB" w:rsidRPr="004D13EB">
        <w:rPr>
          <w:noProof/>
          <w:szCs w:val="24"/>
        </w:rPr>
        <w:t>[105]</w:t>
      </w:r>
      <w:r w:rsidRPr="00952000">
        <w:rPr>
          <w:szCs w:val="24"/>
        </w:rPr>
        <w:fldChar w:fldCharType="end"/>
      </w:r>
      <w:r w:rsidRPr="00952000">
        <w:rPr>
          <w:szCs w:val="24"/>
        </w:rPr>
        <w:t>:</w:t>
      </w:r>
    </w:p>
    <w:p w14:paraId="538407E6" w14:textId="77777777" w:rsidR="0034590E" w:rsidRPr="00952000" w:rsidRDefault="0034590E" w:rsidP="00A72B1B">
      <w:pPr>
        <w:pStyle w:val="afd"/>
        <w:numPr>
          <w:ilvl w:val="0"/>
          <w:numId w:val="42"/>
        </w:numPr>
        <w:rPr>
          <w:szCs w:val="24"/>
        </w:rPr>
      </w:pPr>
      <w:r w:rsidRPr="00952000">
        <w:rPr>
          <w:szCs w:val="24"/>
        </w:rPr>
        <w:t>FVIII: доза (МЕ) = масса тела (кг) х (требуемая активность (не менее 70%) – базальная активность) х 0,5,</w:t>
      </w:r>
    </w:p>
    <w:p w14:paraId="0B2FF0A1" w14:textId="77777777" w:rsidR="0034590E" w:rsidRPr="00952000" w:rsidRDefault="0034590E" w:rsidP="00A72B1B">
      <w:pPr>
        <w:pStyle w:val="afd"/>
        <w:numPr>
          <w:ilvl w:val="0"/>
          <w:numId w:val="42"/>
        </w:numPr>
        <w:rPr>
          <w:szCs w:val="24"/>
        </w:rPr>
      </w:pPr>
      <w:r w:rsidRPr="00952000">
        <w:rPr>
          <w:szCs w:val="24"/>
        </w:rPr>
        <w:t>FIX: доза (МЕ) = масса тела (кг) х (требуемая активность (не менее 70%) – базальная активность).</w:t>
      </w:r>
    </w:p>
    <w:p w14:paraId="492EFD72" w14:textId="2E88971A" w:rsidR="0034590E" w:rsidRPr="00952000" w:rsidRDefault="0034590E" w:rsidP="0034590E">
      <w:pPr>
        <w:ind w:firstLine="360"/>
        <w:rPr>
          <w:szCs w:val="24"/>
        </w:rPr>
      </w:pPr>
      <w:r w:rsidRPr="00952000">
        <w:rPr>
          <w:szCs w:val="24"/>
        </w:rPr>
        <w:t xml:space="preserve">При применении противоингибиторного коагулянтного комплекса дозу препарата рассчитывают исходя из потребности в 50-100 МЕ/кг </w:t>
      </w:r>
      <w:r w:rsidRPr="00952000">
        <w:rPr>
          <w:szCs w:val="24"/>
        </w:rPr>
        <w:fldChar w:fldCharType="begin" w:fldLock="1"/>
      </w:r>
      <w:r w:rsidR="00F44253">
        <w:rPr>
          <w:szCs w:val="24"/>
        </w:rPr>
        <w:instrText>ADDIN CSL_CITATION {"citationItems":[{"id":"ITEM-1","itemData":{"author":[{"dropping-particle":"","family":"Галстян","given":"Г.М.","non-dropping-particle":"","parse-names":false,"suffix":""}],"container-title":"Гематология и трансфузиология.","id":"ITEM-1","issue":"2","issued":{"date-parts":[["2012"]]},"page":"7 - 21","title":"НАРУШЕНИЯ ГЕМОСТАЗА, ОБУСЛОВЛЕННЫЕ ДЕФИЦИТОМ ВИТАМИН К-ЗАВИСИМЫХ ФАКТОРОВ СВЕРТЫВАНИЯ КРОВИ — ПАТОГЕНЕЗ, СПОСОБЫ КОРРЕКЦИИ И РЕКОМЕНДАЦИИ ПО ЛЕЧЕНИЮ.","type":"article-journal","volume":"27"},"uris":["http://www.mendeley.com/documents/?uuid=52f305ab-0108-47a6-9673-c9e5246a7900","http://www.mendeley.com/documents/?uuid=e948cfe1-2831-4737-b489-e36df40a40f3"]}],"mendeley":{"formattedCitation":"[106]","plainTextFormattedCitation":"[106]","previouslyFormattedCitation":"[106]"},"properties":{"noteIndex":0},"schema":"https://github.com/citation-style-language/schema/raw/master/csl-citation.json"}</w:instrText>
      </w:r>
      <w:r w:rsidRPr="00952000">
        <w:rPr>
          <w:szCs w:val="24"/>
        </w:rPr>
        <w:fldChar w:fldCharType="separate"/>
      </w:r>
      <w:r w:rsidR="004D13EB" w:rsidRPr="004D13EB">
        <w:rPr>
          <w:noProof/>
          <w:szCs w:val="24"/>
        </w:rPr>
        <w:t>[106]</w:t>
      </w:r>
      <w:r w:rsidRPr="00952000">
        <w:rPr>
          <w:szCs w:val="24"/>
        </w:rPr>
        <w:fldChar w:fldCharType="end"/>
      </w:r>
      <w:r w:rsidRPr="00952000">
        <w:rPr>
          <w:szCs w:val="24"/>
        </w:rPr>
        <w:t xml:space="preserve"> для однократного применения.</w:t>
      </w:r>
    </w:p>
    <w:p w14:paraId="2ABDD7A8" w14:textId="77777777" w:rsidR="0034590E" w:rsidRPr="00952000" w:rsidRDefault="0034590E" w:rsidP="0034590E">
      <w:pPr>
        <w:ind w:firstLine="360"/>
        <w:rPr>
          <w:szCs w:val="24"/>
        </w:rPr>
      </w:pPr>
      <w:r w:rsidRPr="00952000">
        <w:rPr>
          <w:szCs w:val="24"/>
        </w:rPr>
        <w:t>Препараты рекомбинантного активированного фактора свертывания VII (rFVIIa) вводят в дозе 120 мг/кг однократно, после процедуры, в случаях неэффективности предшествующих мероприятий.</w:t>
      </w:r>
    </w:p>
    <w:p w14:paraId="50070852" w14:textId="77777777" w:rsidR="0034590E" w:rsidRPr="00952000" w:rsidRDefault="0034590E" w:rsidP="0034590E">
      <w:pPr>
        <w:pStyle w:val="Default"/>
        <w:spacing w:line="360" w:lineRule="auto"/>
        <w:ind w:firstLine="709"/>
        <w:jc w:val="both"/>
        <w:rPr>
          <w:color w:val="auto"/>
        </w:rPr>
      </w:pPr>
      <w:r w:rsidRPr="00952000">
        <w:rPr>
          <w:color w:val="auto"/>
        </w:rPr>
        <w:t>Хотя безопасным уровнем для катетеризации мы считаем количество тромбоцитов крови более 20 х 10</w:t>
      </w:r>
      <w:r w:rsidRPr="00952000">
        <w:rPr>
          <w:color w:val="auto"/>
          <w:vertAlign w:val="superscript"/>
        </w:rPr>
        <w:t>9</w:t>
      </w:r>
      <w:r w:rsidRPr="00952000">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проводится только  под контролем ультразвука.</w:t>
      </w:r>
    </w:p>
    <w:p w14:paraId="38D705C9" w14:textId="77777777" w:rsidR="0034590E" w:rsidRDefault="0034590E" w:rsidP="0034590E">
      <w:pPr>
        <w:ind w:firstLine="708"/>
        <w:rPr>
          <w:b/>
          <w:bCs/>
          <w:szCs w:val="24"/>
        </w:rPr>
      </w:pPr>
    </w:p>
    <w:p w14:paraId="2C05BB40" w14:textId="77777777" w:rsidR="0034590E" w:rsidRPr="009F4EC0" w:rsidRDefault="0034590E" w:rsidP="0034590E">
      <w:pPr>
        <w:ind w:firstLine="708"/>
        <w:rPr>
          <w:i/>
          <w:iCs/>
          <w:szCs w:val="24"/>
        </w:rPr>
      </w:pPr>
      <w:r w:rsidRPr="009F4EC0">
        <w:rPr>
          <w:i/>
          <w:iCs/>
          <w:szCs w:val="24"/>
        </w:rPr>
        <w:t>Методы профилактики поздних осложнений</w:t>
      </w:r>
    </w:p>
    <w:p w14:paraId="72ED47CF" w14:textId="77777777" w:rsidR="0034590E" w:rsidRPr="00952000" w:rsidRDefault="0034590E" w:rsidP="0034590E">
      <w:pPr>
        <w:ind w:firstLine="708"/>
        <w:rPr>
          <w:szCs w:val="24"/>
        </w:rPr>
      </w:pPr>
      <w:r w:rsidRPr="00952000">
        <w:rPr>
          <w:szCs w:val="24"/>
        </w:rPr>
        <w:t xml:space="preserve">После окончания использования все катетеры должны быть промыты соответствующим объемом физиологического раствора (табл. 1), а затем закрыты с помощью раствора, создающего «катетерный замок» также в соответствии с объемом </w:t>
      </w:r>
      <w:r w:rsidRPr="00952000">
        <w:rPr>
          <w:szCs w:val="24"/>
        </w:rPr>
        <w:lastRenderedPageBreak/>
        <w:t xml:space="preserve">катетера. На короткий срок (1-2 сут.) может быть использован «гепариновый замок» (гепарин в физиологическом растворе в концентрации 100 Ед/мл), при закрытии катетера на длительный срок, а также при высоком риске инфицирования катетера предпочтительным является использование раствора Тауролока. </w:t>
      </w:r>
    </w:p>
    <w:p w14:paraId="13E8CDEF" w14:textId="77777777" w:rsidR="0034590E" w:rsidRPr="00952000" w:rsidRDefault="0034590E" w:rsidP="0034590E">
      <w:pPr>
        <w:ind w:firstLine="708"/>
        <w:rPr>
          <w:rFonts w:eastAsia="ＭＳ 明朝 (Основной текст темы (ази"/>
          <w:szCs w:val="24"/>
        </w:rPr>
      </w:pPr>
      <w:r w:rsidRPr="00952000">
        <w:rPr>
          <w:rFonts w:eastAsia="ＭＳ 明朝 (Основной текст темы (ази"/>
          <w:szCs w:val="24"/>
        </w:rPr>
        <w:t>В случае перерывов в лечении катетер необходимо промывать 1 раз в 24 часа для нетуннелируемых ЦВК, 1 раз в 7 (10) дней для ПИЦВК и туннелируемых катетеров, 1 раз в 30 дней для порт-систем.</w:t>
      </w:r>
    </w:p>
    <w:p w14:paraId="6530F581" w14:textId="77777777" w:rsidR="0034590E" w:rsidRPr="009F4EC0" w:rsidRDefault="0034590E" w:rsidP="0034590E">
      <w:pPr>
        <w:ind w:firstLine="708"/>
        <w:rPr>
          <w:szCs w:val="24"/>
        </w:rPr>
      </w:pPr>
      <w:r w:rsidRPr="00952000">
        <w:rPr>
          <w:rFonts w:eastAsia="ＭＳ 明朝 (Основной текст темы (ази"/>
          <w:szCs w:val="24"/>
        </w:rPr>
        <w:t xml:space="preserve">Асептическая повязка накладывается на место выхода катетера на кожу. Частота замены повязки с обязательной обработкой места выхода катетера, в соответствии с общими </w:t>
      </w:r>
      <w:r w:rsidRPr="009F4EC0">
        <w:rPr>
          <w:rFonts w:eastAsia="ＭＳ 明朝 (Основной текст темы (ази"/>
          <w:szCs w:val="24"/>
        </w:rPr>
        <w:t>принципами хирургической обработки, 2 раза в неделю при использовании нетуннелируемых катетеров, 1 раз в неделю для туннелируемых катетеров и ПИЦВК, и при необходимости (таб.1). Предпочтительно использовать прозрачные повязки для возможности ежедневной оценки кожи в месте установки катетера на наличие воспалительных изменений.</w:t>
      </w:r>
    </w:p>
    <w:p w14:paraId="22475219" w14:textId="77777777" w:rsidR="0034590E" w:rsidRPr="00952000" w:rsidRDefault="0034590E" w:rsidP="0034590E">
      <w:pPr>
        <w:ind w:firstLine="708"/>
        <w:rPr>
          <w:szCs w:val="24"/>
        </w:rPr>
      </w:pPr>
      <w:r w:rsidRPr="009F4EC0">
        <w:rPr>
          <w:szCs w:val="24"/>
        </w:rPr>
        <w:t>Таблица 1. Режимы промы</w:t>
      </w:r>
      <w:r w:rsidRPr="00952000">
        <w:rPr>
          <w:szCs w:val="24"/>
        </w:rPr>
        <w:t>вания и закрытия катетеров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02"/>
        <w:gridCol w:w="6707"/>
      </w:tblGrid>
      <w:tr w:rsidR="0034590E" w:rsidRPr="00952000" w14:paraId="5385D305" w14:textId="77777777" w:rsidTr="00EC1C67">
        <w:trPr>
          <w:cantSplit/>
          <w:trHeight w:val="2220"/>
        </w:trPr>
        <w:tc>
          <w:tcPr>
            <w:tcW w:w="534" w:type="dxa"/>
            <w:vMerge w:val="restart"/>
            <w:textDirection w:val="btLr"/>
          </w:tcPr>
          <w:p w14:paraId="252542B4" w14:textId="77777777" w:rsidR="0034590E" w:rsidRPr="00952000" w:rsidRDefault="0034590E" w:rsidP="00EC1C67">
            <w:pPr>
              <w:ind w:left="113" w:right="113" w:firstLine="0"/>
              <w:rPr>
                <w:rFonts w:eastAsia="ＭＳ 明朝 (Основной текст темы (ази"/>
                <w:szCs w:val="24"/>
              </w:rPr>
            </w:pPr>
            <w:r w:rsidRPr="00952000">
              <w:rPr>
                <w:rFonts w:eastAsia="ＭＳ 明朝 (Основной текст темы (ази"/>
                <w:szCs w:val="24"/>
              </w:rPr>
              <w:t>Промывание катетера</w:t>
            </w:r>
          </w:p>
        </w:tc>
        <w:tc>
          <w:tcPr>
            <w:tcW w:w="2011" w:type="dxa"/>
            <w:shd w:val="clear" w:color="auto" w:fill="auto"/>
          </w:tcPr>
          <w:p w14:paraId="217CC105" w14:textId="77777777" w:rsidR="0034590E" w:rsidRPr="00952000" w:rsidRDefault="0034590E" w:rsidP="00EC1C67">
            <w:pPr>
              <w:ind w:firstLine="0"/>
              <w:jc w:val="left"/>
              <w:rPr>
                <w:rFonts w:eastAsia="ＭＳ 明朝 (Основной текст темы (ази"/>
                <w:szCs w:val="24"/>
              </w:rPr>
            </w:pPr>
            <w:r w:rsidRPr="00952000">
              <w:rPr>
                <w:rFonts w:eastAsia="ＭＳ 明朝 (Основной текст темы (ази"/>
                <w:szCs w:val="24"/>
              </w:rPr>
              <w:t>Введение препаратов</w:t>
            </w:r>
          </w:p>
        </w:tc>
        <w:tc>
          <w:tcPr>
            <w:tcW w:w="7026" w:type="dxa"/>
            <w:shd w:val="clear" w:color="auto" w:fill="auto"/>
          </w:tcPr>
          <w:p w14:paraId="4A05972F" w14:textId="77777777" w:rsidR="0034590E" w:rsidRPr="00952000" w:rsidRDefault="0034590E" w:rsidP="00EC1C67">
            <w:pPr>
              <w:ind w:firstLine="0"/>
              <w:jc w:val="left"/>
              <w:rPr>
                <w:rFonts w:eastAsia="ＭＳ 明朝 (Основной текст темы (ази"/>
                <w:szCs w:val="24"/>
              </w:rPr>
            </w:pPr>
            <w:r w:rsidRPr="00952000">
              <w:rPr>
                <w:rFonts w:eastAsia="ＭＳ 明朝 (Основной текст темы (ази"/>
                <w:szCs w:val="24"/>
              </w:rPr>
              <w:t xml:space="preserve">Промывать катетеры необходимо до и после введения лекарственных препаратов и компонентов крови. Использовать болюсное (импульсный режим) промывание 10 мл физиологического раствора для всех внутривенных катетеров (за исключением периферических катетеров, где достаточно 5 мл). </w:t>
            </w:r>
          </w:p>
        </w:tc>
      </w:tr>
      <w:tr w:rsidR="0034590E" w:rsidRPr="00952000" w14:paraId="1D33A9D5" w14:textId="77777777" w:rsidTr="00EC1C67">
        <w:trPr>
          <w:cantSplit/>
          <w:trHeight w:val="1920"/>
        </w:trPr>
        <w:tc>
          <w:tcPr>
            <w:tcW w:w="534" w:type="dxa"/>
            <w:vMerge/>
            <w:textDirection w:val="btLr"/>
          </w:tcPr>
          <w:p w14:paraId="4FFD44B3" w14:textId="77777777" w:rsidR="0034590E" w:rsidRPr="00952000" w:rsidRDefault="0034590E" w:rsidP="00EC1C67">
            <w:pPr>
              <w:ind w:left="113" w:right="113" w:firstLine="0"/>
              <w:rPr>
                <w:rFonts w:eastAsia="ＭＳ 明朝 (Основной текст темы (ази"/>
                <w:szCs w:val="24"/>
              </w:rPr>
            </w:pPr>
          </w:p>
        </w:tc>
        <w:tc>
          <w:tcPr>
            <w:tcW w:w="2011" w:type="dxa"/>
            <w:shd w:val="clear" w:color="auto" w:fill="auto"/>
          </w:tcPr>
          <w:p w14:paraId="424177B8" w14:textId="77777777" w:rsidR="0034590E" w:rsidRPr="00952000" w:rsidRDefault="0034590E" w:rsidP="00EC1C67">
            <w:pPr>
              <w:ind w:firstLine="0"/>
              <w:jc w:val="left"/>
              <w:rPr>
                <w:rFonts w:eastAsia="ＭＳ 明朝 (Основной текст темы (ази"/>
                <w:szCs w:val="24"/>
              </w:rPr>
            </w:pPr>
            <w:r w:rsidRPr="00952000">
              <w:rPr>
                <w:rFonts w:eastAsia="ＭＳ 明朝 (Основной текст темы (ази"/>
                <w:szCs w:val="24"/>
              </w:rPr>
              <w:t>Парентеральное питание, компоненты крови</w:t>
            </w:r>
          </w:p>
        </w:tc>
        <w:tc>
          <w:tcPr>
            <w:tcW w:w="7026" w:type="dxa"/>
            <w:shd w:val="clear" w:color="auto" w:fill="auto"/>
          </w:tcPr>
          <w:p w14:paraId="649AAEE0" w14:textId="77777777" w:rsidR="0034590E" w:rsidRPr="00952000" w:rsidRDefault="0034590E" w:rsidP="00EC1C67">
            <w:pPr>
              <w:ind w:firstLine="0"/>
              <w:jc w:val="left"/>
              <w:rPr>
                <w:rFonts w:eastAsia="ＭＳ 明朝 (Основной текст темы (ази"/>
                <w:szCs w:val="24"/>
              </w:rPr>
            </w:pPr>
            <w:r w:rsidRPr="00952000">
              <w:rPr>
                <w:rFonts w:eastAsia="ＭＳ 明朝 (Основной текст темы (ази"/>
                <w:szCs w:val="24"/>
              </w:rPr>
              <w:t>После введения в катетер компонентов крови или парентерально питания использовать 20 мл (10 мл х 2) для промывания катетера. Промывать необходимо чередуя импульсный режим и струйное болюсное введение.</w:t>
            </w:r>
          </w:p>
        </w:tc>
      </w:tr>
      <w:tr w:rsidR="0034590E" w:rsidRPr="00952000" w14:paraId="58BFC861" w14:textId="77777777" w:rsidTr="00EC1C67">
        <w:trPr>
          <w:cantSplit/>
          <w:trHeight w:val="1134"/>
        </w:trPr>
        <w:tc>
          <w:tcPr>
            <w:tcW w:w="534" w:type="dxa"/>
            <w:vMerge w:val="restart"/>
            <w:textDirection w:val="btLr"/>
          </w:tcPr>
          <w:p w14:paraId="62071DC7" w14:textId="77777777" w:rsidR="0034590E" w:rsidRPr="00952000" w:rsidRDefault="0034590E" w:rsidP="00EC1C67">
            <w:pPr>
              <w:ind w:left="113" w:right="113" w:firstLine="0"/>
              <w:rPr>
                <w:rFonts w:eastAsia="ＭＳ 明朝 (Основной текст темы (ази"/>
                <w:szCs w:val="24"/>
              </w:rPr>
            </w:pPr>
            <w:r w:rsidRPr="00952000">
              <w:rPr>
                <w:rFonts w:eastAsia="ＭＳ 明朝 (Основной текст темы (ази"/>
                <w:szCs w:val="24"/>
              </w:rPr>
              <w:t>Закрытие катетера</w:t>
            </w:r>
          </w:p>
        </w:tc>
        <w:tc>
          <w:tcPr>
            <w:tcW w:w="2011" w:type="dxa"/>
            <w:shd w:val="clear" w:color="auto" w:fill="auto"/>
          </w:tcPr>
          <w:p w14:paraId="460E4D7C" w14:textId="77777777" w:rsidR="0034590E" w:rsidRPr="00952000" w:rsidRDefault="0034590E" w:rsidP="00EC1C67">
            <w:pPr>
              <w:ind w:firstLine="0"/>
              <w:jc w:val="left"/>
              <w:rPr>
                <w:rFonts w:eastAsia="ＭＳ 明朝 (Основной текст темы (ази"/>
                <w:szCs w:val="24"/>
              </w:rPr>
            </w:pPr>
            <w:r w:rsidRPr="00952000">
              <w:rPr>
                <w:rFonts w:eastAsia="ＭＳ 明朝 (Основной текст темы (ази"/>
                <w:szCs w:val="24"/>
              </w:rPr>
              <w:t xml:space="preserve">Объем </w:t>
            </w:r>
          </w:p>
        </w:tc>
        <w:tc>
          <w:tcPr>
            <w:tcW w:w="7026" w:type="dxa"/>
            <w:shd w:val="clear" w:color="auto" w:fill="auto"/>
          </w:tcPr>
          <w:p w14:paraId="2DBF60FE" w14:textId="77777777" w:rsidR="0034590E" w:rsidRPr="00952000" w:rsidRDefault="0034590E" w:rsidP="00EC1C67">
            <w:pPr>
              <w:ind w:firstLine="0"/>
              <w:jc w:val="left"/>
              <w:rPr>
                <w:rFonts w:eastAsia="ＭＳ 明朝 (Основной текст темы (ази"/>
                <w:szCs w:val="24"/>
              </w:rPr>
            </w:pPr>
            <w:r w:rsidRPr="00952000">
              <w:rPr>
                <w:rFonts w:eastAsia="ＭＳ 明朝 (Основной текст темы (ази"/>
                <w:szCs w:val="24"/>
              </w:rPr>
              <w:t>1 мл для периферических катетеров</w:t>
            </w:r>
          </w:p>
          <w:p w14:paraId="21F8CD09" w14:textId="77777777" w:rsidR="0034590E" w:rsidRPr="00952000" w:rsidRDefault="0034590E" w:rsidP="00EC1C67">
            <w:pPr>
              <w:ind w:firstLine="0"/>
              <w:jc w:val="left"/>
              <w:rPr>
                <w:rFonts w:eastAsia="ＭＳ 明朝 (Основной текст темы (ази"/>
                <w:szCs w:val="24"/>
              </w:rPr>
            </w:pPr>
            <w:r w:rsidRPr="00952000">
              <w:rPr>
                <w:rFonts w:eastAsia="ＭＳ 明朝 (Основной текст темы (ази"/>
                <w:szCs w:val="24"/>
              </w:rPr>
              <w:t xml:space="preserve">1,5 мл для катетеров типа </w:t>
            </w:r>
            <w:r w:rsidRPr="00952000">
              <w:rPr>
                <w:rFonts w:eastAsia="ＭＳ 明朝 (Основной текст темы (ази"/>
                <w:szCs w:val="24"/>
                <w:lang w:val="en-US"/>
              </w:rPr>
              <w:t>MidLine</w:t>
            </w:r>
            <w:r w:rsidRPr="00952000">
              <w:rPr>
                <w:rFonts w:eastAsia="ＭＳ 明朝 (Основной текст темы (ази"/>
                <w:szCs w:val="24"/>
              </w:rPr>
              <w:t>, ПИЦВК, нетуннелируемых ЦВК и туннелируемых ЦВК с небольшим (</w:t>
            </w:r>
            <w:r w:rsidRPr="00952000">
              <w:rPr>
                <w:rFonts w:eastAsia="MS Gothic"/>
                <w:szCs w:val="24"/>
              </w:rPr>
              <w:t>≤1 мм)</w:t>
            </w:r>
            <w:r w:rsidRPr="00952000">
              <w:rPr>
                <w:rFonts w:eastAsia="ＭＳ 明朝 (Основной текст темы (ази"/>
                <w:szCs w:val="24"/>
              </w:rPr>
              <w:t xml:space="preserve"> внутренним диаметром </w:t>
            </w:r>
          </w:p>
          <w:p w14:paraId="60DEA729" w14:textId="77777777" w:rsidR="0034590E" w:rsidRPr="00952000" w:rsidRDefault="0034590E" w:rsidP="00EC1C67">
            <w:pPr>
              <w:ind w:firstLine="0"/>
              <w:jc w:val="left"/>
              <w:rPr>
                <w:rFonts w:eastAsia="ＭＳ 明朝 (Основной текст темы (ази"/>
                <w:szCs w:val="24"/>
              </w:rPr>
            </w:pPr>
            <w:r w:rsidRPr="00952000">
              <w:rPr>
                <w:rFonts w:eastAsia="ＭＳ 明朝 (Основной текст темы (ази"/>
                <w:szCs w:val="24"/>
              </w:rPr>
              <w:t>2,0-2,5 мл для туннелируемых ЦВК с большим (≥</w:t>
            </w:r>
            <w:r w:rsidRPr="00952000">
              <w:rPr>
                <w:rFonts w:eastAsia="MS Gothic"/>
                <w:szCs w:val="24"/>
              </w:rPr>
              <w:t>1 мм)</w:t>
            </w:r>
            <w:r w:rsidRPr="00952000">
              <w:rPr>
                <w:rFonts w:eastAsia="ＭＳ 明朝 (Основной текст темы (ази"/>
                <w:szCs w:val="24"/>
              </w:rPr>
              <w:t xml:space="preserve"> внутренним диаметром (в каждый ход), порт систем</w:t>
            </w:r>
          </w:p>
        </w:tc>
      </w:tr>
      <w:tr w:rsidR="0034590E" w:rsidRPr="00952000" w14:paraId="36B8D33A" w14:textId="77777777" w:rsidTr="00EC1C67">
        <w:trPr>
          <w:cantSplit/>
          <w:trHeight w:val="1134"/>
        </w:trPr>
        <w:tc>
          <w:tcPr>
            <w:tcW w:w="534" w:type="dxa"/>
            <w:vMerge/>
            <w:textDirection w:val="btLr"/>
          </w:tcPr>
          <w:p w14:paraId="50770E13" w14:textId="77777777" w:rsidR="0034590E" w:rsidRPr="00952000" w:rsidRDefault="0034590E" w:rsidP="00EC1C67">
            <w:pPr>
              <w:ind w:left="113" w:right="113" w:firstLine="0"/>
              <w:rPr>
                <w:rFonts w:eastAsia="ＭＳ 明朝 (Основной текст темы (ази"/>
                <w:szCs w:val="24"/>
              </w:rPr>
            </w:pPr>
          </w:p>
        </w:tc>
        <w:tc>
          <w:tcPr>
            <w:tcW w:w="2011" w:type="dxa"/>
            <w:shd w:val="clear" w:color="auto" w:fill="auto"/>
          </w:tcPr>
          <w:p w14:paraId="0263CAC5" w14:textId="77777777" w:rsidR="0034590E" w:rsidRPr="00952000" w:rsidRDefault="0034590E" w:rsidP="00EC1C67">
            <w:pPr>
              <w:ind w:firstLine="0"/>
              <w:jc w:val="left"/>
              <w:rPr>
                <w:rFonts w:eastAsia="ＭＳ 明朝 (Основной текст темы (ази"/>
                <w:szCs w:val="24"/>
              </w:rPr>
            </w:pPr>
            <w:r w:rsidRPr="00952000">
              <w:rPr>
                <w:rFonts w:eastAsia="ＭＳ 明朝 (Основной текст темы (ази"/>
                <w:szCs w:val="24"/>
              </w:rPr>
              <w:t>Режимы</w:t>
            </w:r>
          </w:p>
        </w:tc>
        <w:tc>
          <w:tcPr>
            <w:tcW w:w="7026" w:type="dxa"/>
            <w:shd w:val="clear" w:color="auto" w:fill="auto"/>
          </w:tcPr>
          <w:p w14:paraId="49668F34" w14:textId="77777777" w:rsidR="0034590E" w:rsidRPr="00952000" w:rsidRDefault="0034590E" w:rsidP="00EC1C67">
            <w:pPr>
              <w:ind w:firstLine="0"/>
              <w:jc w:val="left"/>
              <w:rPr>
                <w:rFonts w:eastAsia="ＭＳ 明朝 (Основной текст темы (ази"/>
                <w:szCs w:val="24"/>
              </w:rPr>
            </w:pPr>
            <w:r w:rsidRPr="00952000">
              <w:rPr>
                <w:rFonts w:eastAsia="ＭＳ 明朝 (Основной текст темы (ази"/>
                <w:szCs w:val="24"/>
              </w:rPr>
              <w:t>Каждые 8-24 ч для кратковременных ЦВК</w:t>
            </w:r>
          </w:p>
          <w:p w14:paraId="7E909B1A" w14:textId="77777777" w:rsidR="0034590E" w:rsidRPr="00952000" w:rsidRDefault="0034590E" w:rsidP="00EC1C67">
            <w:pPr>
              <w:ind w:firstLine="0"/>
              <w:jc w:val="left"/>
              <w:rPr>
                <w:rFonts w:eastAsia="ＭＳ 明朝 (Основной текст темы (ази"/>
                <w:szCs w:val="24"/>
              </w:rPr>
            </w:pPr>
            <w:r w:rsidRPr="00952000">
              <w:rPr>
                <w:rFonts w:eastAsia="ＭＳ 明朝 (Основной текст темы (ази"/>
                <w:szCs w:val="24"/>
              </w:rPr>
              <w:t>Еженедельно – для туннелируемых ЦВК и ПИЦВК</w:t>
            </w:r>
          </w:p>
          <w:p w14:paraId="0C9B23CB" w14:textId="77777777" w:rsidR="0034590E" w:rsidRPr="00952000" w:rsidRDefault="0034590E" w:rsidP="00EC1C67">
            <w:pPr>
              <w:ind w:firstLine="0"/>
              <w:jc w:val="left"/>
              <w:rPr>
                <w:rFonts w:eastAsia="ＭＳ 明朝 (Основной текст темы (ази"/>
                <w:szCs w:val="24"/>
              </w:rPr>
            </w:pPr>
            <w:r w:rsidRPr="00952000">
              <w:rPr>
                <w:rFonts w:eastAsia="ＭＳ 明朝 (Основной текст темы (ази"/>
                <w:szCs w:val="24"/>
              </w:rPr>
              <w:t>Каждые 6-8 недель для порт-систем</w:t>
            </w:r>
          </w:p>
        </w:tc>
      </w:tr>
    </w:tbl>
    <w:p w14:paraId="6B8C1F8D" w14:textId="77777777" w:rsidR="0034590E" w:rsidRPr="00952000" w:rsidRDefault="0034590E" w:rsidP="0034590E">
      <w:pPr>
        <w:rPr>
          <w:b/>
          <w:bCs/>
          <w:szCs w:val="24"/>
        </w:rPr>
      </w:pPr>
    </w:p>
    <w:p w14:paraId="79A348FF" w14:textId="77777777" w:rsidR="0034590E" w:rsidRPr="009F4EC0" w:rsidRDefault="0034590E" w:rsidP="0034590E">
      <w:pPr>
        <w:rPr>
          <w:i/>
          <w:iCs/>
          <w:szCs w:val="24"/>
          <w:u w:val="single"/>
        </w:rPr>
      </w:pPr>
      <w:r w:rsidRPr="009F4EC0">
        <w:rPr>
          <w:i/>
          <w:iCs/>
          <w:szCs w:val="24"/>
          <w:u w:val="single"/>
        </w:rPr>
        <w:t>Алгоритм действий врача</w:t>
      </w:r>
    </w:p>
    <w:p w14:paraId="08346AAE" w14:textId="77777777" w:rsidR="0034590E" w:rsidRPr="00952000" w:rsidRDefault="0034590E" w:rsidP="0034590E">
      <w:pPr>
        <w:rPr>
          <w:szCs w:val="24"/>
        </w:rPr>
      </w:pPr>
      <w:r w:rsidRPr="00952000">
        <w:rPr>
          <w:szCs w:val="24"/>
        </w:rPr>
        <w:t>Манипуляция проводится только при наличии информированного согласия на проведение катетеризации.</w:t>
      </w:r>
    </w:p>
    <w:p w14:paraId="5DED5B6B" w14:textId="77777777" w:rsidR="0034590E" w:rsidRPr="009F4EC0" w:rsidRDefault="0034590E" w:rsidP="00A72B1B">
      <w:pPr>
        <w:pStyle w:val="afd"/>
        <w:numPr>
          <w:ilvl w:val="0"/>
          <w:numId w:val="50"/>
        </w:numPr>
        <w:rPr>
          <w:szCs w:val="24"/>
        </w:rPr>
      </w:pPr>
      <w:r w:rsidRPr="009F4EC0">
        <w:rPr>
          <w:szCs w:val="24"/>
        </w:rPr>
        <w:t>Физикальный осмотр</w:t>
      </w:r>
    </w:p>
    <w:p w14:paraId="75D8F946" w14:textId="77777777" w:rsidR="0034590E" w:rsidRPr="009F4EC0" w:rsidRDefault="0034590E" w:rsidP="00A72B1B">
      <w:pPr>
        <w:pStyle w:val="afd"/>
        <w:numPr>
          <w:ilvl w:val="0"/>
          <w:numId w:val="50"/>
        </w:numPr>
        <w:rPr>
          <w:szCs w:val="24"/>
        </w:rPr>
      </w:pPr>
      <w:r w:rsidRPr="009F4EC0">
        <w:rPr>
          <w:szCs w:val="24"/>
        </w:rPr>
        <w:t xml:space="preserve">Выбор типа ЦВК после физикального осмотра, сбора анамнеза, ознакомления с результатами лабораторных и инструментальных методов исследования. </w:t>
      </w:r>
    </w:p>
    <w:p w14:paraId="1FDFF7BB" w14:textId="77777777" w:rsidR="0034590E" w:rsidRPr="009F4EC0" w:rsidRDefault="0034590E" w:rsidP="00A72B1B">
      <w:pPr>
        <w:pStyle w:val="afd"/>
        <w:numPr>
          <w:ilvl w:val="0"/>
          <w:numId w:val="50"/>
        </w:numPr>
        <w:rPr>
          <w:szCs w:val="24"/>
        </w:rPr>
      </w:pPr>
      <w:r w:rsidRPr="009F4EC0">
        <w:rPr>
          <w:szCs w:val="24"/>
        </w:rPr>
        <w:t>Дуплексное сканирование вен в месте планируемой установки ЦВК (определяется диаметр вены, наличие сдавления вен в месте пункции и по ходу установленного ЦВК, тромба в просвете вен, наличие клапанного аппарата и его состоятельность. Устанавливать ЦВК в вену, диаметр которой не превышает 50% диаметра катетера и/или выявлен тромбоз недопустимо).</w:t>
      </w:r>
    </w:p>
    <w:p w14:paraId="6E2F79CD" w14:textId="77777777" w:rsidR="0034590E" w:rsidRPr="009F4EC0" w:rsidRDefault="0034590E" w:rsidP="00A72B1B">
      <w:pPr>
        <w:pStyle w:val="afd"/>
        <w:numPr>
          <w:ilvl w:val="0"/>
          <w:numId w:val="50"/>
        </w:numPr>
        <w:rPr>
          <w:szCs w:val="24"/>
        </w:rPr>
      </w:pPr>
      <w:r w:rsidRPr="009F4EC0">
        <w:rPr>
          <w:szCs w:val="24"/>
        </w:rPr>
        <w:t>Имплантация ЦВК с обязательным позиционированием дистального конца у кава-атриального соединения в случае катетеризации ВПВ и кава-атриального соединения или ниже устья почечных вен при катетеризации НПВ.</w:t>
      </w:r>
    </w:p>
    <w:p w14:paraId="2E60A882" w14:textId="77777777" w:rsidR="0034590E" w:rsidRPr="009F4EC0" w:rsidRDefault="0034590E" w:rsidP="00A72B1B">
      <w:pPr>
        <w:pStyle w:val="afd"/>
        <w:numPr>
          <w:ilvl w:val="0"/>
          <w:numId w:val="50"/>
        </w:numPr>
        <w:rPr>
          <w:szCs w:val="24"/>
        </w:rPr>
      </w:pPr>
      <w:r w:rsidRPr="009F4EC0">
        <w:rPr>
          <w:szCs w:val="24"/>
        </w:rPr>
        <w:t>Закрепление катетера на коже больного у места выхода с использованием шовных материалов или устройств бесшовной фиксации.</w:t>
      </w:r>
    </w:p>
    <w:p w14:paraId="4D2D4098" w14:textId="77777777" w:rsidR="0034590E" w:rsidRPr="009F4EC0" w:rsidRDefault="0034590E" w:rsidP="00A72B1B">
      <w:pPr>
        <w:pStyle w:val="afd"/>
        <w:numPr>
          <w:ilvl w:val="0"/>
          <w:numId w:val="50"/>
        </w:numPr>
        <w:rPr>
          <w:szCs w:val="24"/>
        </w:rPr>
      </w:pPr>
      <w:r w:rsidRPr="009F4EC0">
        <w:rPr>
          <w:szCs w:val="24"/>
        </w:rPr>
        <w:t>Наложение асептической повязки.</w:t>
      </w:r>
    </w:p>
    <w:p w14:paraId="5C13D7FD" w14:textId="77777777" w:rsidR="0034590E" w:rsidRPr="009F4EC0" w:rsidRDefault="0034590E" w:rsidP="00A72B1B">
      <w:pPr>
        <w:pStyle w:val="afd"/>
        <w:numPr>
          <w:ilvl w:val="0"/>
          <w:numId w:val="50"/>
        </w:numPr>
        <w:rPr>
          <w:szCs w:val="24"/>
        </w:rPr>
      </w:pPr>
      <w:r w:rsidRPr="009F4EC0">
        <w:rPr>
          <w:szCs w:val="24"/>
        </w:rPr>
        <w:t>Заполнение протокола катетеризации с обязательным указанием ранних осложнений, количества попыток катетеризации, типа установленного ЦВК.</w:t>
      </w:r>
    </w:p>
    <w:p w14:paraId="0051FDC6" w14:textId="77777777" w:rsidR="0034590E" w:rsidRPr="00952000" w:rsidRDefault="0034590E" w:rsidP="0034590E">
      <w:pPr>
        <w:rPr>
          <w:szCs w:val="24"/>
        </w:rPr>
      </w:pPr>
    </w:p>
    <w:p w14:paraId="648147E1" w14:textId="77777777" w:rsidR="0034590E" w:rsidRPr="008635A0" w:rsidRDefault="0034590E" w:rsidP="0034590E">
      <w:pPr>
        <w:ind w:firstLine="708"/>
        <w:rPr>
          <w:bCs/>
          <w:i/>
          <w:iCs/>
          <w:szCs w:val="24"/>
        </w:rPr>
      </w:pPr>
      <w:r w:rsidRPr="008635A0">
        <w:rPr>
          <w:bCs/>
          <w:i/>
          <w:iCs/>
          <w:spacing w:val="2"/>
          <w:szCs w:val="24"/>
          <w:shd w:val="clear" w:color="auto" w:fill="FFFFFF"/>
        </w:rPr>
        <w:t>Дополнительные сведения об особенностях выполнения обработки катетера (смена повязки):</w:t>
      </w:r>
    </w:p>
    <w:p w14:paraId="4EAF705C" w14:textId="77777777" w:rsidR="0034590E" w:rsidRPr="001352F1" w:rsidRDefault="0034590E" w:rsidP="00A72B1B">
      <w:pPr>
        <w:pStyle w:val="afd"/>
        <w:numPr>
          <w:ilvl w:val="0"/>
          <w:numId w:val="48"/>
        </w:numPr>
        <w:rPr>
          <w:b/>
          <w:szCs w:val="24"/>
        </w:rPr>
      </w:pPr>
      <w:r w:rsidRPr="008635A0">
        <w:rPr>
          <w:spacing w:val="2"/>
          <w:szCs w:val="24"/>
          <w:shd w:val="clear" w:color="auto" w:fill="FFFFFF"/>
        </w:rPr>
        <w:t>При проведении процедуры обработки (перевязки) с ЦВК пациент может</w:t>
      </w:r>
      <w:r w:rsidRPr="001352F1">
        <w:rPr>
          <w:spacing w:val="2"/>
          <w:szCs w:val="24"/>
          <w:shd w:val="clear" w:color="auto" w:fill="FFFFFF"/>
        </w:rPr>
        <w:t xml:space="preserve"> сидеть или лежать на спине, рука, на стороне которой в вене находится катетер, расположена вдоль туловища. При применении дополнительных зажимов не катетере снятие заглушки не связано с фазой дыхания. При проведении процедуры с катетером, находящимся в бедренной вене, ножной конец кровати опущен на 25°. Снятие заглушки не связано с фазой дыхания.</w:t>
      </w:r>
    </w:p>
    <w:p w14:paraId="3B7657AF" w14:textId="77777777" w:rsidR="0034590E" w:rsidRPr="00952000" w:rsidRDefault="0034590E" w:rsidP="00A72B1B">
      <w:pPr>
        <w:pStyle w:val="afd"/>
        <w:numPr>
          <w:ilvl w:val="0"/>
          <w:numId w:val="48"/>
        </w:numPr>
        <w:rPr>
          <w:szCs w:val="24"/>
        </w:rPr>
      </w:pPr>
      <w:r w:rsidRPr="00952000">
        <w:rPr>
          <w:spacing w:val="2"/>
          <w:szCs w:val="24"/>
          <w:shd w:val="clear" w:color="auto" w:fill="FFFFFF"/>
        </w:rPr>
        <w:lastRenderedPageBreak/>
        <w:t>При смене повязки у пациентов с чувствительной кожей рекомендуется нанести стерильное барьерное средство для защиты кожи вокруг места установки сосудистого катетера и дождаться полного его высыхания.</w:t>
      </w:r>
    </w:p>
    <w:p w14:paraId="460E9B62" w14:textId="77777777" w:rsidR="0034590E" w:rsidRPr="00952000" w:rsidRDefault="0034590E" w:rsidP="00A72B1B">
      <w:pPr>
        <w:pStyle w:val="afd"/>
        <w:numPr>
          <w:ilvl w:val="0"/>
          <w:numId w:val="48"/>
        </w:numPr>
        <w:rPr>
          <w:szCs w:val="24"/>
        </w:rPr>
      </w:pPr>
      <w:r w:rsidRPr="00952000">
        <w:rPr>
          <w:spacing w:val="2"/>
          <w:szCs w:val="24"/>
          <w:shd w:val="clear" w:color="auto" w:fill="FFFFFF"/>
        </w:rPr>
        <w:t>Выбор повязки необходимо осуществлять с учетом индивидуальных особенностей пациента. Если существуют предрасполагающие к развитию инфекции факторы (длительность стояния ЦВК свыше трех суток; сниженный иммунный статус (онкологические пациенты и т.д.); повышенный риск колонизации катетера), то рекомендуется выбирать прозрачную полиуретановую повязку, содержащую гелевую подушечку с хлоргексидином. Для прочих случаев оптимальным выбором является стерильная прозрачная повязка.</w:t>
      </w:r>
    </w:p>
    <w:p w14:paraId="396BCB07" w14:textId="77777777" w:rsidR="0034590E" w:rsidRPr="00952000" w:rsidRDefault="0034590E" w:rsidP="00A72B1B">
      <w:pPr>
        <w:pStyle w:val="afd"/>
        <w:numPr>
          <w:ilvl w:val="0"/>
          <w:numId w:val="48"/>
        </w:numPr>
        <w:rPr>
          <w:szCs w:val="24"/>
        </w:rPr>
      </w:pPr>
      <w:r w:rsidRPr="00952000">
        <w:rPr>
          <w:spacing w:val="2"/>
          <w:szCs w:val="24"/>
          <w:shd w:val="clear" w:color="auto" w:fill="FFFFFF"/>
        </w:rPr>
        <w:t>Если наблюдается кровоточивость вокруг места входа катетера в первые сутки после его введения, допустимо использование нетканой повязки с впитывающей подушечкой, которая подлежи</w:t>
      </w:r>
      <w:r>
        <w:rPr>
          <w:spacing w:val="2"/>
          <w:szCs w:val="24"/>
          <w:shd w:val="clear" w:color="auto" w:fill="FFFFFF"/>
        </w:rPr>
        <w:t>т замене на прозрачную через 24</w:t>
      </w:r>
      <w:r w:rsidRPr="00952000">
        <w:rPr>
          <w:spacing w:val="2"/>
          <w:szCs w:val="24"/>
          <w:shd w:val="clear" w:color="auto" w:fill="FFFFFF"/>
        </w:rPr>
        <w:t>ч.</w:t>
      </w:r>
    </w:p>
    <w:p w14:paraId="7758AFDE" w14:textId="77777777" w:rsidR="0034590E" w:rsidRPr="00952000" w:rsidRDefault="0034590E" w:rsidP="00A72B1B">
      <w:pPr>
        <w:pStyle w:val="afd"/>
        <w:numPr>
          <w:ilvl w:val="0"/>
          <w:numId w:val="48"/>
        </w:numPr>
        <w:rPr>
          <w:szCs w:val="24"/>
        </w:rPr>
      </w:pPr>
      <w:r w:rsidRPr="00952000">
        <w:rPr>
          <w:spacing w:val="2"/>
          <w:szCs w:val="24"/>
          <w:shd w:val="clear" w:color="auto" w:fill="FFFFFF"/>
        </w:rPr>
        <w:t>Замена прозрачных полиуретановых повязок на ЦВК производится каждые 5-7 сут (при условии, что фиксация не нарушена, нет выделений, сохранен обзор).</w:t>
      </w:r>
    </w:p>
    <w:p w14:paraId="205FE02C" w14:textId="77777777" w:rsidR="0034590E" w:rsidRDefault="0034590E" w:rsidP="00A72B1B">
      <w:pPr>
        <w:pStyle w:val="afd"/>
        <w:numPr>
          <w:ilvl w:val="0"/>
          <w:numId w:val="48"/>
        </w:numPr>
        <w:rPr>
          <w:spacing w:val="2"/>
          <w:szCs w:val="24"/>
          <w:shd w:val="clear" w:color="auto" w:fill="FFFFFF"/>
        </w:rPr>
      </w:pPr>
      <w:r w:rsidRPr="00952000">
        <w:rPr>
          <w:spacing w:val="2"/>
          <w:szCs w:val="24"/>
          <w:shd w:val="clear" w:color="auto" w:fill="FFFFFF"/>
        </w:rPr>
        <w:t>Визуальный осмотр места установки сосудистого катетера проводить не реже 1 раза в сутки</w:t>
      </w:r>
    </w:p>
    <w:p w14:paraId="1927A9AA" w14:textId="77777777" w:rsidR="0034590E" w:rsidRPr="00952000" w:rsidRDefault="0034590E" w:rsidP="0034590E">
      <w:pPr>
        <w:widowControl w:val="0"/>
        <w:autoSpaceDE w:val="0"/>
        <w:autoSpaceDN w:val="0"/>
        <w:adjustRightInd w:val="0"/>
        <w:ind w:left="640" w:hanging="640"/>
        <w:rPr>
          <w:szCs w:val="24"/>
        </w:rPr>
      </w:pPr>
    </w:p>
    <w:p w14:paraId="21A4A2A5" w14:textId="77777777" w:rsidR="0034590E" w:rsidRPr="00F30AB8" w:rsidRDefault="0034590E" w:rsidP="0034590E">
      <w:pPr>
        <w:pStyle w:val="2"/>
        <w:spacing w:before="0"/>
      </w:pPr>
      <w:bookmarkStart w:id="124" w:name="_Toc101882896"/>
      <w:r w:rsidRPr="00F30AB8">
        <w:t>Приложение А3.</w:t>
      </w:r>
      <w:bookmarkStart w:id="125" w:name="_Toc64475918"/>
      <w:bookmarkStart w:id="126" w:name="_Toc44926599"/>
      <w:r>
        <w:t>7.</w:t>
      </w:r>
      <w:r w:rsidRPr="00F30AB8">
        <w:t xml:space="preserve"> Трансплантация аутологичных гемопоэтических стволовых клеток</w:t>
      </w:r>
      <w:bookmarkEnd w:id="124"/>
      <w:bookmarkEnd w:id="125"/>
    </w:p>
    <w:p w14:paraId="44005D25" w14:textId="77777777" w:rsidR="0034590E" w:rsidRPr="00BA4F0F" w:rsidRDefault="0034590E" w:rsidP="0034590E">
      <w:pPr>
        <w:rPr>
          <w:i/>
          <w:szCs w:val="24"/>
          <w:u w:val="single"/>
        </w:rPr>
      </w:pPr>
      <w:r w:rsidRPr="00BA4F0F">
        <w:rPr>
          <w:i/>
          <w:szCs w:val="24"/>
          <w:u w:val="single"/>
        </w:rPr>
        <w:t>Мобилизация и сбор гемопоэтических стволовых клеток крови</w:t>
      </w:r>
      <w:bookmarkEnd w:id="126"/>
    </w:p>
    <w:p w14:paraId="5D024009" w14:textId="77777777" w:rsidR="0034590E" w:rsidRPr="00BA4F0F" w:rsidRDefault="0034590E" w:rsidP="0034590E">
      <w:pPr>
        <w:ind w:firstLine="567"/>
        <w:rPr>
          <w:szCs w:val="24"/>
        </w:rPr>
      </w:pPr>
      <w:r w:rsidRPr="00BA4F0F">
        <w:rPr>
          <w:szCs w:val="24"/>
        </w:rPr>
        <w:t>Мобилизация – резкое увеличение количества гемопоэтических стволовых клеток (ГСК) в периферической крови под воздействием ростовых факторов.</w:t>
      </w:r>
    </w:p>
    <w:p w14:paraId="3A5F932E" w14:textId="09349107" w:rsidR="0034590E" w:rsidRPr="00BA4F0F" w:rsidRDefault="0034590E" w:rsidP="0034590E">
      <w:pPr>
        <w:ind w:firstLine="567"/>
        <w:rPr>
          <w:szCs w:val="24"/>
        </w:rPr>
      </w:pPr>
      <w:r w:rsidRPr="00BA4F0F">
        <w:rPr>
          <w:szCs w:val="24"/>
        </w:rPr>
        <w:t xml:space="preserve">Исторически схемы мобилизации были основаны на применении химиотерапевтических препаратов, так как во время восстановления гемопоэза было замечено временное увеличение циркуляции стволовых клеток в крови. Однако результаты сбора ГСК были неудовлетворительными. Первые упоминания о присутствии в крови факторов, влияющих на кроветворение, относятся к началу прошлого столетия. В середине </w:t>
      </w:r>
      <w:r w:rsidRPr="00BA4F0F">
        <w:rPr>
          <w:szCs w:val="24"/>
          <w:lang w:val="en-US"/>
        </w:rPr>
        <w:t>XX</w:t>
      </w:r>
      <w:r w:rsidRPr="00BA4F0F">
        <w:rPr>
          <w:szCs w:val="24"/>
        </w:rPr>
        <w:t xml:space="preserve"> века две группы исследователей из США и Австралии разработали культуральную агаровую систему, в которой наблюдали рост колоний кроветворных клеток-предшественниц при добавлении определенных веществ. Эти вещества назвали колониестимулирующими факторами (КСФ). Дальнейшее их изучение позволило выделить </w:t>
      </w:r>
      <w:r w:rsidRPr="00BA4F0F">
        <w:rPr>
          <w:szCs w:val="24"/>
        </w:rPr>
        <w:lastRenderedPageBreak/>
        <w:t xml:space="preserve">несколько видов КСФ: гранулоцитарный (Г-КСФ), гранулоцитарно-макрофагальный (ГМ-КСФ), макрофагальный (М-КСФ), а также интерлейкин-3 (ИЛ-3) </w:t>
      </w:r>
      <w:r w:rsidRPr="00BA4F0F">
        <w:rPr>
          <w:szCs w:val="24"/>
        </w:rPr>
        <w:fldChar w:fldCharType="begin" w:fldLock="1"/>
      </w:r>
      <w:r w:rsidR="00F44253">
        <w:rPr>
          <w:szCs w:val="24"/>
        </w:rPr>
        <w:instrText>ADDIN CSL_CITATION {"citationItems":[{"id":"ITEM-1","itemData":{"DOI":"10.1073/pnas.82.5.1526","ISSN":"00278424","PMID":"3871951","abstract":"Pluripotent hematopoietic colony-stimulating factor (pluripotent CSF), a protein that is constitutively produced by the human bladder carcinoma cell line 5637, has been purified from low serum (0.2% fetal calf serum)-containing conditioned medium. The purification involved sequential ammonium sulfate precipitation, ion-exchange chromatography, gel filtration, and reversed-phase high-performance liquid chromatography. The purified protein has a molecular weight of 18,000 in NaDodSO4/polyacrylamide gel electrophoresis, both by the silver staining technique and by elution of biological activity from a corresponding gel slice, and has an isoelectric point of 5.5. Pluripotent CSF supports the growth of human mixed colonies, granulocyte-macrophage colonies, and early erythroid colonies and induces differentiation of the human promyelocytic leukemic cell line HL-60 and the murine myelomonocytic leukemic cell line WEHI-3B (D+). The specific activity of the purified pluripotent CSF in the granulocyte-macrophage colony assay is 1.5 x 108 units/mg of protein.","author":[{"dropping-particle":"","family":"Welte","given":"K.","non-dropping-particle":"","parse-names":false,"suffix":""},{"dropping-particle":"","family":"Platzer","given":"E.","non-dropping-particle":"","parse-names":false,"suffix":""},{"dropping-particle":"","family":"Lu","given":"L.","non-dropping-particle":"","parse-names":false,"suffix":""},{"dropping-particle":"","family":"Gabrilove","given":"J. L.","non-dropping-particle":"","parse-names":false,"suffix":""},{"dropping-particle":"","family":"Levi","given":"E.","non-dropping-particle":"","parse-names":false,"suffix":""},{"dropping-particle":"","family":"Mertelsmann","given":"R.","non-dropping-particle":"","parse-names":false,"suffix":""},{"dropping-particle":"","family":"Moore","given":"M. A.","non-dropping-particle":"","parse-names":false,"suffix":""}],"container-title":"Proceedings of the National Academy of Sciences of the United States of America","id":"ITEM-1","issue":"5","issued":{"date-parts":[["1985"]]},"page":"1526-1530","publisher":"Proc Natl Acad Sci U S A","title":"Purification and biochemical characterization of human pluripotent hematopoietic colony-stimulating factor","type":"article-journal","volume":"82"},"uris":["http://www.mendeley.com/documents/?uuid=5a57c90b-10d4-3d1e-84dc-5ac72b3ec78e","http://www.mendeley.com/documents/?uuid=41736d03-81c6-4c9d-9a68-05b29415ebd4","http://www.mendeley.com/documents/?uuid=8b38e00f-df77-4da9-9ba0-e5a98fa4faf8","http://www.mendeley.com/documents/?uuid=9ac7dafe-885b-40a2-b482-765fe36e21ca","http://www.mendeley.com/documents/?uuid=bc0e2586-6f76-47d1-901a-4feb252dd38c","http://www.mendeley.com/documents/?uuid=ce804cbb-1eb2-4746-a514-982ca9436e54","http://www.mendeley.com/documents/?uuid=b7e547dc-3d9b-40b2-b055-6d376790a636"]}],"mendeley":{"formattedCitation":"[107]","plainTextFormattedCitation":"[107]","previouslyFormattedCitation":"[107]"},"properties":{"noteIndex":0},"schema":"https://github.com/citation-style-language/schema/raw/master/csl-citation.json"}</w:instrText>
      </w:r>
      <w:r w:rsidRPr="00BA4F0F">
        <w:rPr>
          <w:szCs w:val="24"/>
        </w:rPr>
        <w:fldChar w:fldCharType="separate"/>
      </w:r>
      <w:r w:rsidR="004D13EB" w:rsidRPr="004D13EB">
        <w:rPr>
          <w:noProof/>
          <w:szCs w:val="24"/>
        </w:rPr>
        <w:t>[107]</w:t>
      </w:r>
      <w:r w:rsidRPr="00BA4F0F">
        <w:rPr>
          <w:szCs w:val="24"/>
        </w:rPr>
        <w:fldChar w:fldCharType="end"/>
      </w:r>
      <w:r w:rsidRPr="00BA4F0F">
        <w:rPr>
          <w:szCs w:val="24"/>
        </w:rPr>
        <w:t>.</w:t>
      </w:r>
    </w:p>
    <w:p w14:paraId="7F9E137D" w14:textId="77777777" w:rsidR="0034590E" w:rsidRPr="00BA4F0F" w:rsidRDefault="0034590E" w:rsidP="0034590E">
      <w:pPr>
        <w:ind w:firstLine="567"/>
        <w:rPr>
          <w:szCs w:val="24"/>
        </w:rPr>
      </w:pPr>
      <w:r w:rsidRPr="00BA4F0F">
        <w:rPr>
          <w:szCs w:val="24"/>
        </w:rPr>
        <w:t xml:space="preserve">В клинической практике рекомбинантные препараты Г-КСФ получили наиболее широкое распространение в качестве стимуляторов лейкопоэза. В настоящее время применение Г-КСФ является стандартом при мобилизации ГСК . </w:t>
      </w:r>
    </w:p>
    <w:p w14:paraId="6E5EA30F" w14:textId="77777777" w:rsidR="0034590E" w:rsidRPr="00BA4F0F" w:rsidRDefault="0034590E" w:rsidP="0034590E">
      <w:pPr>
        <w:ind w:firstLine="567"/>
        <w:rPr>
          <w:szCs w:val="24"/>
        </w:rPr>
      </w:pPr>
      <w:r w:rsidRPr="00BA4F0F">
        <w:rPr>
          <w:szCs w:val="24"/>
        </w:rPr>
        <w:t xml:space="preserve">Разработано несколько схем мобилизации ГСК, используемых в онкогематологии, в каждой из которых применяется Г-КСФ. </w:t>
      </w:r>
    </w:p>
    <w:p w14:paraId="3FA27202" w14:textId="77777777" w:rsidR="0034590E" w:rsidRPr="00BA4F0F" w:rsidRDefault="0034590E" w:rsidP="0034590E">
      <w:pPr>
        <w:pStyle w:val="11"/>
        <w:spacing w:before="0"/>
      </w:pPr>
      <w:bookmarkStart w:id="127" w:name="_Toc44926601"/>
    </w:p>
    <w:p w14:paraId="55FC7E6F" w14:textId="77777777" w:rsidR="0034590E" w:rsidRPr="00BA4F0F" w:rsidRDefault="0034590E" w:rsidP="0034590E">
      <w:pPr>
        <w:rPr>
          <w:b/>
          <w:szCs w:val="24"/>
        </w:rPr>
      </w:pPr>
      <w:r w:rsidRPr="00BA4F0F">
        <w:rPr>
          <w:b/>
          <w:szCs w:val="24"/>
        </w:rPr>
        <w:t>Алгоритм принятия решения перед мобилизацией ГСК</w:t>
      </w:r>
      <w:bookmarkEnd w:id="127"/>
    </w:p>
    <w:p w14:paraId="528B3BA5" w14:textId="77777777" w:rsidR="0034590E" w:rsidRPr="00BA4F0F" w:rsidRDefault="0034590E" w:rsidP="00A72B1B">
      <w:pPr>
        <w:pStyle w:val="afd"/>
        <w:numPr>
          <w:ilvl w:val="0"/>
          <w:numId w:val="60"/>
        </w:numPr>
        <w:rPr>
          <w:szCs w:val="24"/>
        </w:rPr>
      </w:pPr>
      <w:r w:rsidRPr="00BA4F0F">
        <w:rPr>
          <w:szCs w:val="24"/>
        </w:rPr>
        <w:t>оценка статуса больного (наличие показаний для трансплантации аутологичных гемопоэтических стволовых клеток (ауто-ТГСК), стандартное обследование для исключения факторов, препятствующих проведению высокодозного лечения, коморбидность, согласие больного, изучение предшествующей терапии - количество курсов и сроки окончания лечения, использование лучевой терапии)</w:t>
      </w:r>
    </w:p>
    <w:p w14:paraId="427C022E" w14:textId="77777777" w:rsidR="0034590E" w:rsidRPr="00BA4F0F" w:rsidRDefault="0034590E" w:rsidP="00A72B1B">
      <w:pPr>
        <w:pStyle w:val="afd"/>
        <w:numPr>
          <w:ilvl w:val="0"/>
          <w:numId w:val="60"/>
        </w:numPr>
        <w:rPr>
          <w:szCs w:val="24"/>
        </w:rPr>
      </w:pPr>
      <w:r w:rsidRPr="00BA4F0F">
        <w:rPr>
          <w:szCs w:val="24"/>
        </w:rPr>
        <w:t>оценка статуса болезни - глубина противоопухолевого ответа, наличие ремиссии, сроки ее достижения;</w:t>
      </w:r>
    </w:p>
    <w:p w14:paraId="2A6C855D" w14:textId="77777777" w:rsidR="0034590E" w:rsidRPr="00BA4F0F" w:rsidRDefault="0034590E" w:rsidP="00A72B1B">
      <w:pPr>
        <w:pStyle w:val="afd"/>
        <w:numPr>
          <w:ilvl w:val="0"/>
          <w:numId w:val="60"/>
        </w:numPr>
        <w:rPr>
          <w:szCs w:val="24"/>
        </w:rPr>
      </w:pPr>
      <w:r w:rsidRPr="00BA4F0F">
        <w:rPr>
          <w:szCs w:val="24"/>
        </w:rPr>
        <w:t>оценка состояния кроветворения (гистологическое исследование костного мозга позволит выявить угнетение ростков кроветворения, а также инфильтрацию костного мозга опухолевыми клетками)</w:t>
      </w:r>
    </w:p>
    <w:p w14:paraId="204514C8" w14:textId="77777777" w:rsidR="0034590E" w:rsidRPr="00BA4F0F" w:rsidRDefault="0034590E" w:rsidP="0034590E">
      <w:pPr>
        <w:ind w:firstLine="567"/>
        <w:rPr>
          <w:szCs w:val="24"/>
        </w:rPr>
      </w:pPr>
      <w:r w:rsidRPr="00BA4F0F">
        <w:rPr>
          <w:szCs w:val="24"/>
        </w:rPr>
        <w:t>Наиболее доступным иммунологическим маркером кроветворных предшественников является экспрессия антигена СD34. Эта молекула присутствует как на наиболее примитивных стволовых клетках, так и на дифференцированных предшественниках, однако на зрелых гемопоэтических клетках экспрессии CD34 нет.</w:t>
      </w:r>
    </w:p>
    <w:p w14:paraId="153B07E3" w14:textId="0A68C27E" w:rsidR="0034590E" w:rsidRPr="00BA4F0F" w:rsidRDefault="0034590E" w:rsidP="0034590E">
      <w:pPr>
        <w:ind w:firstLine="567"/>
        <w:rPr>
          <w:szCs w:val="24"/>
        </w:rPr>
      </w:pPr>
      <w:r w:rsidRPr="00BA4F0F">
        <w:rPr>
          <w:szCs w:val="24"/>
        </w:rPr>
        <w:t xml:space="preserve">Именно суммарный пул CD34+ клеток определяет сроки восстановления кроветворения после трансплантации </w:t>
      </w:r>
      <w:r w:rsidRPr="00BA4F0F">
        <w:rPr>
          <w:szCs w:val="24"/>
        </w:rPr>
        <w:fldChar w:fldCharType="begin" w:fldLock="1"/>
      </w:r>
      <w:r w:rsidR="00F44253">
        <w:rPr>
          <w:szCs w:val="24"/>
        </w:rPr>
        <w:instrText>ADDIN CSL_CITATION {"citationItems":[{"id":"ITEM-1","itemData":{"DOI":"10.1182/blood.v87.1.1.bloodjournal8711","ISSN":"00064971","PMID":"8547630","author":[{"dropping-particle":"","family":"Krause","given":"Diane S.","non-dropping-particle":"","parse-names":false,"suffix":""},{"dropping-particle":"","family":"Fackler","given":"Mary Jo","non-dropping-particle":"","parse-names":false,"suffix":""},{"dropping-particle":"","family":"Civin","given":"Curt I.","non-dropping-particle":"","parse-names":false,"suffix":""},{"dropping-particle":"","family":"May","given":"W. Stratford","non-dropping-particle":"","parse-names":false,"suffix":""}],"container-title":"Blood","id":"ITEM-1","issue":"1","issued":{"date-parts":[["1996","1"]]},"page":"1-13","publisher":"American Society of Hematology","title":"CD34: Structure, biology, and clinical utility","type":"article","volume":"87"},"uris":["http://www.mendeley.com/documents/?uuid=e4a53186-d5a2-35ce-9c02-67bfa05e0886","http://www.mendeley.com/documents/?uuid=1a71f447-44fb-4b59-ac8a-1da92d0990b3","http://www.mendeley.com/documents/?uuid=518c4307-6db7-4716-894c-8d6c14cf80db","http://www.mendeley.com/documents/?uuid=c05ac1ea-efeb-4341-9a99-2e75eb37db1e","http://www.mendeley.com/documents/?uuid=95496d3c-b097-411f-9ec4-45c1036c6a68","http://www.mendeley.com/documents/?uuid=f461ab1d-9e2e-41ce-99d7-7c0f5d907eb5","http://www.mendeley.com/documents/?uuid=6bac5d54-b1f3-4ac8-a201-bb7356545600"]},{"id":"ITEM-2","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Transplantation","id":"ITEM-2","issue":"3","issued":{"date-parts":[["2014","3"]]},"page":"295-308","publisher":"Elsevier","title":"Optimizing autologous stem cell mobilization strategies to improve patient outcomes: Consensus guidelines and recommendations","type":"article","volume":"20"},"uris":["http://www.mendeley.com/documents/?uuid=f0ad3abd-ce55-3df5-b4f9-e8598b8d0fa8","http://www.mendeley.com/documents/?uuid=aa3272db-ed0f-40c1-949a-b78843f4ce67","http://www.mendeley.com/documents/?uuid=cf158ac3-8f92-4973-85ea-fed641e1f9aa","http://www.mendeley.com/documents/?uuid=312e78a3-0bac-4bd4-bc5d-4ab2db1ceb87","http://www.mendeley.com/documents/?uuid=e4bbc320-ed80-4839-8759-9919ec753098","http://www.mendeley.com/documents/?uuid=43c5883b-a94a-435d-a102-5bbe11f4e704","http://www.mendeley.com/documents/?uuid=43ce11fb-9802-4761-b036-0d546f3d6abf"]}],"mendeley":{"formattedCitation":"[108,109]","plainTextFormattedCitation":"[108,109]","previouslyFormattedCitation":"[108,109]"},"properties":{"noteIndex":0},"schema":"https://github.com/citation-style-language/schema/raw/master/csl-citation.json"}</w:instrText>
      </w:r>
      <w:r w:rsidRPr="00BA4F0F">
        <w:rPr>
          <w:szCs w:val="24"/>
        </w:rPr>
        <w:fldChar w:fldCharType="separate"/>
      </w:r>
      <w:r w:rsidR="004D13EB" w:rsidRPr="004D13EB">
        <w:rPr>
          <w:noProof/>
          <w:szCs w:val="24"/>
        </w:rPr>
        <w:t>[108,109]</w:t>
      </w:r>
      <w:r w:rsidRPr="00BA4F0F">
        <w:rPr>
          <w:szCs w:val="24"/>
        </w:rPr>
        <w:fldChar w:fldCharType="end"/>
      </w:r>
      <w:r w:rsidRPr="00BA4F0F">
        <w:rPr>
          <w:szCs w:val="24"/>
        </w:rPr>
        <w:t>. Неоднократно предпринимались попытки установить количество CD34+ клеток, необходимое для быстрого и успешного восстановления гемопоэза после трансплантации</w:t>
      </w:r>
      <w:r w:rsidRPr="00BA4F0F">
        <w:rPr>
          <w:szCs w:val="24"/>
        </w:rPr>
        <w:fldChar w:fldCharType="begin" w:fldLock="1"/>
      </w:r>
      <w:r w:rsidR="00F44253">
        <w:rPr>
          <w:szCs w:val="24"/>
        </w:rPr>
        <w:instrText>ADDIN CSL_CITATION {"citationItems":[{"id":"ITEM-1","itemData":{"DOI":"10.1016/j.bbmt.2010.11.021","ISSN":"10838791","abstract":"Autologous hematopoietic stem cell transplantation (ASCT) is an established treatment for patients with hematologic malignancies, yet the impact of transplanted CD34 + cell dose on clinical outcomes is unresolved. We conducted post hoc analyses of transplanted CD34 + cell dose and hematopoietic recovery following ASCT in 438 patients with non-Hodgkin lymphoma (NHL) or multiple myeloma (MM), using data from 2 multicenter phase 3 clinical studies that compared plerixafor plus granulocyte-colony stimulating factor (G-CSF) versus placebo plus G-CSF as stem cell mobilization regimens. Days to engraftment and the proportion of patients who reached predetermined blood count thresholds were compared across 3 CD34 + cell dose levels: 2-4 × 10 6 cells/kg, 4-6 × 10 6 cells/kg, and &gt;6 × 10 6 cells/kg, regardless of mobilization treatment. Short-term neutrophil and platelet engraftment times were similar regardless of cell dose. A significant linear trend was observed between transplanted CD34 + cell dose and the proportion of patients with platelet count &gt;150 × 10 9/L at 100 days (P &lt; .001), 6 months (P = 026), and 12 months (P = 020) in patients with NHL, and at 100 days in patients with MM (P = 004). A linear trend was also observed between transplanted cell dose and the proportion of patients with platelet count &gt;100 × 10 9/L at 100 days (P &lt; .001) and 6 months (P = 023) in patients with NHL. A higher cell dose was associated with a lower percentage of NHL patients requiring red blood cell transfusions (P = 006). Our analyses confirm previous findings that transplanted CD34 + cell dose may be associated with better long-term platelet recovery after ASCT. © 2011 American Society for Blood and Marrow Transplantation.","author":[{"dropping-particle":"","family":"Stiff","given":"Patrick J.","non-dropping-particle":"","parse-names":false,"suffix":""},{"dropping-particle":"","family":"Micallef","given":"Ivana","non-dropping-particle":"","parse-names":false,"suffix":""},{"dropping-particle":"","family":"Nademanee","given":"Auayporn P.","non-dropping-particle":"","parse-names":false,"suffix":""},{"dropping-particle":"","family":"Stadtmauer","given":"Edward A.","non-dropping-particle":"","parse-names":false,"suffix":""},{"dropping-particle":"","family":"Maziarz","given":"Richard T.","non-dropping-particle":"","parse-names":false,"suffix":""},{"dropping-particle":"","family":"Bolwell","given":"Brian J.","non-dropping-particle":"","parse-names":false,"suffix":""},{"dropping-particle":"","family":"Bridger","given":"Gary","non-dropping-particle":"","parse-names":false,"suffix":""},{"dropping-particle":"","family":"Marulkar","given":"Sachin","non-dropping-particle":"","parse-names":false,"suffix":""},{"dropping-particle":"","family":"Hsu","given":"Frank J.","non-dropping-particle":"","parse-names":false,"suffix":""},{"dropping-particle":"","family":"DiPersio","given":"John F.","non-dropping-particle":"","parse-names":false,"suffix":""}],"container-title":"Biology of Blood and Marrow Transplantation","id":"ITEM-1","issue":"8","issued":{"date-parts":[["2011","8"]]},"page":"1146-1153","publisher":"Biol Blood Marrow Transplant","title":"Transplanted CD34 + Cell Dose Is Associated with Long-Term Platelet Count Recovery following Autologous Peripheral Blood Stem Cell Transplant in Patients with Non-Hodgkin Lymphoma or Multiple Myeloma","type":"article-journal","volume":"17"},"uris":["http://www.mendeley.com/documents/?uuid=48a19164-f2f4-3c72-92ac-75035529f84f","http://www.mendeley.com/documents/?uuid=0a6d07c9-82c9-4733-a748-4fde4ac355bf","http://www.mendeley.com/documents/?uuid=bf0d8f8a-f914-4a58-91b3-f9ddad3e5687","http://www.mendeley.com/documents/?uuid=b1384089-6533-4d2c-bd79-0f7357070e64","http://www.mendeley.com/documents/?uuid=58d20dd0-b39a-406e-8082-76a20c05645c","http://www.mendeley.com/documents/?uuid=cfbf2990-7580-4b9a-af63-5c87bebbc637","http://www.mendeley.com/documents/?uuid=aeec743f-aab0-4ef2-b5a9-bcb8a120b592"]},{"id":"ITEM-2","itemData":{"DOI":"10.1200/JCO.1995.13.3.705","ISSN":"0732183X","abstract":"Purpose: (1) To study the ability of mobilized peripheral-blood progenitor cells (PBPC) collected in a single large-volume leukapheresis performed on a predetermined date to accelerate engraftment after high-dose cyclophosphamide and thiotepa; (2) to establish the minimum dose of PBPC associated with early engraftment; and (3) to identify parameters predictive of collection of large numbers of PBPC. Patients and Methods: Twenty-three patients with breast cancer received cyclophosphamide (4 g/m2) and granulocyte-macrophage colony- stimulating factor ([GM-CSF] 5 μg/kg/d x 15 days) for PBPC mobilization. A single leukapheresis was performed 15 days after cyclophosphamide administration. Then, patients received high-dose cyclophosphamide and thiotepa followed by reinfusion of PBPC and 4-hydroperoxycyclophosphamide (4HC)-purged bone marrow. PBPC concentration was measured in serial peripheral-blood samples and in the leukapheresis product. Correlation analysis between PBPC dose and engraftment and between leukapheresis yield and patient characteristics was attempted. Results: A single leukapheresis processed a median 36 L (range, 24 to 46) blood and collected 5 x 106 CD34+ cells/kg (&lt; 0.3 to 24) and 6.2 x 105 colony-forming units granulocyte- macrophage (CFU-GM)/kg (&lt; 0.001 to 29). All sixteen patients (70%) reinfused with ≥ 2.9 x 106 CD34+ cells/kg reached a level of greater than 1,000 leukocytes/μL by day 13 and greater than 50,000 platelets/μL by day 15. All of these patients had a percentage of peripheral-blood CD34+ cells ≥ 0.5%, and all but one, a level of greater than 100,000 platelets/μL, on the day of leukapheresis. The bone marrow CD34+ cell percentage at study entry predicted the number of CD34+ cells collected after PBPC mobilization (R2 = .42, P = .002). All patients with ≥ 2.5% bone marrow CD34+ cells experienced early engraftment. Conclusion: Reinfusion of PBPC collected in a single leukapheresis accelerates engraftment in the majority of patients. Pretreatment bone marrow CD34+ cell content determines PBPC mobilization capacity and may help select hematopoietic rescue strategies.","author":[{"dropping-particle":"","family":"Passos-Coelho","given":"J. L.","non-dropping-particle":"","parse-names":false,"suffix":""},{"dropping-particle":"","family":"Braine","given":"H. G.","non-dropping-particle":"","parse-names":false,"suffix":""},{"dropping-particle":"","family":"Davis","given":"J. M.","non-dropping-particle":"","parse-names":false,"suffix":""},{"dropping-particle":"","family":"Huelskamp","given":"A. M.","non-dropping-particle":"","parse-names":false,"suffix":""},{"dropping-particle":"","family":"Schepers","given":"K. G.","non-dropping-particle":"","parse-names":false,"suffix":""},{"dropping-particle":"","family":"Ohly","given":"K.","non-dropping-particle":"","parse-names":false,"suffix":""},{"dropping-particle":"","family":"Clarke","given":"B.","non-dropping-particle":"","parse-names":false,"suffix":""},{"dropping-particle":"","family":"Wright","given":"S. K.","non-dropping-particle":"","parse-names":false,"suffix":""},{"dropping-particle":"","family":"Noga","given":"S. J.","non-dropping-particle":"","parse-names":false,"suffix":""},{"dropping-particle":"","family":"Davidson","given":"N. E.","non-dropping-particle":"","parse-names":false,"suffix":""},{"dropping-particle":"","family":"Kennedy","given":"M. J.","non-dropping-particle":"","parse-names":false,"suffix":""}],"container-title":"Journal of Clinical Oncology","id":"ITEM-2","issue":"3","issued":{"date-parts":[["1995"]]},"page":"705-714","publisher":"American Society of Clinical Oncology","title":"Predictive factors for peripheral-blood progenitor-cell collections using a single large-volume leukapheresis after cyclophosphamide and granulocyte- macrophage colony-stimulating factor mobilization","type":"article-journal","volume":"13"},"uris":["http://www.mendeley.com/documents/?uuid=9f936e14-dfc0-3b69-9eaa-703ea91a9517","http://www.mendeley.com/documents/?uuid=9bed808d-d71c-46a0-b6d7-9d6ce13e9c7d","http://www.mendeley.com/documents/?uuid=3706d09b-9023-490d-be3b-1e194d3fc1e4","http://www.mendeley.com/documents/?uuid=b899bbef-369f-4f35-8bd0-80f8725dd530","http://www.mendeley.com/documents/?uuid=32153687-438a-4c6a-ac63-3b5dbfa89f35","http://www.mendeley.com/documents/?uuid=69a86837-0dbe-4f8c-a0e9-040b7ce7c64b","http://www.mendeley.com/documents/?uuid=0a886e27-4a35-4e92-a56e-e7808e952669"]},{"id":"ITEM-3","itemData":{"ISSN":"0301-472X","PMID":"7681782","abstract":"High-dose conditioning therapy followed by autografting with blood stem cells rather than bone marrow has become an increasingly used transplantation modality for patients with chemosensitive malignancies. We treated 10 patients with malignant lymphoma in sensitive relapse with recombinant human granulocyte colony-stimulating factor (rhG-CSF) following salvage therapy. rhG-CSF was given subcutaneously (5 micrograms/kg/day) starting 24 hours after chemotherapy and stem cell collection was performed by repeated leukaphereses during leukocyte recovery. The yield of myeloid progenitors varied between 0.79 and 38.36 x 10(4) CFU-GM/kg body weight (median 4.1 x 10(4). A strong correlation was found between the number of granulocyte-macrophage colony-forming cells (CFU-GM) plus blast-forming erythroid cells (BFU-E) and CD34-positive (CD34+) cells (R = 0.80; p &lt; 0.001). The majority of CD34+ cells (&gt; 95%) strongly coexpressed human lymphocyte antigen-DR (HLA-DR) and CD38, whereas CD33 varied between 20% and 94%. Costaining of CD34+ cells for CD19 above the control level could not be detected, suggesting that early B lymphoid progenitors are not expanded or released into the circulation by rhG-CSF. Following total body irradiation (TBI)/cyclophosphamide or the CBV regimen (cyclophosphamide, BCNU, VP-16), all patients achieved complete engraftment with a median of 14 days for 1.0 x 10(9)/L white blood cells (WBC), 15 days for 0.5 x 10(9)/L polymorphonuclear cells (PMN) and 22 days for 20 x 10(9)/L platelets. The quantity of CFU-GM/kg transplanted was predictive for neutrophil and platelet recovery. The strongest correlation, however, was found between the number of CD34+ cells/kg autografted and platelet recovery (R = -0.86; p &lt; 0.001). The patients transplanted with more than 5 x 10(6)/kg CD34+ cells reached an unsubstituted platelet count &gt; 20 x 10(9)/L within 8 to 12 days. Our data demonstrate that rapid and complete engraftment can be achieved following myeloablative conditioning therapy with rhG-CSF-exposed blood stem cells without the need for additional bone marrow support or growth factor administration posttransplantation.","author":[{"dropping-particle":"","family":"Hohaus","given":"S","non-dropping-particle":"","parse-names":false,"suffix":""},{"dropping-particle":"","family":"Goldschmidt","given":"H","non-dropping-particle":"","parse-names":false,"suffix":""},{"dropping-particle":"","family":"Ehrhardt","given":"R","non-dropping-particle":"","parse-names":false,"suffix":""},{"dropping-particle":"","family":"Haas","given":"R","non-dropping-particle":"","parse-names":false,"suffix":""}],"container-title":"Experimental hematology","id":"ITEM-3","issue":"4","issued":{"date-parts":[["1993","4"]]},"page":"508-14","title":"Successful autografting following myeloablative conditioning therapy with blood stem cells mobilized by chemotherapy plus rhG-CSF.","type":"article-journal","volume":"21"},"uris":["http://www.mendeley.com/documents/?uuid=93812be1-7e65-3951-a468-4e3845502bab","http://www.mendeley.com/documents/?uuid=5b122eed-6453-4084-bfc7-422828bb1ccd","http://www.mendeley.com/documents/?uuid=b7c9c36c-a1b4-443e-870d-da0340dfc5f8","http://www.mendeley.com/documents/?uuid=80050e51-5010-4c71-a36b-97f1521bf43a","http://www.mendeley.com/documents/?uuid=38148a1c-e077-4358-ba14-0dc030862937","http://www.mendeley.com/documents/?uuid=7bc7df1c-3342-4a37-b645-1fd9957bd694","http://www.mendeley.com/documents/?uuid=841a47c1-56d9-4183-95e4-12fced0a860d"]},{"id":"ITEM-4","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Transplantation","id":"ITEM-4","issue":"3","issued":{"date-parts":[["2014","3"]]},"page":"295-308","publisher":"Elsevier","title":"Optimizing autologous stem cell mobilization strategies to improve patient outcomes: Consensus guidelines and recommendations","type":"article","volume":"20"},"uris":["http://www.mendeley.com/documents/?uuid=43ce11fb-9802-4761-b036-0d546f3d6abf","http://www.mendeley.com/documents/?uuid=43c5883b-a94a-435d-a102-5bbe11f4e704","http://www.mendeley.com/documents/?uuid=e4bbc320-ed80-4839-8759-9919ec753098","http://www.mendeley.com/documents/?uuid=312e78a3-0bac-4bd4-bc5d-4ab2db1ceb87","http://www.mendeley.com/documents/?uuid=cf158ac3-8f92-4973-85ea-fed641e1f9aa","http://www.mendeley.com/documents/?uuid=aa3272db-ed0f-40c1-949a-b78843f4ce67","http://www.mendeley.com/documents/?uuid=f0ad3abd-ce55-3df5-b4f9-e8598b8d0fa8"]}],"mendeley":{"formattedCitation":"[109–112]","plainTextFormattedCitation":"[109–112]","previouslyFormattedCitation":"[109–112]"},"properties":{"noteIndex":0},"schema":"https://github.com/citation-style-language/schema/raw/master/csl-citation.json"}</w:instrText>
      </w:r>
      <w:r w:rsidRPr="00BA4F0F">
        <w:rPr>
          <w:szCs w:val="24"/>
        </w:rPr>
        <w:fldChar w:fldCharType="separate"/>
      </w:r>
      <w:r w:rsidR="004D13EB" w:rsidRPr="004D13EB">
        <w:rPr>
          <w:noProof/>
          <w:szCs w:val="24"/>
        </w:rPr>
        <w:t>[109–112]</w:t>
      </w:r>
      <w:r w:rsidRPr="00BA4F0F">
        <w:rPr>
          <w:szCs w:val="24"/>
        </w:rPr>
        <w:fldChar w:fldCharType="end"/>
      </w:r>
      <w:r w:rsidRPr="00BA4F0F">
        <w:rPr>
          <w:szCs w:val="24"/>
        </w:rPr>
        <w:t xml:space="preserve">. </w:t>
      </w:r>
    </w:p>
    <w:p w14:paraId="14AA5108" w14:textId="77777777" w:rsidR="0034590E" w:rsidRPr="00BA4F0F" w:rsidRDefault="0034590E" w:rsidP="0034590E">
      <w:pPr>
        <w:ind w:firstLine="567"/>
        <w:rPr>
          <w:szCs w:val="24"/>
        </w:rPr>
      </w:pPr>
      <w:r w:rsidRPr="00BA4F0F">
        <w:rPr>
          <w:szCs w:val="24"/>
        </w:rPr>
        <w:t>В настоящее время принято считать, что минимальным количеством клеток, необходимым для проведения одной аутологичной трансплантации, является 2×10</w:t>
      </w:r>
      <w:r w:rsidRPr="00BA4F0F">
        <w:rPr>
          <w:szCs w:val="24"/>
          <w:vertAlign w:val="superscript"/>
        </w:rPr>
        <w:t xml:space="preserve">6 </w:t>
      </w:r>
      <w:r w:rsidRPr="00BA4F0F">
        <w:rPr>
          <w:szCs w:val="24"/>
        </w:rPr>
        <w:t>CD34+ клеток/кг веса больного, а оптимальным количеством – значение 3 – 5 × 10</w:t>
      </w:r>
      <w:r w:rsidRPr="00BA4F0F">
        <w:rPr>
          <w:szCs w:val="24"/>
          <w:vertAlign w:val="superscript"/>
        </w:rPr>
        <w:t xml:space="preserve">6 </w:t>
      </w:r>
      <w:r w:rsidRPr="00BA4F0F">
        <w:rPr>
          <w:szCs w:val="24"/>
        </w:rPr>
        <w:t>CD34+ клеток/кг. В некоторых работах представлено, что при использовании трансплантата, содержащего более 5х10</w:t>
      </w:r>
      <w:r w:rsidRPr="00BA4F0F">
        <w:rPr>
          <w:szCs w:val="24"/>
          <w:vertAlign w:val="superscript"/>
        </w:rPr>
        <w:t xml:space="preserve">6 </w:t>
      </w:r>
      <w:r w:rsidRPr="00BA4F0F">
        <w:rPr>
          <w:szCs w:val="24"/>
        </w:rPr>
        <w:t xml:space="preserve">CD34+клеток/кг, отмечается меньшая длительность нейтропении и тромбоцитопении. </w:t>
      </w:r>
    </w:p>
    <w:p w14:paraId="64F350E8" w14:textId="79C54192" w:rsidR="0034590E" w:rsidRPr="00BA4F0F" w:rsidRDefault="0034590E" w:rsidP="0034590E">
      <w:pPr>
        <w:ind w:firstLine="567"/>
        <w:rPr>
          <w:szCs w:val="24"/>
        </w:rPr>
      </w:pPr>
      <w:r w:rsidRPr="00BA4F0F">
        <w:rPr>
          <w:szCs w:val="24"/>
        </w:rPr>
        <w:lastRenderedPageBreak/>
        <w:t xml:space="preserve">Однако тщательно спланированных проспективных рандомизированных исследований не проводилось, поэтому определить влияние высоких доз CD34+ клеток на кинетику приживления не представляется возможным </w:t>
      </w:r>
      <w:r w:rsidRPr="00BA4F0F">
        <w:rPr>
          <w:szCs w:val="24"/>
        </w:rPr>
        <w:fldChar w:fldCharType="begin" w:fldLock="1"/>
      </w:r>
      <w:r w:rsidR="00F44253">
        <w:rPr>
          <w:szCs w:val="24"/>
        </w:rPr>
        <w:instrText>ADDIN CSL_CITATION {"citationItems":[{"id":"ITEM-1","itemData":{"DOI":"10.1016/j.bbmt.2013.10.013","ISSN":"10838791","abstract":"Autologous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Transplantation","id":"ITEM-1","issue":"3","issued":{"date-parts":[["2014","3"]]},"page":"295-308","publisher":"Elsevier","title":"Optimizing autologous stem cell mobilization strategies to improve patient outcomes: Consensus guidelines and recommendations","type":"article","volume":"20"},"uris":["http://www.mendeley.com/documents/?uuid=43ce11fb-9802-4761-b036-0d546f3d6abf","http://www.mendeley.com/documents/?uuid=43c5883b-a94a-435d-a102-5bbe11f4e704","http://www.mendeley.com/documents/?uuid=e4bbc320-ed80-4839-8759-9919ec753098","http://www.mendeley.com/documents/?uuid=312e78a3-0bac-4bd4-bc5d-4ab2db1ceb87","http://www.mendeley.com/documents/?uuid=cf158ac3-8f92-4973-85ea-fed641e1f9aa","http://www.mendeley.com/documents/?uuid=aa3272db-ed0f-40c1-949a-b78843f4ce67","http://www.mendeley.com/documents/?uuid=f0ad3abd-ce55-3df5-b4f9-e8598b8d0fa8"]}],"mendeley":{"formattedCitation":"[109]","plainTextFormattedCitation":"[109]","previouslyFormattedCitation":"[109]"},"properties":{"noteIndex":0},"schema":"https://github.com/citation-style-language/schema/raw/master/csl-citation.json"}</w:instrText>
      </w:r>
      <w:r w:rsidRPr="00BA4F0F">
        <w:rPr>
          <w:szCs w:val="24"/>
        </w:rPr>
        <w:fldChar w:fldCharType="separate"/>
      </w:r>
      <w:r w:rsidR="004D13EB" w:rsidRPr="004D13EB">
        <w:rPr>
          <w:noProof/>
          <w:szCs w:val="24"/>
        </w:rPr>
        <w:t>[109]</w:t>
      </w:r>
      <w:r w:rsidRPr="00BA4F0F">
        <w:rPr>
          <w:szCs w:val="24"/>
        </w:rPr>
        <w:fldChar w:fldCharType="end"/>
      </w:r>
      <w:r w:rsidRPr="00BA4F0F">
        <w:rPr>
          <w:szCs w:val="24"/>
        </w:rPr>
        <w:t>.</w:t>
      </w:r>
    </w:p>
    <w:p w14:paraId="6573CC8A" w14:textId="77777777" w:rsidR="0034590E" w:rsidRPr="00BA4F0F" w:rsidRDefault="0034590E" w:rsidP="0034590E">
      <w:pPr>
        <w:pStyle w:val="11"/>
        <w:spacing w:before="0"/>
      </w:pPr>
      <w:bookmarkStart w:id="128" w:name="_Toc44926602"/>
    </w:p>
    <w:p w14:paraId="267AB86E" w14:textId="77777777" w:rsidR="0034590E" w:rsidRPr="00BA4F0F" w:rsidRDefault="0034590E" w:rsidP="0034590E">
      <w:pPr>
        <w:rPr>
          <w:b/>
          <w:bCs/>
          <w:szCs w:val="24"/>
        </w:rPr>
      </w:pPr>
      <w:r w:rsidRPr="00BA4F0F">
        <w:rPr>
          <w:b/>
          <w:bCs/>
          <w:szCs w:val="24"/>
        </w:rPr>
        <w:t>Факторы риска неэффективной мобилизации ГСК</w:t>
      </w:r>
      <w:bookmarkEnd w:id="128"/>
    </w:p>
    <w:p w14:paraId="4D0215D3" w14:textId="2C7F1A5A" w:rsidR="0034590E" w:rsidRPr="00BA4F0F" w:rsidRDefault="0034590E" w:rsidP="0034590E">
      <w:pPr>
        <w:ind w:firstLine="567"/>
        <w:rPr>
          <w:szCs w:val="24"/>
        </w:rPr>
      </w:pPr>
      <w:r w:rsidRPr="00BA4F0F">
        <w:rPr>
          <w:szCs w:val="24"/>
        </w:rPr>
        <w:t xml:space="preserve">Несмотря на совершенствование методик и появление новых препаратов, неудача мобилизации ГСК остается проблемой для пациентов с онкогематологическими заболеваниями </w:t>
      </w:r>
      <w:r w:rsidRPr="00BA4F0F">
        <w:rPr>
          <w:szCs w:val="24"/>
        </w:rPr>
        <w:fldChar w:fldCharType="begin" w:fldLock="1"/>
      </w:r>
      <w:r w:rsidR="00F44253">
        <w:rPr>
          <w:szCs w:val="24"/>
        </w:rPr>
        <w:instrText>ADDIN CSL_CITATION {"citationItems":[{"id":"ITEM-1","itemData":{"author":[{"dropping-particle":"","family":"Покровская О.С., Менделеева Л.П., Гальцева И.В., Варламова Е.Ю., Капланская И.Б., Воробьев И.А., Грецов Е.М., Калинин Н.Н., Варламова С.В., Клясова Г.А., Тихонова Л.Ю.","given":"Савченко В.Г.","non-dropping-particle":"","parse-names":false,"suffix":""}],"container-title":"Проблемы гематологии и переливания","id":"ITEM-1","issued":{"date-parts":[["2003"]]},"page":"55-56","title":"Мобилизация гемопоэтических клеток крови у больных миеломной болезнью","type":"article-journal"},"uris":["http://www.mendeley.com/documents/?uuid=ffac3994-c2e2-36fa-a30d-0feb13f9a7fd","http://www.mendeley.com/documents/?uuid=8770f689-e379-4f05-bd8a-15cddd1006fb"]}],"mendeley":{"formattedCitation":"[113]","plainTextFormattedCitation":"[113]","previouslyFormattedCitation":"[113]"},"properties":{"noteIndex":0},"schema":"https://github.com/citation-style-language/schema/raw/master/csl-citation.json"}</w:instrText>
      </w:r>
      <w:r w:rsidRPr="00BA4F0F">
        <w:rPr>
          <w:szCs w:val="24"/>
        </w:rPr>
        <w:fldChar w:fldCharType="separate"/>
      </w:r>
      <w:r w:rsidR="004D13EB" w:rsidRPr="004D13EB">
        <w:rPr>
          <w:noProof/>
          <w:szCs w:val="24"/>
        </w:rPr>
        <w:t>[113]</w:t>
      </w:r>
      <w:r w:rsidRPr="00BA4F0F">
        <w:rPr>
          <w:szCs w:val="24"/>
        </w:rPr>
        <w:fldChar w:fldCharType="end"/>
      </w:r>
      <w:r w:rsidRPr="00BA4F0F">
        <w:rPr>
          <w:szCs w:val="24"/>
        </w:rPr>
        <w:t>. Группа итальянских исследователей GITIMO определила критерии доказанного и вероятного риска неудачи мобилизации ГСК у больных ММ и НХЛ.</w:t>
      </w:r>
    </w:p>
    <w:p w14:paraId="640C0C87" w14:textId="77777777" w:rsidR="0034590E" w:rsidRPr="00BA4F0F" w:rsidRDefault="0034590E" w:rsidP="0034590E">
      <w:pPr>
        <w:ind w:firstLine="567"/>
        <w:rPr>
          <w:szCs w:val="24"/>
        </w:rPr>
      </w:pPr>
      <w:r w:rsidRPr="00BA4F0F">
        <w:rPr>
          <w:szCs w:val="24"/>
        </w:rPr>
        <w:t>К факторам доказанного риска неудачи относятся два параметра: если показатели циркулирующих в крови СD34+ не достигают 20 клеток в 1 мкл. на 4-6-й дни после старта Г–КСФ или же заготовлено менее 2х10</w:t>
      </w:r>
      <w:r w:rsidRPr="00BA4F0F">
        <w:rPr>
          <w:szCs w:val="24"/>
          <w:vertAlign w:val="superscript"/>
        </w:rPr>
        <w:t xml:space="preserve">6 </w:t>
      </w:r>
      <w:r w:rsidRPr="00BA4F0F">
        <w:rPr>
          <w:szCs w:val="24"/>
        </w:rPr>
        <w:t>CD34+ клеток/кг за 3 лейкафереза.</w:t>
      </w:r>
    </w:p>
    <w:p w14:paraId="3D497ED2" w14:textId="440C9F60" w:rsidR="0034590E" w:rsidRPr="00BA4F0F" w:rsidRDefault="0034590E" w:rsidP="0034590E">
      <w:pPr>
        <w:ind w:firstLine="567"/>
        <w:rPr>
          <w:szCs w:val="24"/>
        </w:rPr>
      </w:pPr>
      <w:r w:rsidRPr="00BA4F0F">
        <w:rPr>
          <w:szCs w:val="24"/>
        </w:rPr>
        <w:t xml:space="preserve">Критериями вероятного риска неудачи мобилизации ГСК является наличие предшествующей неэффективной мобилизации ГСК; длительной ХТ или лучевой терапии, использование флюдарабина, мелфалана, леналидомида на предыдущих этапах лечения; продвинутая фаза болезни, потребовавшая проведения как минимум двух линий ХТ. Клеточность костного мозга менее 30% на момент мобилизации и возраст старше 65 лет также являются факторами риска неэффективной мобилизации </w:t>
      </w:r>
      <w:r w:rsidRPr="00BA4F0F">
        <w:rPr>
          <w:szCs w:val="24"/>
        </w:rPr>
        <w:fldChar w:fldCharType="begin" w:fldLock="1"/>
      </w:r>
      <w:r w:rsidR="00F44253">
        <w:rPr>
          <w:szCs w:val="24"/>
        </w:rPr>
        <w:instrText>ADDIN CSL_CITATION {"citationItems":[{"id":"ITEM-1","itemData":{"DOI":"10.1038/bmt.2011.82","ISSN":"02683369","abstract":"Many lymphoma and myeloma patients fail to undergo ASCT owing to poor mobilization. Identification of poor mobilizers (PMs) would provide a tool for early intervention with new mobilization agents. The Gruppo italianoTrapianto di Midollo Osseo working group proposed a definition of PMs applicable to clinical trials and clinical practice. The analytic hierarchy process, a method for group decision making, was used in setting prioritized criteria. Lymphoma or myeloma patients were defined as 'proven PM' when: (1) after adequate mobilization (G-CSF 10 μg/kg if used alone or ≥5 μg/kg after chemotherapy) circulating CD34 + cell peak is &lt;20/μL up to 6 days after mobilization with G-CSF or up to 20 days after chemotherapy and G-CSF or (2) they yielded &lt;2.0 × 10 6 CD34 + cells per kg in ≤3 apheresis. Patients were defined as predicted PMs if: (1) they failed a previous collection attempt (not otherwise specified); (2) they previously received extensive radiotherapy or full courses of therapy affecting SC mobilization; and (3) they met two of the following criteria: advanced disease (≥2 lines of chemotherapy), refractory disease, extensive BM involvement or cellularity &lt;30% at the time of mobilization; age ≥65 years. This definition of proven and predicted PMs should be validated in clinical trials and common clinical practice. © 2012 Macmillan Publishers Limited All rights reserved.","author":[{"dropping-particle":"","family":"Olivieri","given":"A.","non-dropping-particle":"","parse-names":false,"suffix":""},{"dropping-particle":"","family":"Marchetti","given":"M.","non-dropping-particle":"","parse-names":false,"suffix":""},{"dropping-particle":"","family":"Lemoli","given":"R.","non-dropping-particle":"","parse-names":false,"suffix":""},{"dropping-particle":"","family":"Tarella","given":"C.","non-dropping-particle":"","parse-names":false,"suffix":""},{"dropping-particle":"","family":"Iacone","given":"A.","non-dropping-particle":"","parse-names":false,"suffix":""},{"dropping-particle":"","family":"Lanza","given":"F.","non-dropping-particle":"","parse-names":false,"suffix":""},{"dropping-particle":"","family":"Rambaldi","given":"A.","non-dropping-particle":"","parse-names":false,"suffix":""},{"dropping-particle":"","family":"Bosi","given":"A.","non-dropping-particle":"","parse-names":false,"suffix":""}],"container-title":"Bone Marrow Transplantation","id":"ITEM-1","issue":"3","issued":{"date-parts":[["2012","3"]]},"page":"342-351","publisher":"Bone Marrow Transplant","title":"Proposed definition of 'poor mobilizer' in lymphoma and multiple myeloma: An analytic hierarchy process by ad hoc working group Gruppo ItalianoTrapianto di Midollo Osseo","type":"article-journal","volume":"47"},"uris":["http://www.mendeley.com/documents/?uuid=ba171d2e-11ed-30e4-8419-628863ccc7d5","http://www.mendeley.com/documents/?uuid=889b327f-5a75-4546-9a08-eda1f05160e3","http://www.mendeley.com/documents/?uuid=8da75729-e2dd-4c45-a604-256ab831ad9d","http://www.mendeley.com/documents/?uuid=5f9c85d8-eabb-4b72-a615-ad332ceb6a28","http://www.mendeley.com/documents/?uuid=77a1aded-f417-40b5-92fe-c81e7ab18493","http://www.mendeley.com/documents/?uuid=8ccbbe36-8201-44c0-91bf-f8fc6344c830","http://www.mendeley.com/documents/?uuid=39d3b635-3780-462d-8abb-b71c080a2618"]}],"mendeley":{"formattedCitation":"[114]","plainTextFormattedCitation":"[114]","previouslyFormattedCitation":"[114]"},"properties":{"noteIndex":0},"schema":"https://github.com/citation-style-language/schema/raw/master/csl-citation.json"}</w:instrText>
      </w:r>
      <w:r w:rsidRPr="00BA4F0F">
        <w:rPr>
          <w:szCs w:val="24"/>
        </w:rPr>
        <w:fldChar w:fldCharType="separate"/>
      </w:r>
      <w:r w:rsidR="004D13EB" w:rsidRPr="004D13EB">
        <w:rPr>
          <w:noProof/>
          <w:szCs w:val="24"/>
        </w:rPr>
        <w:t>[114]</w:t>
      </w:r>
      <w:r w:rsidRPr="00BA4F0F">
        <w:rPr>
          <w:szCs w:val="24"/>
        </w:rPr>
        <w:fldChar w:fldCharType="end"/>
      </w:r>
      <w:r w:rsidRPr="00BA4F0F">
        <w:rPr>
          <w:szCs w:val="24"/>
        </w:rPr>
        <w:t>.</w:t>
      </w:r>
    </w:p>
    <w:p w14:paraId="479307B8" w14:textId="77777777" w:rsidR="0034590E" w:rsidRPr="00BA4F0F" w:rsidRDefault="0034590E" w:rsidP="0034590E">
      <w:pPr>
        <w:ind w:firstLine="567"/>
        <w:rPr>
          <w:szCs w:val="24"/>
        </w:rPr>
      </w:pPr>
      <w:r w:rsidRPr="00BA4F0F">
        <w:rPr>
          <w:szCs w:val="24"/>
        </w:rPr>
        <w:t>В случае недостаточного количества заготовленных ГСК обсуждается вопрос об эскалации дозы ростового фактора, проведении повторной мобилизации по другой схеме, эксфузии костного мозга. В настоящее время трансплантация ГСК, полученных из периферической крови, вытесняет трансплантацию костного мозга. Это связанно с тем, что методы сбора клеток из периферической крови менее инвазивны, а восстановление гемопоэза после трансплантации ГСК происходит быстрее, чем после трансплантации костного мозга.</w:t>
      </w:r>
    </w:p>
    <w:p w14:paraId="6E9BF7FB" w14:textId="77777777" w:rsidR="0034590E" w:rsidRPr="00BA4F0F" w:rsidRDefault="0034590E" w:rsidP="0034590E">
      <w:pPr>
        <w:ind w:firstLine="567"/>
        <w:rPr>
          <w:szCs w:val="24"/>
        </w:rPr>
      </w:pPr>
      <w:r w:rsidRPr="00BA4F0F">
        <w:rPr>
          <w:szCs w:val="24"/>
        </w:rPr>
        <w:t>Цель мобилизации – заготовка адекватного количества CD34+клеток, достаточного для выполнения одной или двух трансплантаций.</w:t>
      </w:r>
    </w:p>
    <w:p w14:paraId="708545BA" w14:textId="77777777" w:rsidR="0034590E" w:rsidRPr="00BA4F0F" w:rsidRDefault="0034590E" w:rsidP="0034590E">
      <w:pPr>
        <w:ind w:firstLine="567"/>
        <w:rPr>
          <w:szCs w:val="24"/>
        </w:rPr>
      </w:pPr>
      <w:r w:rsidRPr="00BA4F0F">
        <w:rPr>
          <w:szCs w:val="24"/>
        </w:rPr>
        <w:t>Далее представлена подробная характеристика препаратов, стимулирующих выброс ГСК в периферическую кровь.</w:t>
      </w:r>
    </w:p>
    <w:p w14:paraId="43D0DFFD" w14:textId="77777777" w:rsidR="0034590E" w:rsidRPr="00BA4F0F" w:rsidRDefault="0034590E" w:rsidP="0034590E">
      <w:pPr>
        <w:pStyle w:val="11"/>
        <w:spacing w:before="0"/>
      </w:pPr>
      <w:bookmarkStart w:id="129" w:name="_Toc44926603"/>
    </w:p>
    <w:p w14:paraId="3F2DCAA5" w14:textId="77777777" w:rsidR="0034590E" w:rsidRPr="00BA4F0F" w:rsidRDefault="0034590E" w:rsidP="0034590E">
      <w:pPr>
        <w:rPr>
          <w:b/>
          <w:bCs/>
          <w:szCs w:val="24"/>
        </w:rPr>
      </w:pPr>
      <w:r w:rsidRPr="00BA4F0F">
        <w:rPr>
          <w:b/>
          <w:bCs/>
          <w:szCs w:val="24"/>
        </w:rPr>
        <w:t>Препараты, используемые для мобилизации ГСК.</w:t>
      </w:r>
      <w:bookmarkEnd w:id="129"/>
    </w:p>
    <w:p w14:paraId="5AC3FEB2" w14:textId="77777777" w:rsidR="0034590E" w:rsidRPr="00BA4F0F" w:rsidRDefault="0034590E" w:rsidP="0034590E">
      <w:pPr>
        <w:pStyle w:val="afd"/>
        <w:ind w:left="0"/>
        <w:rPr>
          <w:szCs w:val="24"/>
          <w:u w:val="single"/>
        </w:rPr>
      </w:pPr>
      <w:r w:rsidRPr="00BA4F0F">
        <w:rPr>
          <w:szCs w:val="24"/>
          <w:u w:val="single"/>
        </w:rPr>
        <w:t>Гранулоцитарный колониестимулирующий фактор</w:t>
      </w:r>
    </w:p>
    <w:p w14:paraId="2C0EDBF1" w14:textId="77777777" w:rsidR="0034590E" w:rsidRPr="00BA4F0F" w:rsidRDefault="0034590E" w:rsidP="0034590E">
      <w:pPr>
        <w:ind w:firstLine="567"/>
        <w:rPr>
          <w:szCs w:val="24"/>
        </w:rPr>
      </w:pPr>
      <w:r w:rsidRPr="00BA4F0F">
        <w:rPr>
          <w:szCs w:val="24"/>
        </w:rPr>
        <w:t xml:space="preserve">Г-КСФ – гликопротеин, ускоряющий пролиферацию гранулоцитарных клеток-предшественников нейтрофильного ростка костного мозга, дифференцировку в </w:t>
      </w:r>
      <w:r w:rsidRPr="00BA4F0F">
        <w:rPr>
          <w:szCs w:val="24"/>
        </w:rPr>
        <w:lastRenderedPageBreak/>
        <w:t xml:space="preserve">направлении зрелых нейтрофилов и их выход из костного мозга в периферическую кровь. Применение Г-КСФ как после курса химиотерапии (ХТ), так и независимо от нее, приводит к мобилизации в периферическую кровь клеток-предшественниц гемопоэза. </w:t>
      </w:r>
    </w:p>
    <w:p w14:paraId="511867E5" w14:textId="77777777" w:rsidR="0034590E" w:rsidRPr="00BA4F0F" w:rsidRDefault="0034590E" w:rsidP="0034590E">
      <w:pPr>
        <w:ind w:firstLine="567"/>
        <w:rPr>
          <w:szCs w:val="24"/>
        </w:rPr>
      </w:pPr>
      <w:r w:rsidRPr="00BA4F0F">
        <w:rPr>
          <w:szCs w:val="24"/>
        </w:rPr>
        <w:t xml:space="preserve">Г-КСФ значительно увеличивает число нейтрофилов в периферической крови уже в первые 24 часа после введения. После окончания применения Г-КСФ число нейтрофилов в периферической крови снижается на 50% в течение 1-2 дней и возвращается к нормальным значениям в течение 1-7 дней. </w:t>
      </w:r>
    </w:p>
    <w:p w14:paraId="305690A3" w14:textId="155AE2B0" w:rsidR="0034590E" w:rsidRPr="00BA4F0F" w:rsidRDefault="0034590E" w:rsidP="0034590E">
      <w:pPr>
        <w:ind w:firstLine="567"/>
        <w:rPr>
          <w:szCs w:val="24"/>
        </w:rPr>
      </w:pPr>
      <w:r w:rsidRPr="00BA4F0F">
        <w:rPr>
          <w:szCs w:val="24"/>
        </w:rPr>
        <w:t xml:space="preserve">Изучение фармакокинетики Г-КСФ показало, что препарат быстро выводится из организма, что требует применения многократных инъекций. С целью пролонгации действия разработана иммобилизованная на полиэтиленгликоле (ПЭГ) форма Г-КСФ. В иммобилизованном препарате ПЭГ присоединяется ковалентной связью к N-концевому пептиду молекулы, увеличивая ее размер, что приводит к замедлению почечного клиренса. Время циркуляции в крови пэгилированной формы увеличивается с 3,5 ч. до 42ч. После одной инъекции препарата высокий уровень нейтрофилов поддерживается в крови в течение 9 дней </w:t>
      </w:r>
      <w:r w:rsidRPr="00BA4F0F">
        <w:rPr>
          <w:szCs w:val="24"/>
        </w:rPr>
        <w:fldChar w:fldCharType="begin" w:fldLock="1"/>
      </w:r>
      <w:r w:rsidR="00F44253">
        <w:rPr>
          <w:szCs w:val="24"/>
        </w:rPr>
        <w:instrText>ADDIN CSL_CITATION {"citationItems":[{"id":"ITEM-1","itemData":{"DOI":"10.2165/11586040-000000000-00000","ISSN":"03125963","abstract":"Pegfilgrastim is a sustained-duration form of filgrastim, a recombinant methionyl form of human granulocyte colony-stimulating factor (G-CSF), to which a 20kDa polyethylene glycol molecule is covalently bound to the N-terminal methionine residue. Similar to filgrastim, pegfilgrastim increases the proliferation and differentiation of neutrophils from committed progenitor cells, induces maturation, and enhances the survival and function of mature neutrophils, resulting in dose-dependent increases in neutrophils.After subcutaneous administration, pegfilgrastim exhibits nonlinear pharmacokinetics and exposure to pegfilgrastim increases in more than a dose-proportional manner, suggesting that the clearance of pegfilgrastim decreases with increased dosing. Filgrastim is primarily eliminated by the kidney and neutrophilsneutrophil precursors; the latter presumably involves binding of the growth factor to the G-CSF receptor on the cell surface, internalization of the growth factor-receptor complexes via endocytosis, and subsequent degradation inside the cells. Pegylation of filgrastim renders renal clearance insignificant, which was demonstrated in bilaterally nephrectomized rats and confirmed in subjects with renal impairment. As a result, the neutrophil-mediated clearance is the predominant elimination pathway for pegfilgrastim.During chemotherapy-induced neutropenia, the clearance of pegfilgrastim is significantly reduced and the concentration of pegfilgrastim is sustained until onset of neutrophil recovery. Pegfilgrastim concentrations are sustained longer in patients with profound neutropenia. Evidence supports the use of a postnadir absolute neutrophil count (ANC) of ≥1×109/L as a surrogate marker threshold for the clearance of pegfilgrastim to subtherapeutic levels. After repeated administration of pegfilgrastim, the peak concentrations of pegfilgrastim decrease, likely due to increased neutrophil and neutrophil precursor mass.A pharmacokinetic-pharmacodynamic model was developed to describe the pharmacokinetic and ANC profiles of pegfilgrastim; the analysis supported that 100μgkg was an adequate weight-based dose of pegfilgrastim and predicted that 6mg would be an optimal fixed dose of pegfilgrastim to simplify treatment. Data from a pivotal study confirmed that a once-per-chemotherapy-cycle injection of pegfilgrastim at 6mg was as safe and effective as 11 daily injections of filgrastim at 5μgkg in reducing neutropenia and its complications in patients …","author":[{"dropping-particle":"","family":"Yang","given":"Bing Bing","non-dropping-particle":"","parse-names":false,"suffix":""},{"dropping-particle":"","family":"Kido","given":"Anna","non-dropping-particle":"","parse-names":false,"suffix":""}],"container-title":"Clinical Pharmacokinetics","id":"ITEM-1","issue":"5","issued":{"date-parts":[["2011"]]},"page":"295-306","publisher":"Clin Pharmacokinet","title":"Pharmacokinetics and pharmacodynamics of pegfilgrastim","type":"article","volume":"50"},"uris":["http://www.mendeley.com/documents/?uuid=445b8605-4444-3286-9533-f890634da33f","http://www.mendeley.com/documents/?uuid=8c131309-d633-4467-9e52-e36f2f6739d8","http://www.mendeley.com/documents/?uuid=d0ae95d8-455a-466d-b2b7-1cf20c6911c3","http://www.mendeley.com/documents/?uuid=350f69c3-8670-4b28-9ce6-bbf7bbe95719","http://www.mendeley.com/documents/?uuid=aed192a7-bd44-4087-8c83-7bb80ed986b5","http://www.mendeley.com/documents/?uuid=4fb6ef40-750e-4e26-80f5-5d3e68016e6f","http://www.mendeley.com/documents/?uuid=ec9d7c0f-5da5-47cd-a932-c0af1a9d94a0"]}],"mendeley":{"formattedCitation":"[115]","plainTextFormattedCitation":"[115]","previouslyFormattedCitation":"[115]"},"properties":{"noteIndex":0},"schema":"https://github.com/citation-style-language/schema/raw/master/csl-citation.json"}</w:instrText>
      </w:r>
      <w:r w:rsidRPr="00BA4F0F">
        <w:rPr>
          <w:szCs w:val="24"/>
        </w:rPr>
        <w:fldChar w:fldCharType="separate"/>
      </w:r>
      <w:r w:rsidR="004D13EB" w:rsidRPr="004D13EB">
        <w:rPr>
          <w:noProof/>
          <w:szCs w:val="24"/>
        </w:rPr>
        <w:t>[115]</w:t>
      </w:r>
      <w:r w:rsidRPr="00BA4F0F">
        <w:rPr>
          <w:szCs w:val="24"/>
        </w:rPr>
        <w:fldChar w:fldCharType="end"/>
      </w:r>
      <w:r w:rsidRPr="00BA4F0F">
        <w:rPr>
          <w:szCs w:val="24"/>
        </w:rPr>
        <w:t>.</w:t>
      </w:r>
    </w:p>
    <w:p w14:paraId="03F78BE5" w14:textId="77777777" w:rsidR="0034590E" w:rsidRPr="00BA4F0F" w:rsidRDefault="0034590E" w:rsidP="0034590E">
      <w:pPr>
        <w:rPr>
          <w:i/>
          <w:szCs w:val="24"/>
        </w:rPr>
      </w:pPr>
    </w:p>
    <w:p w14:paraId="4ABE7907" w14:textId="77777777" w:rsidR="0034590E" w:rsidRPr="00BA4F0F" w:rsidRDefault="0034590E" w:rsidP="0034590E">
      <w:pPr>
        <w:rPr>
          <w:b/>
          <w:i/>
          <w:szCs w:val="24"/>
        </w:rPr>
      </w:pPr>
      <w:r w:rsidRPr="00BA4F0F">
        <w:rPr>
          <w:b/>
          <w:i/>
          <w:szCs w:val="24"/>
          <w:lang w:val="en-US"/>
        </w:rPr>
        <w:t>P</w:t>
      </w:r>
      <w:r w:rsidRPr="00BA4F0F">
        <w:rPr>
          <w:b/>
          <w:i/>
          <w:szCs w:val="24"/>
        </w:rPr>
        <w:t xml:space="preserve">ежим дозирования Г-КСФ для мобилизации СКК </w:t>
      </w:r>
    </w:p>
    <w:p w14:paraId="0835DB29" w14:textId="340A3B57" w:rsidR="0034590E" w:rsidRPr="00BA4F0F" w:rsidRDefault="0034590E" w:rsidP="0034590E">
      <w:pPr>
        <w:ind w:firstLine="567"/>
        <w:rPr>
          <w:szCs w:val="24"/>
        </w:rPr>
      </w:pPr>
      <w:r w:rsidRPr="00BA4F0F">
        <w:rPr>
          <w:szCs w:val="24"/>
        </w:rPr>
        <w:t xml:space="preserve">Г-КСФ вводится в дозе 5 или 10 мкг/кг/сутки подкожно в зависимости от режима мобилизации ГСК. Пегилированный Г-КСФ вводится однократно в дозе 12 мг подкожно </w:t>
      </w:r>
      <w:r w:rsidRPr="00BA4F0F">
        <w:rPr>
          <w:szCs w:val="24"/>
        </w:rPr>
        <w:fldChar w:fldCharType="begin" w:fldLock="1"/>
      </w:r>
      <w:r w:rsidR="00F44253">
        <w:rPr>
          <w:szCs w:val="24"/>
        </w:rPr>
        <w:instrText>ADDIN CSL_CITATION {"citationItems":[{"id":"ITEM-1","itemData":{"DOI":"10.1111/j.1537-2995.2012.03579.x","ISSN":"00411132","abstract":"Background: Plerixafor enhances the ability of filgrastim (FIL) to mobilize CD34+ cells but adds cost to the mobilization. We hypothesized that replacing weight-based FIL with flat-dose pegfilgrastim (PEG) in a validated cost-based mobilization algorithm for patient-adapted use of plerixafor would add convenience without increased cost. Study design and methods: A single-center retrospective analysis compared two consecutive cohorts undergoing FIL or PEG mobilization before autologous hematopoietic stem cell transplantation for multiple myeloma or lymphoma. FIL dose was 10 Âμg/kg/day continuing until completion of collection and a 12-mg flat dose of PEG. Peripheral blood CD34+ cells (PB-CD34+) enumeration was performed on the fourth day after initiation of growth factor. Subjects surpassing a certain target-specific threshold of PB-CD34+ started apheresis immediately while subjects with lower PB-CD34+ received plerixafor with apheresis starting on the fifth day. Results: Overall 68 of 74 in the FIL group and 52 of 57 patients in the PEG group met the mobilization target. Only one patient in each cohort required remobilization. Median PB-CD34+ on Day 4 was significantly higher in patients in the PEG group (18.1 × 106 vs. 28.7 × 106 cells/L, p = 0.01). Consequently, patients in the PEG group were less likely to require administration of plerixafor (67.5% vs. 45.6%, p = 0.01). Cohorts had near identical mean number of apheresis sessions and comparable CD34+ yield. The estimated cost associated with growth factor was higher in patients in the PEG group, but it was counterbalanced by lower cost associated with use of plerixafor. Conclusion: Single administration of 12 mg of PEG is associated with better CD34+ mobilization than FIL allowing for effective, convenient mobilization with less frequent use of plerixafor. © 2012 American Association of Blood Banks.","author":[{"dropping-particle":"","family":"Costa","given":"Luciano J.","non-dropping-particle":"","parse-names":false,"suffix":""},{"dropping-particle":"","family":"Kramer","given":"Cindy","non-dropping-particle":"","parse-names":false,"suffix":""},{"dropping-particle":"","family":"Hogan","given":"Kathy R.","non-dropping-particle":"","parse-names":false,"suffix":""},{"dropping-particle":"","family":"Butcher","given":"Coleen D.","non-dropping-particle":"","parse-names":false,"suffix":""},{"dropping-particle":"","family":"Littleton","given":"Amanda L.","non-dropping-particle":"","parse-names":false,"suffix":""},{"dropping-particle":"","family":"Shoptaw","given":"Katie B.","non-dropping-particle":"","parse-names":false,"suffix":""},{"dropping-particle":"","family":"Kang","given":"Yubin","non-dropping-particle":"","parse-names":false,"suffix":""},{"dropping-particle":"","family":"Stuart","given":"Robert K.","non-dropping-particle":"","parse-names":false,"suffix":""}],"container-title":"Transfusion","id":"ITEM-1","issue":"11","issued":{"date-parts":[["2012","11"]]},"page":"2375-2381","publisher":"Transfusion","title":"Pegfilgrastim-versus filgrastim-based autologous hematopoietic stem cell mobilization in the setting of preemptive use of plerixafor: Efficacy and cost analysis","type":"article-journal","volume":"52"},"uris":["http://www.mendeley.com/documents/?uuid=c9b6d466-e5cf-3a1f-9950-47a4a1f2595f","http://www.mendeley.com/documents/?uuid=5869ab33-84d0-4d40-9e0a-c68492375302","http://www.mendeley.com/documents/?uuid=da79130c-3245-4bb6-b0b1-d1a74f3c45ce","http://www.mendeley.com/documents/?uuid=23c5daaf-4836-423a-a293-5308de4b05a8","http://www.mendeley.com/documents/?uuid=5bc9223b-2a8e-4a1d-a5ea-925322f33fc0","http://www.mendeley.com/documents/?uuid=cfca06c2-6f99-4d09-bcd1-d6e958d0398f","http://www.mendeley.com/documents/?uuid=f71837f6-2c18-4b5c-aa96-74199fe38ec4"]}],"mendeley":{"formattedCitation":"[116]","plainTextFormattedCitation":"[116]","previouslyFormattedCitation":"[116]"},"properties":{"noteIndex":0},"schema":"https://github.com/citation-style-language/schema/raw/master/csl-citation.json"}</w:instrText>
      </w:r>
      <w:r w:rsidRPr="00BA4F0F">
        <w:rPr>
          <w:szCs w:val="24"/>
        </w:rPr>
        <w:fldChar w:fldCharType="separate"/>
      </w:r>
      <w:r w:rsidR="004D13EB" w:rsidRPr="004D13EB">
        <w:rPr>
          <w:noProof/>
          <w:szCs w:val="24"/>
        </w:rPr>
        <w:t>[116]</w:t>
      </w:r>
      <w:r w:rsidRPr="00BA4F0F">
        <w:rPr>
          <w:szCs w:val="24"/>
        </w:rPr>
        <w:fldChar w:fldCharType="end"/>
      </w:r>
      <w:r w:rsidRPr="00BA4F0F">
        <w:rPr>
          <w:szCs w:val="24"/>
        </w:rPr>
        <w:t>.</w:t>
      </w:r>
    </w:p>
    <w:p w14:paraId="152570AA" w14:textId="77777777" w:rsidR="0034590E" w:rsidRPr="00BA4F0F" w:rsidRDefault="0034590E" w:rsidP="0034590E">
      <w:pPr>
        <w:rPr>
          <w:b/>
          <w:i/>
          <w:szCs w:val="24"/>
        </w:rPr>
      </w:pPr>
    </w:p>
    <w:p w14:paraId="585FE925" w14:textId="77777777" w:rsidR="0034590E" w:rsidRPr="00BA4F0F" w:rsidRDefault="0034590E" w:rsidP="0034590E">
      <w:pPr>
        <w:rPr>
          <w:b/>
          <w:i/>
          <w:szCs w:val="24"/>
        </w:rPr>
      </w:pPr>
      <w:r w:rsidRPr="00BA4F0F">
        <w:rPr>
          <w:b/>
          <w:i/>
          <w:szCs w:val="24"/>
        </w:rPr>
        <w:t xml:space="preserve">Особые указания при применении Г-КСФ </w:t>
      </w:r>
    </w:p>
    <w:p w14:paraId="728023E7" w14:textId="77777777" w:rsidR="0034590E" w:rsidRPr="00BA4F0F" w:rsidRDefault="0034590E" w:rsidP="0034590E">
      <w:pPr>
        <w:ind w:firstLine="567"/>
        <w:rPr>
          <w:szCs w:val="24"/>
        </w:rPr>
      </w:pPr>
      <w:r w:rsidRPr="00BA4F0F">
        <w:rPr>
          <w:szCs w:val="24"/>
        </w:rPr>
        <w:t>На фоне терапии Г-КСФ отмечается увеличение размеров селезенки. Во время клинических исследований у 31% больных с тяжелой хронической нейтропенией пальпаторно обнаруживалась спленомегалия. При рентгенографии увеличение селезенки выявлялось вскоре после назначения Г-КСФ и далее имело тенденцию к стабилизации. Установлено, что уменьшение дозы препарата останавливало спленомегалию; спленэктомия потребовалась 3% больных. Необходимо регулярно контролировать размеры селезенки при проведении мобилизации ГКС.</w:t>
      </w:r>
    </w:p>
    <w:p w14:paraId="38EE5199" w14:textId="3BAE44D8" w:rsidR="0034590E" w:rsidRPr="00BA4F0F" w:rsidRDefault="0034590E" w:rsidP="0034590E">
      <w:pPr>
        <w:ind w:firstLine="567"/>
        <w:rPr>
          <w:szCs w:val="24"/>
        </w:rPr>
      </w:pPr>
      <w:r w:rsidRPr="00BA4F0F">
        <w:rPr>
          <w:szCs w:val="24"/>
        </w:rPr>
        <w:t xml:space="preserve">Эффективность и безопасность Г-КСФ у пациентов с тяжелыми нарушениями функции почек или печени не изучена, поэтому при использовании препарата у данной категории больных нужно соблюдать осторожность </w:t>
      </w:r>
      <w:r w:rsidRPr="00BA4F0F">
        <w:rPr>
          <w:szCs w:val="24"/>
        </w:rPr>
        <w:fldChar w:fldCharType="begin" w:fldLock="1"/>
      </w:r>
      <w:r w:rsidR="00F44253">
        <w:rPr>
          <w:szCs w:val="24"/>
        </w:rPr>
        <w:instrText>ADDIN CSL_CITATION {"citationItems":[{"id":"ITEM-1","itemData":{"DOI":"10.1007/s00520-017-3854-x","ISSN":"14337339","abstract":"Purpose: Filgrastim (NEUPOGEN®) is the originator recombinant human granulocyte colony-stimulating factor widely used for preventing neutropenia-related infections and mobilizing hematopoietic stem cells. This report presents findings of a systematic literature review and meta-analysis of efficacy and safety of originator filgrastim to update previous reports. Methods: A literature search of electronic databases, congress abstracts, and bibliographies of recent reviews was conducted to identify English-language reports of clinical trials and observational studies evaluating filgrastim in its US-approved indications up to February 2015. Two independent reviewers assessed titles/abstracts and full texts of publications, and extracted data from studies that compared originator filgrastim vs placebo or no treatment. For outcomes with sufficient homogeneous data reported across studies, meta-analysis was performed and relative risk (RR) determined. Data were summarized descriptively for all other evaluated outcomes. Results: A total of 1194 unique articles evaluating originator filgrastim were identified, with 25 meeting eligibility criteria for data extraction: 18 randomized controlled trials, 2 nonrandomized clinical trials, and 5 observational studies. In chemotherapy-induced neutropenia (CIN), filgrastim vs placebo or no treatment significantly reduced febrile neutropenia incidence (RR 0.63, 95% CI 0.53–0.75) and grade 3 or 4 neutropenia incidence (RR 0.50, 95% CI 0.37–0.68). The most commonly reported adverse event (AE) with filgrastim was bone pain (RR 2.61, 95% CI 1.29–5.27 in CIN). Additional efficacy and safety outcomes are described within indications. Conclusions: This systematic literature review and meta-analysis confirms and updates previous reports on the efficacy and safety of originator filgrastim. Bone pain was the commonly reported AE associated with filgrastim use.","author":[{"dropping-particle":"","family":"Dale","given":"David C.","non-dropping-particle":"","parse-names":false,"suffix":""},{"dropping-particle":"","family":"Crawford","given":"Jeffrey","non-dropping-particle":"","parse-names":false,"suffix":""},{"dropping-particle":"","family":"Klippel","given":"Zandra","non-dropping-particle":"","parse-names":false,"suffix":""},{"dropping-particle":"","family":"Reiner","given":"Maureen","non-dropping-particle":"","parse-names":false,"suffix":""},{"dropping-particle":"","family":"Osslund","given":"Timothy","non-dropping-particle":"","parse-names":false,"suffix":""},{"dropping-particle":"","family":"Fan","given":"Ellen","non-dropping-particle":"","parse-names":false,"suffix":""},{"dropping-particle":"","family":"Morrow","given":"Phuong Khanh","non-dropping-particle":"","parse-names":false,"suffix":""},{"dropping-particle":"","family":"Allcott","given":"Kim","non-dropping-particle":"","parse-names":false,"suffix":""},{"dropping-particle":"","family":"Lyman","given":"Gary H.","non-dropping-particle":"","parse-names":false,"suffix":""}],"container-title":"Supportive Care in Cancer","id":"ITEM-1","issue":"1","issued":{"date-parts":[["2018","1"]]},"page":"7-20","publisher":"Springer Verlag","title":"A systematic literature review of the efficacy, effectiveness, and safety of filgrastim","type":"article","volume":"26"},"uris":["http://www.mendeley.com/documents/?uuid=550ab93e-65c6-3635-bdec-ce1335957f6b","http://www.mendeley.com/documents/?uuid=81154266-ebc4-4411-a600-130a38d299b0","http://www.mendeley.com/documents/?uuid=c2be01fc-c6e8-4713-b92d-b16c6c5c4162","http://www.mendeley.com/documents/?uuid=51012d54-9729-4c59-8188-bd27dd02ced0","http://www.mendeley.com/documents/?uuid=7b228875-1c78-4dc7-aa5d-6018d173c1d5","http://www.mendeley.com/documents/?uuid=330cd959-497b-4a4c-b7a0-3a2c812989a6","http://www.mendeley.com/documents/?uuid=5ddce061-fa65-466f-9706-626067ecf30d"]}],"mendeley":{"formattedCitation":"[117]","plainTextFormattedCitation":"[117]","previouslyFormattedCitation":"[117]"},"properties":{"noteIndex":0},"schema":"https://github.com/citation-style-language/schema/raw/master/csl-citation.json"}</w:instrText>
      </w:r>
      <w:r w:rsidRPr="00BA4F0F">
        <w:rPr>
          <w:szCs w:val="24"/>
        </w:rPr>
        <w:fldChar w:fldCharType="separate"/>
      </w:r>
      <w:r w:rsidR="004D13EB" w:rsidRPr="004D13EB">
        <w:rPr>
          <w:noProof/>
          <w:szCs w:val="24"/>
        </w:rPr>
        <w:t>[117]</w:t>
      </w:r>
      <w:r w:rsidRPr="00BA4F0F">
        <w:rPr>
          <w:szCs w:val="24"/>
        </w:rPr>
        <w:fldChar w:fldCharType="end"/>
      </w:r>
      <w:r w:rsidRPr="00BA4F0F">
        <w:rPr>
          <w:szCs w:val="24"/>
        </w:rPr>
        <w:t xml:space="preserve">. </w:t>
      </w:r>
    </w:p>
    <w:p w14:paraId="29BD3E03" w14:textId="77777777" w:rsidR="0034590E" w:rsidRPr="00BA4F0F" w:rsidRDefault="0034590E" w:rsidP="0034590E">
      <w:pPr>
        <w:rPr>
          <w:b/>
          <w:i/>
          <w:szCs w:val="24"/>
        </w:rPr>
      </w:pPr>
    </w:p>
    <w:p w14:paraId="5C00D45A" w14:textId="77777777" w:rsidR="0034590E" w:rsidRPr="00BA4F0F" w:rsidRDefault="0034590E" w:rsidP="0034590E">
      <w:pPr>
        <w:rPr>
          <w:b/>
          <w:i/>
          <w:szCs w:val="24"/>
        </w:rPr>
      </w:pPr>
      <w:r w:rsidRPr="00BA4F0F">
        <w:rPr>
          <w:b/>
          <w:i/>
          <w:szCs w:val="24"/>
        </w:rPr>
        <w:t>Побочные эффекты Г-КСФ</w:t>
      </w:r>
    </w:p>
    <w:p w14:paraId="26DF63AD" w14:textId="77777777" w:rsidR="0034590E" w:rsidRPr="00BA4F0F" w:rsidRDefault="0034590E" w:rsidP="0034590E">
      <w:pPr>
        <w:ind w:firstLine="567"/>
        <w:rPr>
          <w:szCs w:val="24"/>
        </w:rPr>
      </w:pPr>
      <w:r w:rsidRPr="00BA4F0F">
        <w:rPr>
          <w:szCs w:val="24"/>
        </w:rPr>
        <w:lastRenderedPageBreak/>
        <w:t>Нежелательные явления после назначения встречаются в 30% случаев, как у пациентов, так и у здоровых доноров.</w:t>
      </w:r>
    </w:p>
    <w:p w14:paraId="62FFBBA9" w14:textId="0EC78E45" w:rsidR="0034590E" w:rsidRPr="00BA4F0F" w:rsidRDefault="0034590E" w:rsidP="0034590E">
      <w:pPr>
        <w:ind w:firstLine="567"/>
        <w:rPr>
          <w:szCs w:val="24"/>
        </w:rPr>
      </w:pPr>
      <w:r w:rsidRPr="00BA4F0F">
        <w:rPr>
          <w:szCs w:val="24"/>
        </w:rPr>
        <w:t xml:space="preserve">Наиболее частые осложнения: боли в костях, головные боли, общая слабость. Реже встречаются миалгии, тревога, бессонница, гипергидроз, лихорадка, тошнота, кожные реакции в месте введения </w:t>
      </w:r>
      <w:r w:rsidRPr="00BA4F0F">
        <w:rPr>
          <w:szCs w:val="24"/>
        </w:rPr>
        <w:fldChar w:fldCharType="begin" w:fldLock="1"/>
      </w:r>
      <w:r w:rsidR="00F44253">
        <w:rPr>
          <w:szCs w:val="24"/>
        </w:rPr>
        <w:instrText>ADDIN CSL_CITATION {"citationItems":[{"id":"ITEM-1","itemData":{"DOI":"10.1200/JCO.2015.62.3488","ISSN":"15277755","PMID":"26169616","abstract":"Purpose To update the 2006 American Society of Clinical Oncology guideline on the use of hematopoietic colony-stimulating factors (CSFs). Methods The American Society of Clinical Oncology convened an Update Committee and conducted a systematic review of randomized clinical trials, meta-analyses, and systematic reviews from October 2005 through September 2014. Guideline recommendations were based on the review of the evidence by the Update Committee. Results Changes to previous recommendations include the addition of tbo-filgrastim and filgrastim-sndz, moderation of the recommendation regarding routine use of CSFs in older patients with diffuse aggressive lymphoma, and addition of recommendations against routine dose-dense chemotherapy in lymphoma and in favor of high- dose-intensity chemotherapy in urothelial cancer. The Update Committee did not address recommendations regarding use of CSFs in acute myeloid leukemia or myelodysplastic syndromes in adults. Recommendations Prophylactic use of CSFs to reduce the risk of febrile neutropenia is warranted when the risk of febrile neutropenia is approximately 20% or higher and no other equally effective and safe regimen that does not require CSFs is available. Primary prophylaxis is recommended for the prevention of febrile neutropenia in patients who are at high risk on the basis of age, medical history, disease characteristics, and myelotoxicity of the chemotherapy regimen. Dose-dense regimens that require CSFs should only be used within an appropriately designed clinical trial or if supported by convincing efficacy data. Current recommendations for the management of patients exposed to lethal doses of total-body radiotherapy, but not doses high enough to lead to certain death as a result of injury to other organs, include the prompt administration of CSFs.","author":[{"dropping-particle":"","family":"Smith","given":"Thomas J.","non-dropping-particle":"","parse-names":false,"suffix":""},{"dropping-particle":"","family":"Bohlke","given":"Kari","non-dropping-particle":"","parse-names":false,"suffix":""},{"dropping-particle":"","family":"Lyman","given":"Gary H.","non-dropping-particle":"","parse-names":false,"suffix":""},{"dropping-particle":"","family":"Carson","given":"Kenneth R.","non-dropping-particle":"","parse-names":false,"suffix":""},{"dropping-particle":"","family":"Crawford","given":"Jeffrey","non-dropping-particle":"","parse-names":false,"suffix":""},{"dropping-particle":"","family":"Cross","given":"Scott J.","non-dropping-particle":"","parse-names":false,"suffix":""},{"dropping-particle":"","family":"Goldberg","given":"John M.","non-dropping-particle":"","parse-names":false,"suffix":""},{"dropping-particle":"","family":"Khatcheressian","given":"James L.","non-dropping-particle":"","parse-names":false,"suffix":""},{"dropping-particle":"","family":"Leighl","given":"Natasha B.","non-dropping-particle":"","parse-names":false,"suffix":""},{"dropping-particle":"","family":"Perkins","given":"Cheryl L.","non-dropping-particle":"","parse-names":false,"suffix":""},{"dropping-particle":"","family":"Somlo","given":"George","non-dropping-particle":"","parse-names":false,"suffix":""},{"dropping-particle":"","family":"Wade","given":"James L.","non-dropping-particle":"","parse-names":false,"suffix":""},{"dropping-particle":"","family":"Wozniak","given":"Antoinette J.","non-dropping-particle":"","parse-names":false,"suffix":""},{"dropping-particle":"","family":"Armitage","given":"James O.","non-dropping-particle":"","parse-names":false,"suffix":""}],"container-title":"Journal of Clinical Oncology","id":"ITEM-1","issue":"28","issued":{"date-parts":[["2015","10"]]},"page":"3199-3212","publisher":"American Society of Clinical Oncology","title":"Recommendations for the use of WBC growth factors: American society of clinical oncology clinical practice guideline update","type":"article-journal","volume":"33"},"uris":["http://www.mendeley.com/documents/?uuid=996f59f3-1fa6-3fdf-aac4-35481ffe75e2","http://www.mendeley.com/documents/?uuid=77b4204a-c7e8-425a-b269-9b71b8f10079","http://www.mendeley.com/documents/?uuid=baf8a5c7-f217-426b-bdd6-7823d15881a5","http://www.mendeley.com/documents/?uuid=029b05a4-3aab-45bc-848d-3c17ab334b1a","http://www.mendeley.com/documents/?uuid=c4b68753-8af0-43d3-9c09-5a220cdb4e31","http://www.mendeley.com/documents/?uuid=aea3c5b8-ada6-45f7-8bc1-f029c0318fdc","http://www.mendeley.com/documents/?uuid=0f204161-3323-434c-b1c0-eb5ffafca3ca"]}],"mendeley":{"formattedCitation":"[118]","plainTextFormattedCitation":"[118]","previouslyFormattedCitation":"[118]"},"properties":{"noteIndex":0},"schema":"https://github.com/citation-style-language/schema/raw/master/csl-citation.json"}</w:instrText>
      </w:r>
      <w:r w:rsidRPr="00BA4F0F">
        <w:rPr>
          <w:szCs w:val="24"/>
        </w:rPr>
        <w:fldChar w:fldCharType="separate"/>
      </w:r>
      <w:r w:rsidR="004D13EB" w:rsidRPr="004D13EB">
        <w:rPr>
          <w:noProof/>
          <w:szCs w:val="24"/>
        </w:rPr>
        <w:t>[118]</w:t>
      </w:r>
      <w:r w:rsidRPr="00BA4F0F">
        <w:rPr>
          <w:szCs w:val="24"/>
        </w:rPr>
        <w:fldChar w:fldCharType="end"/>
      </w:r>
      <w:r w:rsidRPr="00BA4F0F">
        <w:rPr>
          <w:szCs w:val="24"/>
        </w:rPr>
        <w:t xml:space="preserve">. </w:t>
      </w:r>
    </w:p>
    <w:p w14:paraId="07CF3E1B" w14:textId="77777777" w:rsidR="0034590E" w:rsidRPr="00BA4F0F" w:rsidRDefault="0034590E" w:rsidP="0034590E">
      <w:pPr>
        <w:ind w:firstLine="567"/>
        <w:rPr>
          <w:szCs w:val="24"/>
        </w:rPr>
      </w:pPr>
      <w:r w:rsidRPr="00BA4F0F">
        <w:rPr>
          <w:szCs w:val="24"/>
        </w:rPr>
        <w:t>Оссалгии связаны с изменением метаболизма костной ткани под действием Г-КСФ. Боли могут быть интенсивными, пульсирующего характера, чаще локализованы в позвоночнике, костях таза. Выраженный болевой синдром в костях во время мобилизации ГСК требует адекватной аналгезии.</w:t>
      </w:r>
    </w:p>
    <w:p w14:paraId="348E4104" w14:textId="77777777" w:rsidR="0034590E" w:rsidRPr="00BA4F0F" w:rsidRDefault="0034590E" w:rsidP="0034590E">
      <w:pPr>
        <w:pStyle w:val="afd"/>
        <w:ind w:left="0"/>
        <w:rPr>
          <w:b/>
          <w:szCs w:val="24"/>
        </w:rPr>
      </w:pPr>
    </w:p>
    <w:p w14:paraId="5060FA90" w14:textId="77777777" w:rsidR="0034590E" w:rsidRPr="00BA4F0F" w:rsidRDefault="0034590E" w:rsidP="0034590E">
      <w:pPr>
        <w:pStyle w:val="afd"/>
        <w:ind w:left="0"/>
        <w:rPr>
          <w:szCs w:val="24"/>
          <w:u w:val="single"/>
        </w:rPr>
      </w:pPr>
      <w:r w:rsidRPr="00BA4F0F">
        <w:rPr>
          <w:szCs w:val="24"/>
          <w:u w:val="single"/>
        </w:rPr>
        <w:t>Плериксафор</w:t>
      </w:r>
    </w:p>
    <w:p w14:paraId="3379446C" w14:textId="77777777" w:rsidR="0034590E" w:rsidRPr="00BA4F0F" w:rsidRDefault="0034590E" w:rsidP="0034590E">
      <w:pPr>
        <w:ind w:firstLine="567"/>
        <w:rPr>
          <w:szCs w:val="24"/>
        </w:rPr>
      </w:pPr>
      <w:r w:rsidRPr="00BA4F0F">
        <w:rPr>
          <w:szCs w:val="24"/>
        </w:rPr>
        <w:t xml:space="preserve">Клетки стромы костного мозга секретируют стромальный фактор роста-1α (SDF-1α, CXCL12). Рецептором SDF-1α является CXCR4, который присутствует на поверхности ГСК. Взаимодействие между SDF-1α и его рецептором CXCR4 является необходимым для «удержания» стволовой клетки в костном мозге. </w:t>
      </w:r>
    </w:p>
    <w:p w14:paraId="4E42C278" w14:textId="77777777" w:rsidR="0034590E" w:rsidRPr="00BA4F0F" w:rsidRDefault="0034590E" w:rsidP="0034590E">
      <w:pPr>
        <w:ind w:firstLine="567"/>
        <w:rPr>
          <w:szCs w:val="24"/>
        </w:rPr>
      </w:pPr>
      <w:r w:rsidRPr="00BA4F0F">
        <w:rPr>
          <w:szCs w:val="24"/>
        </w:rPr>
        <w:t xml:space="preserve">Плериксафор –селективный обратимый антагонист хемокинового рецептора CXCR4. Он блокирует CXCR4 за счет связывания с фактором SDF-1α, в результате чего ГСК «отрывается» от стромы костного мозга и выходит в периферическую кровь. </w:t>
      </w:r>
    </w:p>
    <w:p w14:paraId="722B4A43" w14:textId="2E743C69" w:rsidR="0034590E" w:rsidRPr="00BA4F0F" w:rsidRDefault="0034590E" w:rsidP="0034590E">
      <w:pPr>
        <w:ind w:firstLine="567"/>
        <w:rPr>
          <w:szCs w:val="24"/>
        </w:rPr>
      </w:pPr>
      <w:r w:rsidRPr="00BA4F0F">
        <w:rPr>
          <w:szCs w:val="24"/>
        </w:rPr>
        <w:t xml:space="preserve">Считается, что индуцированный плериксафором лейкоцитоз и увеличение количества циркулирующих гемопоэтических прогениторных клеток является результатом нарушения связи между CXCR4 и его лигандом, которое приводит к появлению в системном кровотоке как зрелых, так и полипотентных клеток. CD34+ клетки, мобилизованные с помощью плериксафора, являются функциональными и способными к приживлению, с долгосрочным потенциалом восстановления популяции </w:t>
      </w:r>
      <w:r w:rsidRPr="00BA4F0F">
        <w:rPr>
          <w:szCs w:val="24"/>
        </w:rPr>
        <w:fldChar w:fldCharType="begin" w:fldLock="1"/>
      </w:r>
      <w:r w:rsidR="00F44253">
        <w:rPr>
          <w:szCs w:val="24"/>
        </w:rPr>
        <w:instrText>ADDIN CSL_CITATION {"citationItems":[{"id":"ITEM-1","itemData":{"DOI":"10.1097/MOH.0000000000000200","ISSN":"15317048","abstract":"Purpose of review Nowadays, plerixafor is approved for patients who fail to mobilize sufficient CD34+ cells for an autologous stem cell transplantation. Plerixafor is effective in the majority of these patients, who otherwise could not be treated adequately. We discussed in this review the current status of the optimal use of plerixafor in different clinical diagnoses and settings. Recent findings Plerixafor seems to be more effective in patients with multiple myeloma than in lymphoma. Even patients who had very low circulating CD34+ cells before administration of plerixafor have an important benefit. Several strategies in different clinical settings showed an effective response after administration of plerixafor, without the superiority of one strategy. Plerixafor is well tolerated with acceptable toxicity; however, it is an expensive drug. Summary Plerixafor is an effective drug in patients who fail to mobilize with conventional strategy. No strategy seems superior for the optimal use of plerixafor. More studies focusing on the kinetics and cost-effectiveness are needed.","author":[{"dropping-particle":"","family":"Bilgin","given":"Yavuz M.","non-dropping-particle":"","parse-names":false,"suffix":""},{"dropping-particle":"","family":"Greef","given":"Georgine E.","non-dropping-particle":"De","parse-names":false,"suffix":""}],"container-title":"Current Opinion in Hematology","id":"ITEM-1","issue":"1","issued":{"date-parts":[["2016"]]},"page":"67-71","publisher":"Lippincott Williams and Wilkins","title":"Plerixafor for stem cell mobilization: The current status","type":"article","volume":"23"},"uris":["http://www.mendeley.com/documents/?uuid=772496d3-3f49-3543-8e45-953927e66576","http://www.mendeley.com/documents/?uuid=0e6ef96a-3564-45dd-86c9-2dcce383b7dc","http://www.mendeley.com/documents/?uuid=80ac083b-a6cc-43ec-ac5c-5dd1106427cb","http://www.mendeley.com/documents/?uuid=d683afc4-05d3-4238-aa1a-cbd32aa0e13a","http://www.mendeley.com/documents/?uuid=b4dd41b8-108e-46be-ac3b-33a16d49ba72","http://www.mendeley.com/documents/?uuid=4631457b-a0e4-4adb-98c7-81b6f793c719","http://www.mendeley.com/documents/?uuid=2945107f-96a2-4ce6-a467-54c0b3287fab"]}],"mendeley":{"formattedCitation":"[119]","plainTextFormattedCitation":"[119]","previouslyFormattedCitation":"[119]"},"properties":{"noteIndex":0},"schema":"https://github.com/citation-style-language/schema/raw/master/csl-citation.json"}</w:instrText>
      </w:r>
      <w:r w:rsidRPr="00BA4F0F">
        <w:rPr>
          <w:szCs w:val="24"/>
        </w:rPr>
        <w:fldChar w:fldCharType="separate"/>
      </w:r>
      <w:r w:rsidR="004D13EB" w:rsidRPr="004D13EB">
        <w:rPr>
          <w:noProof/>
          <w:szCs w:val="24"/>
        </w:rPr>
        <w:t>[119]</w:t>
      </w:r>
      <w:r w:rsidRPr="00BA4F0F">
        <w:rPr>
          <w:szCs w:val="24"/>
        </w:rPr>
        <w:fldChar w:fldCharType="end"/>
      </w:r>
      <w:r w:rsidRPr="00BA4F0F">
        <w:rPr>
          <w:szCs w:val="24"/>
        </w:rPr>
        <w:t>.</w:t>
      </w:r>
    </w:p>
    <w:p w14:paraId="01CCCFEC" w14:textId="77777777" w:rsidR="0034590E" w:rsidRPr="00BA4F0F" w:rsidRDefault="0034590E" w:rsidP="0034590E">
      <w:pPr>
        <w:ind w:firstLine="567"/>
        <w:rPr>
          <w:szCs w:val="24"/>
        </w:rPr>
      </w:pPr>
      <w:r w:rsidRPr="00BA4F0F">
        <w:rPr>
          <w:szCs w:val="24"/>
        </w:rPr>
        <w:t>Плериксафор применяется для усиления мобилизации гемопоэтических стволовых клеток в периферический кровоток с целью их сбора и последующей ауто-ТГСК пациентам с лимфомой и множественной миеломой в сочетании с Г-КСФ.</w:t>
      </w:r>
    </w:p>
    <w:p w14:paraId="295153A6" w14:textId="77777777" w:rsidR="0034590E" w:rsidRPr="00BA4F0F" w:rsidRDefault="0034590E" w:rsidP="0034590E">
      <w:pPr>
        <w:pStyle w:val="afd"/>
        <w:rPr>
          <w:b/>
          <w:szCs w:val="24"/>
        </w:rPr>
      </w:pPr>
    </w:p>
    <w:p w14:paraId="3002C2A7" w14:textId="77777777" w:rsidR="0034590E" w:rsidRPr="00BA4F0F" w:rsidRDefault="0034590E" w:rsidP="0034590E">
      <w:pPr>
        <w:rPr>
          <w:b/>
          <w:i/>
          <w:szCs w:val="24"/>
        </w:rPr>
      </w:pPr>
      <w:r w:rsidRPr="00BA4F0F">
        <w:rPr>
          <w:b/>
          <w:i/>
          <w:szCs w:val="24"/>
          <w:lang w:val="en-US"/>
        </w:rPr>
        <w:t>P</w:t>
      </w:r>
      <w:r w:rsidRPr="00BA4F0F">
        <w:rPr>
          <w:b/>
          <w:i/>
          <w:szCs w:val="24"/>
        </w:rPr>
        <w:t>ежим дозирования плериксафора</w:t>
      </w:r>
    </w:p>
    <w:p w14:paraId="74F245C0" w14:textId="77777777" w:rsidR="0034590E" w:rsidRPr="00BA4F0F" w:rsidRDefault="0034590E" w:rsidP="0034590E">
      <w:pPr>
        <w:ind w:firstLine="567"/>
        <w:rPr>
          <w:szCs w:val="24"/>
        </w:rPr>
      </w:pPr>
      <w:r w:rsidRPr="00BA4F0F">
        <w:rPr>
          <w:szCs w:val="24"/>
        </w:rPr>
        <w:t>Рекомендованная доза плериксафора составляет 0,24 мг/кг/сут. Препарат вводят подкожно за 6-11 ч до начала афереза после предварительной 4-дневной терапии Г-КСФ. В клинических исследованиях препарат обычно использовался в течение 2-4 дней подряд (до 7 дней непрерывного применения).</w:t>
      </w:r>
    </w:p>
    <w:p w14:paraId="0D6AC2BA" w14:textId="77777777" w:rsidR="0034590E" w:rsidRPr="00BA4F0F" w:rsidRDefault="0034590E" w:rsidP="0034590E">
      <w:pPr>
        <w:ind w:firstLine="567"/>
        <w:rPr>
          <w:szCs w:val="24"/>
        </w:rPr>
      </w:pPr>
      <w:r w:rsidRPr="00BA4F0F">
        <w:rPr>
          <w:szCs w:val="24"/>
        </w:rPr>
        <w:lastRenderedPageBreak/>
        <w:t>У пациентов с нарушением функции почек при скорости клубочковой фильтрации (СКФ) менее 50 мл/мин дозу плериксафора следует уменьшить на 1/3 до 0,16 мг/кг/сут. Клинические данные по применению скорректированной дозы препарата ограничены. Имеющийся опыт клинического применения плериксафора не позволяет дать рекомендаций по дозированию препарата при СКФ менее 20 мл/мин.</w:t>
      </w:r>
    </w:p>
    <w:p w14:paraId="53BD034E" w14:textId="77777777" w:rsidR="0034590E" w:rsidRPr="00BA4F0F" w:rsidRDefault="0034590E" w:rsidP="0034590E">
      <w:pPr>
        <w:pStyle w:val="afd"/>
        <w:rPr>
          <w:b/>
          <w:szCs w:val="24"/>
        </w:rPr>
      </w:pPr>
    </w:p>
    <w:p w14:paraId="1534A7D9" w14:textId="77777777" w:rsidR="0034590E" w:rsidRPr="00BA4F0F" w:rsidRDefault="0034590E" w:rsidP="0034590E">
      <w:pPr>
        <w:rPr>
          <w:b/>
          <w:i/>
          <w:szCs w:val="24"/>
        </w:rPr>
      </w:pPr>
      <w:r w:rsidRPr="00BA4F0F">
        <w:rPr>
          <w:b/>
          <w:i/>
          <w:szCs w:val="24"/>
        </w:rPr>
        <w:t>Особые указания при применении плериксафора</w:t>
      </w:r>
    </w:p>
    <w:p w14:paraId="2017E183" w14:textId="77777777" w:rsidR="0034590E" w:rsidRPr="00BA4F0F" w:rsidRDefault="0034590E" w:rsidP="0034590E">
      <w:pPr>
        <w:ind w:firstLine="567"/>
        <w:rPr>
          <w:i/>
          <w:szCs w:val="24"/>
        </w:rPr>
      </w:pPr>
      <w:r w:rsidRPr="00BA4F0F">
        <w:rPr>
          <w:i/>
          <w:szCs w:val="24"/>
        </w:rPr>
        <w:t>Мобилизация опухолевых клеток у пациентов с лейкозами.</w:t>
      </w:r>
    </w:p>
    <w:p w14:paraId="4F332279" w14:textId="77777777" w:rsidR="0034590E" w:rsidRPr="00BA4F0F" w:rsidRDefault="0034590E" w:rsidP="0034590E">
      <w:pPr>
        <w:ind w:firstLine="567"/>
        <w:rPr>
          <w:szCs w:val="24"/>
        </w:rPr>
      </w:pPr>
      <w:r w:rsidRPr="00BA4F0F">
        <w:rPr>
          <w:szCs w:val="24"/>
        </w:rPr>
        <w:t>Плериксафор и Г-КСФ назначали при остром миелоидном и плазмоцитарном лейкозах в рамках программы по применению исследуемого препарата в индивидуальном порядке. При этом в отдельных случаях наблюдалось увеличение числа циркулирующих лейкемических клеток. Поэтому плериксафор не рекомендуется применять при лейкозах для мобилизации гемопоэтических стволовых клеток и их последующего забора.</w:t>
      </w:r>
    </w:p>
    <w:p w14:paraId="77BE6B86" w14:textId="77777777" w:rsidR="0034590E" w:rsidRPr="00BA4F0F" w:rsidRDefault="0034590E" w:rsidP="0034590E">
      <w:pPr>
        <w:ind w:firstLine="567"/>
        <w:rPr>
          <w:i/>
          <w:szCs w:val="24"/>
        </w:rPr>
      </w:pPr>
      <w:r w:rsidRPr="00BA4F0F">
        <w:rPr>
          <w:i/>
          <w:szCs w:val="24"/>
        </w:rPr>
        <w:t xml:space="preserve">Тромбоцитопения. </w:t>
      </w:r>
    </w:p>
    <w:p w14:paraId="5F2FDF46" w14:textId="77777777" w:rsidR="0034590E" w:rsidRPr="00BA4F0F" w:rsidRDefault="0034590E" w:rsidP="0034590E">
      <w:pPr>
        <w:ind w:firstLine="567"/>
        <w:rPr>
          <w:szCs w:val="24"/>
        </w:rPr>
      </w:pPr>
      <w:r w:rsidRPr="00BA4F0F">
        <w:rPr>
          <w:szCs w:val="24"/>
        </w:rPr>
        <w:t xml:space="preserve">Тромбоцитопения является известным осложнением афереза и наблюдается у пациентов, получающих как Г-КСФ, так и плериксафор. </w:t>
      </w:r>
    </w:p>
    <w:p w14:paraId="4A957A56" w14:textId="77777777" w:rsidR="0034590E" w:rsidRPr="00BA4F0F" w:rsidRDefault="0034590E" w:rsidP="0034590E">
      <w:pPr>
        <w:ind w:firstLine="567"/>
        <w:rPr>
          <w:i/>
          <w:szCs w:val="24"/>
        </w:rPr>
      </w:pPr>
      <w:r w:rsidRPr="00BA4F0F">
        <w:rPr>
          <w:i/>
          <w:szCs w:val="24"/>
        </w:rPr>
        <w:t>Возможность мобилизации опухолевых клеток у пациентов с лимфомой и множественной миеломой.</w:t>
      </w:r>
    </w:p>
    <w:p w14:paraId="63832363" w14:textId="77777777" w:rsidR="0034590E" w:rsidRPr="00BA4F0F" w:rsidRDefault="0034590E" w:rsidP="0034590E">
      <w:pPr>
        <w:ind w:firstLine="567"/>
        <w:rPr>
          <w:szCs w:val="24"/>
        </w:rPr>
      </w:pPr>
      <w:r w:rsidRPr="00BA4F0F">
        <w:rPr>
          <w:szCs w:val="24"/>
        </w:rPr>
        <w:t>Последствия потенциальной реинфузии опухолевых клеток должным образом не изучены. При применении плериксафора в сочетании с Г-КСФ для мобилизации гемопоэтических стволовых клеток при лимфоме или множественной миеломе (ММ) возможно высвобождение опухолевых клеток из костного мозга и их последующий забор при лейкаферезе. Клиническое значение возможного риска мобилизации опухолевых клеток определено не полностью. В клинических исследованиях с участием пациентов с неходжкинской лимфомой и множественной миеломой не наблюдалось мобилизации клеток опухоли при применении плериксафора.</w:t>
      </w:r>
    </w:p>
    <w:p w14:paraId="38F16741" w14:textId="77777777" w:rsidR="0034590E" w:rsidRPr="00BA4F0F" w:rsidRDefault="0034590E" w:rsidP="0034590E">
      <w:pPr>
        <w:ind w:firstLine="567"/>
        <w:rPr>
          <w:i/>
          <w:szCs w:val="24"/>
        </w:rPr>
      </w:pPr>
      <w:r w:rsidRPr="00BA4F0F">
        <w:rPr>
          <w:i/>
          <w:szCs w:val="24"/>
        </w:rPr>
        <w:t>Вазовагальные реакции</w:t>
      </w:r>
    </w:p>
    <w:p w14:paraId="2012FDBC" w14:textId="77777777" w:rsidR="0034590E" w:rsidRPr="00BA4F0F" w:rsidRDefault="0034590E" w:rsidP="0034590E">
      <w:pPr>
        <w:ind w:firstLine="567"/>
        <w:rPr>
          <w:szCs w:val="24"/>
        </w:rPr>
      </w:pPr>
      <w:r w:rsidRPr="00BA4F0F">
        <w:rPr>
          <w:szCs w:val="24"/>
        </w:rPr>
        <w:t>После подкожной инъекций препарата могут отмечаться вазовагальные реакции, ортостатическая гипотензия и/или синкопе.</w:t>
      </w:r>
    </w:p>
    <w:p w14:paraId="139CD5F7" w14:textId="77777777" w:rsidR="0034590E" w:rsidRPr="00BA4F0F" w:rsidRDefault="0034590E" w:rsidP="0034590E">
      <w:pPr>
        <w:ind w:firstLine="567"/>
        <w:rPr>
          <w:i/>
          <w:szCs w:val="24"/>
        </w:rPr>
      </w:pPr>
      <w:r w:rsidRPr="00BA4F0F">
        <w:rPr>
          <w:i/>
          <w:szCs w:val="24"/>
        </w:rPr>
        <w:t>Спленомегалия</w:t>
      </w:r>
    </w:p>
    <w:p w14:paraId="02C90ED8" w14:textId="77777777" w:rsidR="0034590E" w:rsidRPr="00BA4F0F" w:rsidRDefault="0034590E" w:rsidP="0034590E">
      <w:pPr>
        <w:ind w:firstLine="567"/>
        <w:rPr>
          <w:szCs w:val="24"/>
        </w:rPr>
      </w:pPr>
      <w:r w:rsidRPr="00BA4F0F">
        <w:rPr>
          <w:szCs w:val="24"/>
        </w:rPr>
        <w:t>В клинических исследованиях влияние плериксафора на размер селезенки специально не оценивалось. Учитывая, что использование Г-КСФ может провоцировать спленомегалию, а также сочетанное применение плериксафора и Г-КСФ, необходимо регулярно контролировать размеры селезенки.</w:t>
      </w:r>
    </w:p>
    <w:p w14:paraId="764B2B17" w14:textId="77777777" w:rsidR="0034590E" w:rsidRPr="00BA4F0F" w:rsidRDefault="0034590E" w:rsidP="0034590E">
      <w:pPr>
        <w:pStyle w:val="afd"/>
        <w:rPr>
          <w:b/>
          <w:szCs w:val="24"/>
        </w:rPr>
      </w:pPr>
    </w:p>
    <w:p w14:paraId="3CC0FB28" w14:textId="77777777" w:rsidR="0034590E" w:rsidRPr="00BA4F0F" w:rsidRDefault="0034590E" w:rsidP="0034590E">
      <w:pPr>
        <w:rPr>
          <w:b/>
          <w:i/>
          <w:szCs w:val="24"/>
        </w:rPr>
      </w:pPr>
      <w:r w:rsidRPr="00BA4F0F">
        <w:rPr>
          <w:b/>
          <w:i/>
          <w:szCs w:val="24"/>
        </w:rPr>
        <w:t>Побочные эффекты плериксафора</w:t>
      </w:r>
    </w:p>
    <w:p w14:paraId="52700A5E" w14:textId="77777777" w:rsidR="0034590E" w:rsidRPr="00BA4F0F" w:rsidRDefault="0034590E" w:rsidP="0034590E">
      <w:pPr>
        <w:ind w:firstLine="567"/>
        <w:rPr>
          <w:szCs w:val="24"/>
        </w:rPr>
      </w:pPr>
      <w:r w:rsidRPr="00BA4F0F">
        <w:rPr>
          <w:szCs w:val="24"/>
        </w:rPr>
        <w:t>Наиболее частые осложнения: скелетно-мышечная боль, головные боли, головокружение, бессонница, общая слабость, диарея, тошнота. Также встречаются метеоризм, запор, сухость во рту, гипергидроз, кожные реакции в месте введения</w:t>
      </w:r>
    </w:p>
    <w:p w14:paraId="2F4A9403" w14:textId="77777777" w:rsidR="0034590E" w:rsidRPr="00BA4F0F" w:rsidRDefault="0034590E" w:rsidP="0034590E">
      <w:pPr>
        <w:pStyle w:val="11"/>
        <w:spacing w:before="0"/>
        <w:ind w:left="480"/>
      </w:pPr>
      <w:bookmarkStart w:id="130" w:name="_Toc44926604"/>
    </w:p>
    <w:p w14:paraId="5B1D0517" w14:textId="77777777" w:rsidR="0034590E" w:rsidRPr="000443B3" w:rsidRDefault="0034590E" w:rsidP="0034590E">
      <w:pPr>
        <w:pStyle w:val="affff"/>
        <w:spacing w:beforeAutospacing="0" w:afterAutospacing="0" w:line="360" w:lineRule="auto"/>
        <w:ind w:firstLine="0"/>
        <w:rPr>
          <w:rFonts w:eastAsiaTheme="minorHAnsi"/>
          <w:i/>
          <w:iCs/>
          <w:u w:val="single"/>
        </w:rPr>
      </w:pPr>
      <w:bookmarkStart w:id="131" w:name="_Toc64475919"/>
      <w:r w:rsidRPr="000443B3">
        <w:rPr>
          <w:rFonts w:eastAsiaTheme="minorHAnsi"/>
          <w:i/>
          <w:iCs/>
          <w:u w:val="single"/>
        </w:rPr>
        <w:t>Режимы мобилизации ГСК</w:t>
      </w:r>
      <w:bookmarkEnd w:id="130"/>
      <w:bookmarkEnd w:id="131"/>
    </w:p>
    <w:p w14:paraId="03592092" w14:textId="77777777" w:rsidR="0034590E" w:rsidRPr="00BA4F0F" w:rsidRDefault="0034590E" w:rsidP="0034590E">
      <w:pPr>
        <w:autoSpaceDE w:val="0"/>
        <w:autoSpaceDN w:val="0"/>
        <w:adjustRightInd w:val="0"/>
        <w:ind w:firstLine="567"/>
        <w:rPr>
          <w:szCs w:val="24"/>
        </w:rPr>
      </w:pPr>
      <w:r w:rsidRPr="00BA4F0F">
        <w:rPr>
          <w:szCs w:val="24"/>
        </w:rPr>
        <w:t>В настоящее время в онкогематологии широкое распространение получили следующие режимы мобилизации ГСК:</w:t>
      </w:r>
    </w:p>
    <w:p w14:paraId="0D433305" w14:textId="77777777" w:rsidR="0034590E" w:rsidRPr="00BA4F0F" w:rsidRDefault="0034590E" w:rsidP="00A72B1B">
      <w:pPr>
        <w:numPr>
          <w:ilvl w:val="0"/>
          <w:numId w:val="51"/>
        </w:numPr>
        <w:contextualSpacing/>
        <w:rPr>
          <w:szCs w:val="24"/>
        </w:rPr>
      </w:pPr>
      <w:r w:rsidRPr="00BA4F0F">
        <w:rPr>
          <w:szCs w:val="24"/>
        </w:rPr>
        <w:t>Г-КСФ в монорежиме</w:t>
      </w:r>
    </w:p>
    <w:p w14:paraId="66090036" w14:textId="77777777" w:rsidR="0034590E" w:rsidRPr="00BA4F0F" w:rsidRDefault="0034590E" w:rsidP="00A72B1B">
      <w:pPr>
        <w:numPr>
          <w:ilvl w:val="0"/>
          <w:numId w:val="51"/>
        </w:numPr>
        <w:contextualSpacing/>
        <w:rPr>
          <w:szCs w:val="24"/>
        </w:rPr>
      </w:pPr>
      <w:r w:rsidRPr="00BA4F0F">
        <w:rPr>
          <w:szCs w:val="24"/>
        </w:rPr>
        <w:t>Г-КСФ после миелосупрессивной химиотерапии (ХТ + Г-КСФ)</w:t>
      </w:r>
    </w:p>
    <w:p w14:paraId="0259F6B5" w14:textId="77777777" w:rsidR="0034590E" w:rsidRPr="00BA4F0F" w:rsidRDefault="0034590E" w:rsidP="00A72B1B">
      <w:pPr>
        <w:numPr>
          <w:ilvl w:val="0"/>
          <w:numId w:val="51"/>
        </w:numPr>
        <w:contextualSpacing/>
        <w:rPr>
          <w:szCs w:val="24"/>
        </w:rPr>
      </w:pPr>
      <w:r w:rsidRPr="00BA4F0F">
        <w:rPr>
          <w:szCs w:val="24"/>
        </w:rPr>
        <w:t>Г-КСФ в сочетании с плериксафором</w:t>
      </w:r>
    </w:p>
    <w:p w14:paraId="505A1E1F" w14:textId="77777777" w:rsidR="0034590E" w:rsidRPr="00BA4F0F" w:rsidRDefault="0034590E" w:rsidP="0034590E">
      <w:pPr>
        <w:pStyle w:val="afd"/>
        <w:ind w:left="0"/>
        <w:rPr>
          <w:szCs w:val="24"/>
          <w:u w:val="single"/>
        </w:rPr>
      </w:pPr>
      <w:bookmarkStart w:id="132" w:name="_Toc44926605"/>
    </w:p>
    <w:p w14:paraId="2C427716" w14:textId="77777777" w:rsidR="0034590E" w:rsidRPr="00BA4F0F" w:rsidRDefault="0034590E" w:rsidP="0034590E">
      <w:pPr>
        <w:pStyle w:val="afd"/>
        <w:ind w:left="0"/>
        <w:rPr>
          <w:szCs w:val="24"/>
          <w:u w:val="single"/>
        </w:rPr>
      </w:pPr>
      <w:r w:rsidRPr="00BA4F0F">
        <w:rPr>
          <w:szCs w:val="24"/>
          <w:u w:val="single"/>
        </w:rPr>
        <w:t>Г-КСФ в монорежиме</w:t>
      </w:r>
      <w:bookmarkEnd w:id="132"/>
    </w:p>
    <w:p w14:paraId="0CDF6016" w14:textId="77777777" w:rsidR="0034590E" w:rsidRPr="00BA4F0F" w:rsidRDefault="0034590E" w:rsidP="0034590E">
      <w:pPr>
        <w:ind w:firstLine="567"/>
        <w:rPr>
          <w:szCs w:val="24"/>
        </w:rPr>
      </w:pPr>
      <w:r w:rsidRPr="00BA4F0F">
        <w:rPr>
          <w:szCs w:val="24"/>
        </w:rPr>
        <w:t>Данный режим также называют «мобилизация на стабильном состоянии кроветворения», так как у пациента не развивается миелотоксический агранулоцитоз (МТА).</w:t>
      </w:r>
    </w:p>
    <w:p w14:paraId="7075DE57" w14:textId="77777777" w:rsidR="0034590E" w:rsidRPr="00BA4F0F" w:rsidRDefault="0034590E" w:rsidP="0034590E">
      <w:pPr>
        <w:contextualSpacing/>
        <w:rPr>
          <w:b/>
          <w:szCs w:val="24"/>
        </w:rPr>
      </w:pPr>
      <w:r w:rsidRPr="00BA4F0F">
        <w:rPr>
          <w:b/>
          <w:szCs w:val="24"/>
        </w:rPr>
        <w:t xml:space="preserve">Показания </w:t>
      </w:r>
    </w:p>
    <w:p w14:paraId="74DFB234" w14:textId="77777777" w:rsidR="0034590E" w:rsidRPr="00BA4F0F" w:rsidRDefault="0034590E" w:rsidP="00A72B1B">
      <w:pPr>
        <w:numPr>
          <w:ilvl w:val="0"/>
          <w:numId w:val="57"/>
        </w:numPr>
        <w:ind w:left="426"/>
        <w:contextualSpacing/>
        <w:rPr>
          <w:szCs w:val="24"/>
        </w:rPr>
      </w:pPr>
      <w:r w:rsidRPr="00BA4F0F">
        <w:rPr>
          <w:szCs w:val="24"/>
        </w:rPr>
        <w:t>Мобилизация ГСК у здоровых доноров;</w:t>
      </w:r>
    </w:p>
    <w:p w14:paraId="44C465CF" w14:textId="77777777" w:rsidR="0034590E" w:rsidRPr="00BA4F0F" w:rsidRDefault="0034590E" w:rsidP="00A72B1B">
      <w:pPr>
        <w:numPr>
          <w:ilvl w:val="0"/>
          <w:numId w:val="57"/>
        </w:numPr>
        <w:ind w:left="426"/>
        <w:contextualSpacing/>
        <w:rPr>
          <w:szCs w:val="24"/>
        </w:rPr>
      </w:pPr>
      <w:r w:rsidRPr="00BA4F0F">
        <w:rPr>
          <w:szCs w:val="24"/>
        </w:rPr>
        <w:t xml:space="preserve"> Мобилизация ГСК у пациентов с онкогематологическими заболеваниями;</w:t>
      </w:r>
    </w:p>
    <w:p w14:paraId="3D8285D9" w14:textId="77777777" w:rsidR="0034590E" w:rsidRPr="00BA4F0F" w:rsidRDefault="0034590E" w:rsidP="00A72B1B">
      <w:pPr>
        <w:numPr>
          <w:ilvl w:val="0"/>
          <w:numId w:val="57"/>
        </w:numPr>
        <w:ind w:left="426"/>
        <w:contextualSpacing/>
        <w:rPr>
          <w:szCs w:val="24"/>
        </w:rPr>
      </w:pPr>
      <w:r w:rsidRPr="00BA4F0F">
        <w:rPr>
          <w:szCs w:val="24"/>
        </w:rPr>
        <w:t>Мобилизация ГСК у пациентов, проведение которым режима «ХТ+ Г-КСФ» не является безопасным (при наличии коморбидности, кардиальной патологии, диализ-зависимой почечной недостаточности);</w:t>
      </w:r>
    </w:p>
    <w:p w14:paraId="5355B2E4" w14:textId="77777777" w:rsidR="0034590E" w:rsidRPr="00BA4F0F" w:rsidRDefault="0034590E" w:rsidP="00A72B1B">
      <w:pPr>
        <w:numPr>
          <w:ilvl w:val="0"/>
          <w:numId w:val="57"/>
        </w:numPr>
        <w:ind w:left="426"/>
        <w:contextualSpacing/>
        <w:rPr>
          <w:szCs w:val="24"/>
        </w:rPr>
      </w:pPr>
      <w:r w:rsidRPr="00BA4F0F">
        <w:rPr>
          <w:szCs w:val="24"/>
        </w:rPr>
        <w:t>Повторная мобилизация после неудачи первой мобилизации ГСК схемами, включающими миелосупрессивные препараты.</w:t>
      </w:r>
    </w:p>
    <w:p w14:paraId="19BCC599" w14:textId="77777777" w:rsidR="0034590E" w:rsidRPr="00BA4F0F" w:rsidRDefault="0034590E" w:rsidP="0034590E">
      <w:pPr>
        <w:contextualSpacing/>
        <w:rPr>
          <w:b/>
          <w:szCs w:val="24"/>
        </w:rPr>
      </w:pPr>
      <w:r w:rsidRPr="00BA4F0F">
        <w:rPr>
          <w:b/>
          <w:szCs w:val="24"/>
        </w:rPr>
        <w:t>Схема мобилизации ГСК</w:t>
      </w:r>
    </w:p>
    <w:p w14:paraId="79F54037" w14:textId="77777777" w:rsidR="0034590E" w:rsidRPr="00BA4F0F" w:rsidRDefault="0034590E" w:rsidP="0034590E">
      <w:pPr>
        <w:ind w:firstLine="426"/>
        <w:rPr>
          <w:szCs w:val="24"/>
        </w:rPr>
      </w:pPr>
      <w:r w:rsidRPr="00BA4F0F">
        <w:rPr>
          <w:szCs w:val="24"/>
        </w:rPr>
        <w:t xml:space="preserve">Г-КСФ назначают в дозе 10 мкг/кг/сутки, вводят подкожно утром (или по 5 мкг 2 раза в сутки). Лейкаферез начинается на четвертый день введения Г-КСФ при наличии адекватного количества </w:t>
      </w:r>
      <w:r w:rsidRPr="00BA4F0F">
        <w:rPr>
          <w:szCs w:val="24"/>
          <w:lang w:val="en-US"/>
        </w:rPr>
        <w:t>CD</w:t>
      </w:r>
      <w:r w:rsidRPr="00BA4F0F">
        <w:rPr>
          <w:szCs w:val="24"/>
        </w:rPr>
        <w:t xml:space="preserve">34+ клеток в периферической крови. При их количестве более 10-20 клеток/мкл начинают сепарацию клеток. Если </w:t>
      </w:r>
      <w:r w:rsidRPr="00BA4F0F">
        <w:rPr>
          <w:szCs w:val="24"/>
          <w:lang w:val="en-US"/>
        </w:rPr>
        <w:t>CD</w:t>
      </w:r>
      <w:r w:rsidRPr="00BA4F0F">
        <w:rPr>
          <w:szCs w:val="24"/>
        </w:rPr>
        <w:t>34+ в периферической крови менее 10 клеток/мкл, необходимо отказаться от лейкафереза и повторить подсчет клеток на следующий день. Число сеансов лейкафереза зависит от результатов сбора ГСК, для заготовки оптимального  количества CD34+ клеток необходимо 2 - 4 процедуры (от 1 до 5). В заключительный день проведения лейкафереза Г-КСФ не вводится (таблица 1).</w:t>
      </w:r>
    </w:p>
    <w:p w14:paraId="50AD82AE" w14:textId="77777777" w:rsidR="0034590E" w:rsidRPr="00BA4F0F" w:rsidRDefault="0034590E" w:rsidP="0034590E">
      <w:pPr>
        <w:rPr>
          <w:szCs w:val="24"/>
        </w:rPr>
      </w:pPr>
    </w:p>
    <w:p w14:paraId="2B7B1B10" w14:textId="77777777" w:rsidR="0034590E" w:rsidRPr="00BA4F0F" w:rsidRDefault="0034590E" w:rsidP="0034590E">
      <w:pPr>
        <w:rPr>
          <w:szCs w:val="24"/>
        </w:rPr>
      </w:pPr>
      <w:r w:rsidRPr="00BA4F0F">
        <w:rPr>
          <w:szCs w:val="24"/>
        </w:rPr>
        <w:t xml:space="preserve">Таблица 1 . Схема мобилизации ГСК «Г-КСФ в монорежиме» </w:t>
      </w:r>
    </w:p>
    <w:tbl>
      <w:tblPr>
        <w:tblStyle w:val="1f2"/>
        <w:tblW w:w="8930" w:type="dxa"/>
        <w:tblInd w:w="108" w:type="dxa"/>
        <w:tblLook w:val="04A0" w:firstRow="1" w:lastRow="0" w:firstColumn="1" w:lastColumn="0" w:noHBand="0" w:noVBand="1"/>
      </w:tblPr>
      <w:tblGrid>
        <w:gridCol w:w="1583"/>
        <w:gridCol w:w="1142"/>
        <w:gridCol w:w="1139"/>
        <w:gridCol w:w="1139"/>
        <w:gridCol w:w="1142"/>
        <w:gridCol w:w="1143"/>
        <w:gridCol w:w="1642"/>
      </w:tblGrid>
      <w:tr w:rsidR="0034590E" w:rsidRPr="00BA4F0F" w14:paraId="1BE6ABF3" w14:textId="77777777" w:rsidTr="00EC1C67">
        <w:tc>
          <w:tcPr>
            <w:tcW w:w="1583" w:type="dxa"/>
          </w:tcPr>
          <w:p w14:paraId="2CCA0417" w14:textId="77777777" w:rsidR="0034590E" w:rsidRPr="00BA4F0F" w:rsidRDefault="0034590E" w:rsidP="00EC1C67">
            <w:pPr>
              <w:ind w:firstLine="0"/>
            </w:pPr>
            <w:r w:rsidRPr="00BA4F0F">
              <w:t>Дни</w:t>
            </w:r>
          </w:p>
        </w:tc>
        <w:tc>
          <w:tcPr>
            <w:tcW w:w="1142" w:type="dxa"/>
          </w:tcPr>
          <w:p w14:paraId="5D0BA093" w14:textId="77777777" w:rsidR="0034590E" w:rsidRPr="00BA4F0F" w:rsidRDefault="0034590E" w:rsidP="00EC1C67">
            <w:pPr>
              <w:ind w:firstLine="0"/>
            </w:pPr>
            <w:r w:rsidRPr="00BA4F0F">
              <w:t>1</w:t>
            </w:r>
          </w:p>
        </w:tc>
        <w:tc>
          <w:tcPr>
            <w:tcW w:w="1139" w:type="dxa"/>
          </w:tcPr>
          <w:p w14:paraId="221C066A" w14:textId="77777777" w:rsidR="0034590E" w:rsidRPr="00BA4F0F" w:rsidRDefault="0034590E" w:rsidP="00EC1C67">
            <w:pPr>
              <w:ind w:firstLine="0"/>
            </w:pPr>
            <w:r w:rsidRPr="00BA4F0F">
              <w:t>2</w:t>
            </w:r>
          </w:p>
        </w:tc>
        <w:tc>
          <w:tcPr>
            <w:tcW w:w="1139" w:type="dxa"/>
          </w:tcPr>
          <w:p w14:paraId="282ED046" w14:textId="77777777" w:rsidR="0034590E" w:rsidRPr="00BA4F0F" w:rsidRDefault="0034590E" w:rsidP="00EC1C67">
            <w:pPr>
              <w:ind w:firstLine="0"/>
            </w:pPr>
            <w:r w:rsidRPr="00BA4F0F">
              <w:t>3</w:t>
            </w:r>
          </w:p>
        </w:tc>
        <w:tc>
          <w:tcPr>
            <w:tcW w:w="1142" w:type="dxa"/>
          </w:tcPr>
          <w:p w14:paraId="26F8D703" w14:textId="77777777" w:rsidR="0034590E" w:rsidRPr="00BA4F0F" w:rsidRDefault="0034590E" w:rsidP="00EC1C67">
            <w:pPr>
              <w:ind w:firstLine="0"/>
            </w:pPr>
            <w:r w:rsidRPr="00BA4F0F">
              <w:t>4</w:t>
            </w:r>
          </w:p>
        </w:tc>
        <w:tc>
          <w:tcPr>
            <w:tcW w:w="1143" w:type="dxa"/>
          </w:tcPr>
          <w:p w14:paraId="335D4FCE" w14:textId="77777777" w:rsidR="0034590E" w:rsidRPr="00BA4F0F" w:rsidRDefault="0034590E" w:rsidP="00EC1C67">
            <w:pPr>
              <w:ind w:firstLine="0"/>
            </w:pPr>
            <w:r w:rsidRPr="00BA4F0F">
              <w:t>5</w:t>
            </w:r>
          </w:p>
        </w:tc>
        <w:tc>
          <w:tcPr>
            <w:tcW w:w="1642" w:type="dxa"/>
          </w:tcPr>
          <w:p w14:paraId="1DCB50C7" w14:textId="77777777" w:rsidR="0034590E" w:rsidRPr="00BA4F0F" w:rsidRDefault="0034590E" w:rsidP="00EC1C67">
            <w:pPr>
              <w:ind w:firstLine="0"/>
            </w:pPr>
            <w:r w:rsidRPr="00BA4F0F">
              <w:t>6</w:t>
            </w:r>
          </w:p>
        </w:tc>
      </w:tr>
      <w:tr w:rsidR="0034590E" w:rsidRPr="00BA4F0F" w14:paraId="39A554D6" w14:textId="77777777" w:rsidTr="00EC1C67">
        <w:tc>
          <w:tcPr>
            <w:tcW w:w="1583" w:type="dxa"/>
          </w:tcPr>
          <w:p w14:paraId="7B5F51F4" w14:textId="77777777" w:rsidR="0034590E" w:rsidRPr="00BA4F0F" w:rsidRDefault="0034590E" w:rsidP="00EC1C67">
            <w:pPr>
              <w:ind w:firstLine="0"/>
            </w:pPr>
            <w:r w:rsidRPr="00BA4F0F">
              <w:t xml:space="preserve">Г-КСФ, </w:t>
            </w:r>
          </w:p>
          <w:p w14:paraId="12D80530" w14:textId="77777777" w:rsidR="0034590E" w:rsidRPr="00BA4F0F" w:rsidRDefault="0034590E" w:rsidP="00EC1C67">
            <w:pPr>
              <w:ind w:firstLine="0"/>
            </w:pPr>
            <w:r w:rsidRPr="00BA4F0F">
              <w:t>10 мкг/кг</w:t>
            </w:r>
          </w:p>
        </w:tc>
        <w:tc>
          <w:tcPr>
            <w:tcW w:w="1142" w:type="dxa"/>
          </w:tcPr>
          <w:p w14:paraId="044BCC8C" w14:textId="77777777" w:rsidR="0034590E" w:rsidRPr="00BA4F0F" w:rsidRDefault="0034590E" w:rsidP="00EC1C67">
            <w:pPr>
              <w:ind w:firstLine="0"/>
            </w:pPr>
            <w:r w:rsidRPr="00BA4F0F">
              <w:t>Х</w:t>
            </w:r>
          </w:p>
        </w:tc>
        <w:tc>
          <w:tcPr>
            <w:tcW w:w="1139" w:type="dxa"/>
          </w:tcPr>
          <w:p w14:paraId="6AF2BC9F" w14:textId="77777777" w:rsidR="0034590E" w:rsidRPr="00BA4F0F" w:rsidRDefault="0034590E" w:rsidP="00EC1C67">
            <w:pPr>
              <w:ind w:firstLine="0"/>
            </w:pPr>
            <w:r w:rsidRPr="00BA4F0F">
              <w:t>Х</w:t>
            </w:r>
          </w:p>
        </w:tc>
        <w:tc>
          <w:tcPr>
            <w:tcW w:w="1139" w:type="dxa"/>
          </w:tcPr>
          <w:p w14:paraId="7D3B0E94" w14:textId="77777777" w:rsidR="0034590E" w:rsidRPr="00BA4F0F" w:rsidRDefault="0034590E" w:rsidP="00EC1C67">
            <w:pPr>
              <w:ind w:firstLine="0"/>
            </w:pPr>
            <w:r w:rsidRPr="00BA4F0F">
              <w:t>Х</w:t>
            </w:r>
          </w:p>
        </w:tc>
        <w:tc>
          <w:tcPr>
            <w:tcW w:w="1142" w:type="dxa"/>
          </w:tcPr>
          <w:p w14:paraId="5DAB367B" w14:textId="77777777" w:rsidR="0034590E" w:rsidRPr="00BA4F0F" w:rsidRDefault="0034590E" w:rsidP="00EC1C67">
            <w:pPr>
              <w:ind w:firstLine="0"/>
            </w:pPr>
            <w:r w:rsidRPr="00BA4F0F">
              <w:t>Х</w:t>
            </w:r>
          </w:p>
        </w:tc>
        <w:tc>
          <w:tcPr>
            <w:tcW w:w="1143" w:type="dxa"/>
          </w:tcPr>
          <w:p w14:paraId="0C55EA1F" w14:textId="77777777" w:rsidR="0034590E" w:rsidRPr="00BA4F0F" w:rsidRDefault="0034590E" w:rsidP="00EC1C67">
            <w:pPr>
              <w:ind w:firstLine="0"/>
            </w:pPr>
            <w:r w:rsidRPr="00BA4F0F">
              <w:t>Х</w:t>
            </w:r>
          </w:p>
        </w:tc>
        <w:tc>
          <w:tcPr>
            <w:tcW w:w="1642" w:type="dxa"/>
          </w:tcPr>
          <w:p w14:paraId="57036E25" w14:textId="77777777" w:rsidR="0034590E" w:rsidRPr="00BA4F0F" w:rsidRDefault="0034590E" w:rsidP="00EC1C67">
            <w:pPr>
              <w:ind w:firstLine="0"/>
            </w:pPr>
            <w:r w:rsidRPr="00BA4F0F">
              <w:t>отмена</w:t>
            </w:r>
          </w:p>
        </w:tc>
      </w:tr>
      <w:tr w:rsidR="0034590E" w:rsidRPr="00BA4F0F" w14:paraId="78E0BA17" w14:textId="77777777" w:rsidTr="00EC1C67">
        <w:tc>
          <w:tcPr>
            <w:tcW w:w="1583" w:type="dxa"/>
          </w:tcPr>
          <w:p w14:paraId="16B475F4" w14:textId="77777777" w:rsidR="0034590E" w:rsidRPr="00BA4F0F" w:rsidRDefault="0034590E" w:rsidP="00EC1C67">
            <w:pPr>
              <w:ind w:firstLine="0"/>
            </w:pPr>
            <w:r w:rsidRPr="00BA4F0F">
              <w:t>Лейкаферез</w:t>
            </w:r>
          </w:p>
        </w:tc>
        <w:tc>
          <w:tcPr>
            <w:tcW w:w="1142" w:type="dxa"/>
          </w:tcPr>
          <w:p w14:paraId="241DCDCF" w14:textId="77777777" w:rsidR="0034590E" w:rsidRPr="00BA4F0F" w:rsidRDefault="0034590E" w:rsidP="00EC1C67">
            <w:pPr>
              <w:ind w:firstLine="0"/>
            </w:pPr>
          </w:p>
        </w:tc>
        <w:tc>
          <w:tcPr>
            <w:tcW w:w="1139" w:type="dxa"/>
          </w:tcPr>
          <w:p w14:paraId="266D5292" w14:textId="77777777" w:rsidR="0034590E" w:rsidRPr="00BA4F0F" w:rsidRDefault="0034590E" w:rsidP="00EC1C67">
            <w:pPr>
              <w:ind w:firstLine="0"/>
            </w:pPr>
          </w:p>
        </w:tc>
        <w:tc>
          <w:tcPr>
            <w:tcW w:w="1139" w:type="dxa"/>
          </w:tcPr>
          <w:p w14:paraId="4B0572BF" w14:textId="77777777" w:rsidR="0034590E" w:rsidRPr="00BA4F0F" w:rsidRDefault="0034590E" w:rsidP="00EC1C67">
            <w:pPr>
              <w:ind w:firstLine="0"/>
            </w:pPr>
          </w:p>
        </w:tc>
        <w:tc>
          <w:tcPr>
            <w:tcW w:w="1142" w:type="dxa"/>
          </w:tcPr>
          <w:p w14:paraId="2B0FDCB5" w14:textId="77777777" w:rsidR="0034590E" w:rsidRPr="00BA4F0F" w:rsidRDefault="0034590E" w:rsidP="00EC1C67">
            <w:pPr>
              <w:ind w:firstLine="0"/>
              <w:rPr>
                <w:lang w:val="en-US"/>
              </w:rPr>
            </w:pPr>
            <w:r w:rsidRPr="00BA4F0F">
              <w:rPr>
                <w:lang w:val="en-US"/>
              </w:rPr>
              <w:t>V</w:t>
            </w:r>
          </w:p>
        </w:tc>
        <w:tc>
          <w:tcPr>
            <w:tcW w:w="1143" w:type="dxa"/>
          </w:tcPr>
          <w:p w14:paraId="1A92E4FF" w14:textId="77777777" w:rsidR="0034590E" w:rsidRPr="00BA4F0F" w:rsidRDefault="0034590E" w:rsidP="00EC1C67">
            <w:pPr>
              <w:ind w:firstLine="0"/>
              <w:rPr>
                <w:lang w:val="en-US"/>
              </w:rPr>
            </w:pPr>
            <w:r w:rsidRPr="00BA4F0F">
              <w:rPr>
                <w:lang w:val="en-US"/>
              </w:rPr>
              <w:t>V</w:t>
            </w:r>
          </w:p>
        </w:tc>
        <w:tc>
          <w:tcPr>
            <w:tcW w:w="1642" w:type="dxa"/>
          </w:tcPr>
          <w:p w14:paraId="1067CAEE" w14:textId="77777777" w:rsidR="0034590E" w:rsidRPr="00BA4F0F" w:rsidRDefault="0034590E" w:rsidP="00EC1C67">
            <w:pPr>
              <w:ind w:firstLine="0"/>
              <w:rPr>
                <w:lang w:val="en-US"/>
              </w:rPr>
            </w:pPr>
            <w:r w:rsidRPr="00BA4F0F">
              <w:rPr>
                <w:lang w:val="en-US"/>
              </w:rPr>
              <w:t>V</w:t>
            </w:r>
          </w:p>
        </w:tc>
      </w:tr>
    </w:tbl>
    <w:p w14:paraId="604FF5F2" w14:textId="77777777" w:rsidR="0034590E" w:rsidRPr="00BA4F0F" w:rsidRDefault="0034590E" w:rsidP="0034590E">
      <w:pPr>
        <w:pStyle w:val="11"/>
        <w:spacing w:before="0"/>
      </w:pPr>
      <w:bookmarkStart w:id="133" w:name="_Toc44926606"/>
    </w:p>
    <w:p w14:paraId="769B2CD6" w14:textId="77777777" w:rsidR="0034590E" w:rsidRPr="00BA4F0F" w:rsidRDefault="0034590E" w:rsidP="0034590E">
      <w:pPr>
        <w:pStyle w:val="afd"/>
        <w:ind w:left="0"/>
        <w:rPr>
          <w:szCs w:val="24"/>
          <w:u w:val="single"/>
        </w:rPr>
      </w:pPr>
      <w:r w:rsidRPr="00BA4F0F">
        <w:rPr>
          <w:szCs w:val="24"/>
          <w:u w:val="single"/>
        </w:rPr>
        <w:t>Г-КСФ после миелосупрессивной химиотерапии</w:t>
      </w:r>
      <w:bookmarkEnd w:id="133"/>
    </w:p>
    <w:p w14:paraId="3A140B79" w14:textId="77777777" w:rsidR="0034590E" w:rsidRPr="00BA4F0F" w:rsidRDefault="0034590E" w:rsidP="0034590E">
      <w:pPr>
        <w:rPr>
          <w:b/>
          <w:i/>
          <w:szCs w:val="24"/>
          <w:lang w:val="en-US"/>
        </w:rPr>
      </w:pPr>
      <w:r w:rsidRPr="00BA4F0F">
        <w:rPr>
          <w:b/>
          <w:i/>
          <w:szCs w:val="24"/>
          <w:lang w:val="en-US"/>
        </w:rPr>
        <w:t xml:space="preserve">Показания </w:t>
      </w:r>
    </w:p>
    <w:p w14:paraId="2E08F301" w14:textId="77777777" w:rsidR="0034590E" w:rsidRPr="00BA4F0F" w:rsidRDefault="0034590E" w:rsidP="00A72B1B">
      <w:pPr>
        <w:numPr>
          <w:ilvl w:val="0"/>
          <w:numId w:val="58"/>
        </w:numPr>
        <w:contextualSpacing/>
        <w:rPr>
          <w:b/>
          <w:szCs w:val="24"/>
        </w:rPr>
      </w:pPr>
      <w:r w:rsidRPr="00BA4F0F">
        <w:rPr>
          <w:szCs w:val="24"/>
        </w:rPr>
        <w:t>Мобилизация ГСК у пациентов с онкогематологическими заболеваниями</w:t>
      </w:r>
    </w:p>
    <w:p w14:paraId="285F433C" w14:textId="77777777" w:rsidR="0034590E" w:rsidRPr="00BA4F0F" w:rsidRDefault="0034590E" w:rsidP="0034590E">
      <w:pPr>
        <w:rPr>
          <w:b/>
          <w:i/>
          <w:szCs w:val="24"/>
        </w:rPr>
      </w:pPr>
    </w:p>
    <w:p w14:paraId="69A30E6A" w14:textId="77777777" w:rsidR="0034590E" w:rsidRPr="00BA4F0F" w:rsidRDefault="0034590E" w:rsidP="0034590E">
      <w:pPr>
        <w:rPr>
          <w:b/>
          <w:i/>
          <w:szCs w:val="24"/>
        </w:rPr>
      </w:pPr>
      <w:r w:rsidRPr="00BA4F0F">
        <w:rPr>
          <w:b/>
          <w:i/>
          <w:szCs w:val="24"/>
        </w:rPr>
        <w:t>Схема мобилизации ГСК «ХТ + Г-КСФ»</w:t>
      </w:r>
    </w:p>
    <w:p w14:paraId="2F6CEC80" w14:textId="77777777" w:rsidR="0034590E" w:rsidRPr="00BA4F0F" w:rsidRDefault="0034590E" w:rsidP="0034590E">
      <w:pPr>
        <w:rPr>
          <w:szCs w:val="24"/>
        </w:rPr>
      </w:pPr>
      <w:r w:rsidRPr="00BA4F0F">
        <w:rPr>
          <w:szCs w:val="24"/>
        </w:rPr>
        <w:t>Миелосупрессивная ХТ стимулирует пролиферацию стволовых клеток и клеток-предшественниц, что приводит к увеличению выброса ГСК из костного мозга в кровь. Принцип данного режима мобилизации ГСК: пациенту вводится химиопрепарат (или несколько препаратов) согласно соответствующему протоколу лечения, а затем, после развития МТА, начинается стимуляция лейкопоэза Г-КСФ в дозе 5 мг/кг/сут.</w:t>
      </w:r>
    </w:p>
    <w:p w14:paraId="00B9A4E0" w14:textId="77777777" w:rsidR="0034590E" w:rsidRPr="00BA4F0F" w:rsidRDefault="0034590E" w:rsidP="0034590E">
      <w:pPr>
        <w:rPr>
          <w:szCs w:val="24"/>
        </w:rPr>
      </w:pPr>
      <w:r w:rsidRPr="00BA4F0F">
        <w:rPr>
          <w:szCs w:val="24"/>
        </w:rPr>
        <w:t xml:space="preserve">При условии восстановления лейкоцитов периферической крови и адекватного количества среди них </w:t>
      </w:r>
      <w:r w:rsidRPr="00BA4F0F">
        <w:rPr>
          <w:szCs w:val="24"/>
          <w:lang w:val="en-US"/>
        </w:rPr>
        <w:t>CD</w:t>
      </w:r>
      <w:r w:rsidRPr="00BA4F0F">
        <w:rPr>
          <w:szCs w:val="24"/>
        </w:rPr>
        <w:t xml:space="preserve">34+ клеток начинаются процедуры сбора ГСК (как правило, на 6-8 день введения Г-КСФ). </w:t>
      </w:r>
    </w:p>
    <w:p w14:paraId="6CF6C597" w14:textId="77777777" w:rsidR="0034590E" w:rsidRPr="00BA4F0F" w:rsidRDefault="0034590E" w:rsidP="0034590E">
      <w:pPr>
        <w:rPr>
          <w:szCs w:val="24"/>
        </w:rPr>
      </w:pPr>
      <w:r w:rsidRPr="00BA4F0F">
        <w:rPr>
          <w:szCs w:val="24"/>
        </w:rPr>
        <w:t xml:space="preserve">На рисунке 1 представлен алгоритм определения показаний к проведению первого лейкафереза. Количество лейкаферезов зависит от результата сбора ГСК (от 1 до 5). В заключительный день проведения лейкафереза Г-КСФ не вводится. </w:t>
      </w:r>
    </w:p>
    <w:p w14:paraId="5207361B" w14:textId="77777777" w:rsidR="0034590E" w:rsidRPr="00BA4F0F" w:rsidRDefault="0034590E" w:rsidP="0034590E">
      <w:pPr>
        <w:jc w:val="center"/>
        <w:rPr>
          <w:szCs w:val="24"/>
        </w:rPr>
      </w:pPr>
      <w:r w:rsidRPr="00BA4F0F">
        <w:rPr>
          <w:noProof/>
          <w:szCs w:val="24"/>
          <w:lang w:eastAsia="ru-RU"/>
        </w:rPr>
        <w:drawing>
          <wp:inline distT="0" distB="0" distL="0" distR="0" wp14:anchorId="2C35CCDF" wp14:editId="27014A4D">
            <wp:extent cx="4177990" cy="2665737"/>
            <wp:effectExtent l="0" t="0" r="0" b="1270"/>
            <wp:docPr id="6" name="Picture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Изображение выглядит как текст&#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6702" cy="2664915"/>
                    </a:xfrm>
                    <a:prstGeom prst="rect">
                      <a:avLst/>
                    </a:prstGeom>
                    <a:noFill/>
                    <a:ln>
                      <a:noFill/>
                    </a:ln>
                    <a:effectLst/>
                  </pic:spPr>
                </pic:pic>
              </a:graphicData>
            </a:graphic>
          </wp:inline>
        </w:drawing>
      </w:r>
    </w:p>
    <w:p w14:paraId="79B37FC0" w14:textId="77777777" w:rsidR="0034590E" w:rsidRPr="00BA4F0F" w:rsidRDefault="0034590E" w:rsidP="0034590E">
      <w:pPr>
        <w:jc w:val="center"/>
        <w:rPr>
          <w:i/>
          <w:szCs w:val="24"/>
        </w:rPr>
      </w:pPr>
      <w:r w:rsidRPr="00BA4F0F">
        <w:rPr>
          <w:szCs w:val="24"/>
        </w:rPr>
        <w:lastRenderedPageBreak/>
        <w:t xml:space="preserve">Рисунок 1. Алгоритм определения показаний к проведению первого лейкафереза при мобилизации ГСК в режиме «ХТ+ Г-КСФ». </w:t>
      </w:r>
      <w:r w:rsidRPr="00BA4F0F">
        <w:rPr>
          <w:i/>
          <w:szCs w:val="24"/>
        </w:rPr>
        <w:t>ХТ – химиотерапия, МТА – миелотоксический агранулоцитоз</w:t>
      </w:r>
    </w:p>
    <w:p w14:paraId="7638CFB3" w14:textId="77777777" w:rsidR="0034590E" w:rsidRPr="00BA4F0F" w:rsidRDefault="0034590E" w:rsidP="0034590E">
      <w:pPr>
        <w:rPr>
          <w:szCs w:val="24"/>
        </w:rPr>
      </w:pPr>
    </w:p>
    <w:p w14:paraId="7C84F60B" w14:textId="795DB689" w:rsidR="0034590E" w:rsidRPr="00BA4F0F" w:rsidRDefault="0034590E" w:rsidP="0034590E">
      <w:pPr>
        <w:rPr>
          <w:szCs w:val="24"/>
        </w:rPr>
      </w:pPr>
      <w:r w:rsidRPr="00BA4F0F">
        <w:rPr>
          <w:szCs w:val="24"/>
        </w:rPr>
        <w:t xml:space="preserve">Данная схема мобилизации ГСК применяется в период индукции первой или второй ремиссии при ММ, НХЛ, лимфоме Ходжкина; при острых лейкозах в период ремиссии. Выбор химиотерапевтических препаратов зависит от конкретной нозологии и протокола терапии. Так, при ММ чаще используется циклофосфан, также возможны схемы </w:t>
      </w:r>
      <w:r w:rsidRPr="00BA4F0F">
        <w:rPr>
          <w:szCs w:val="24"/>
          <w:lang w:val="en-US"/>
        </w:rPr>
        <w:t>VD</w:t>
      </w:r>
      <w:r w:rsidRPr="00BA4F0F">
        <w:rPr>
          <w:szCs w:val="24"/>
        </w:rPr>
        <w:t>-</w:t>
      </w:r>
      <w:r w:rsidRPr="00BA4F0F">
        <w:rPr>
          <w:szCs w:val="24"/>
          <w:lang w:val="en-US"/>
        </w:rPr>
        <w:t>PACE</w:t>
      </w:r>
      <w:r w:rsidRPr="00BA4F0F">
        <w:rPr>
          <w:szCs w:val="24"/>
        </w:rPr>
        <w:t xml:space="preserve">, </w:t>
      </w:r>
      <w:r w:rsidRPr="00BA4F0F">
        <w:rPr>
          <w:szCs w:val="24"/>
          <w:lang w:val="en-US"/>
        </w:rPr>
        <w:t>DHAP</w:t>
      </w:r>
      <w:r w:rsidRPr="00BA4F0F">
        <w:rPr>
          <w:szCs w:val="24"/>
        </w:rPr>
        <w:t>, средние дозы цитарабина (1,6 мг/м</w:t>
      </w:r>
      <w:r w:rsidRPr="00BA4F0F">
        <w:rPr>
          <w:szCs w:val="24"/>
          <w:vertAlign w:val="superscript"/>
        </w:rPr>
        <w:t>2</w:t>
      </w:r>
      <w:r w:rsidRPr="00BA4F0F">
        <w:rPr>
          <w:szCs w:val="24"/>
        </w:rPr>
        <w:t xml:space="preserve">) </w:t>
      </w:r>
      <w:r w:rsidRPr="00BA4F0F">
        <w:rPr>
          <w:szCs w:val="24"/>
        </w:rPr>
        <w:fldChar w:fldCharType="begin" w:fldLock="1"/>
      </w:r>
      <w:r w:rsidR="00F44253">
        <w:rPr>
          <w:szCs w:val="24"/>
        </w:rPr>
        <w:instrText>ADDIN CSL_CITATION {"citationItems":[{"id":"ITEM-1","itemData":{"DOI":"http://dx.doi.org/10.18821/0234-5730-2017-62-4-180-187","author":[{"dropping-particle":"","family":"Бабенецкая Д.В., Моторин Д.В., Петров А.В., Алексеева Ю.А.","given":"Зарицкий А.Ю.","non-dropping-particle":"","parse-names":false,"suffix":""}],"container-title":"Гематология и трансфузиология.","id":"ITEM-1","issue":"62(4)","issued":{"date-parts":[["2017"]]},"page":"180-187.","title":"Мобилизация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type":"article-journal"},"uris":["http://www.mendeley.com/documents/?uuid=ac290ab9-3704-3deb-9ee1-a77054689a23","http://www.mendeley.com/documents/?uuid=18434bdd-f835-497e-85ae-9a174b52514e"]}],"mendeley":{"formattedCitation":"[120]","plainTextFormattedCitation":"[120]","previouslyFormattedCitation":"[120]"},"properties":{"noteIndex":0},"schema":"https://github.com/citation-style-language/schema/raw/master/csl-citation.json"}</w:instrText>
      </w:r>
      <w:r w:rsidRPr="00BA4F0F">
        <w:rPr>
          <w:szCs w:val="24"/>
        </w:rPr>
        <w:fldChar w:fldCharType="separate"/>
      </w:r>
      <w:r w:rsidR="004D13EB" w:rsidRPr="004D13EB">
        <w:rPr>
          <w:noProof/>
          <w:szCs w:val="24"/>
        </w:rPr>
        <w:t>[120]</w:t>
      </w:r>
      <w:r w:rsidRPr="00BA4F0F">
        <w:rPr>
          <w:szCs w:val="24"/>
        </w:rPr>
        <w:fldChar w:fldCharType="end"/>
      </w:r>
      <w:r w:rsidRPr="00BA4F0F">
        <w:rPr>
          <w:szCs w:val="24"/>
        </w:rPr>
        <w:t xml:space="preserve">. При агрессивных лимфопролиферативных заболеваниях мобилизация клеток осуществляется после блоков ЛБ-М-04, </w:t>
      </w:r>
      <w:r w:rsidRPr="00BA4F0F">
        <w:rPr>
          <w:szCs w:val="24"/>
          <w:lang w:val="en-US"/>
        </w:rPr>
        <w:t>DA</w:t>
      </w:r>
      <w:r w:rsidRPr="00BA4F0F">
        <w:rPr>
          <w:szCs w:val="24"/>
        </w:rPr>
        <w:t>-</w:t>
      </w:r>
      <w:r w:rsidRPr="00BA4F0F">
        <w:rPr>
          <w:szCs w:val="24"/>
          <w:lang w:val="en-US"/>
        </w:rPr>
        <w:t>R</w:t>
      </w:r>
      <w:r w:rsidRPr="00BA4F0F">
        <w:rPr>
          <w:szCs w:val="24"/>
        </w:rPr>
        <w:t>-</w:t>
      </w:r>
      <w:r w:rsidRPr="00BA4F0F">
        <w:rPr>
          <w:szCs w:val="24"/>
          <w:lang w:val="en-US"/>
        </w:rPr>
        <w:t>EPOCH</w:t>
      </w:r>
      <w:r w:rsidRPr="00BA4F0F">
        <w:rPr>
          <w:szCs w:val="24"/>
        </w:rPr>
        <w:t xml:space="preserve">, </w:t>
      </w:r>
      <w:r w:rsidRPr="00BA4F0F">
        <w:rPr>
          <w:szCs w:val="24"/>
          <w:lang w:val="en-US"/>
        </w:rPr>
        <w:t>ESGAP</w:t>
      </w:r>
      <w:r w:rsidRPr="00BA4F0F">
        <w:rPr>
          <w:szCs w:val="24"/>
        </w:rPr>
        <w:t xml:space="preserve">, </w:t>
      </w:r>
      <w:r w:rsidRPr="00BA4F0F">
        <w:rPr>
          <w:szCs w:val="24"/>
          <w:lang w:val="en-US"/>
        </w:rPr>
        <w:t>IGEV</w:t>
      </w:r>
      <w:r w:rsidRPr="00BA4F0F">
        <w:rPr>
          <w:szCs w:val="24"/>
        </w:rPr>
        <w:t xml:space="preserve">, </w:t>
      </w:r>
      <w:r w:rsidRPr="00BA4F0F">
        <w:rPr>
          <w:szCs w:val="24"/>
          <w:lang w:val="en-US"/>
        </w:rPr>
        <w:t>NHL</w:t>
      </w:r>
      <w:r w:rsidRPr="00BA4F0F">
        <w:rPr>
          <w:szCs w:val="24"/>
        </w:rPr>
        <w:t>-</w:t>
      </w:r>
      <w:r w:rsidRPr="00BA4F0F">
        <w:rPr>
          <w:szCs w:val="24"/>
          <w:lang w:val="en-US"/>
        </w:rPr>
        <w:t>BFM</w:t>
      </w:r>
      <w:r w:rsidRPr="00BA4F0F">
        <w:rPr>
          <w:szCs w:val="24"/>
        </w:rPr>
        <w:t xml:space="preserve">-90, </w:t>
      </w:r>
      <w:r w:rsidRPr="00BA4F0F">
        <w:rPr>
          <w:szCs w:val="24"/>
          <w:lang w:val="en-US"/>
        </w:rPr>
        <w:t>SMILE</w:t>
      </w:r>
      <w:r w:rsidRPr="00BA4F0F">
        <w:rPr>
          <w:szCs w:val="24"/>
        </w:rPr>
        <w:t xml:space="preserve">, </w:t>
      </w:r>
      <w:r w:rsidRPr="00BA4F0F">
        <w:rPr>
          <w:szCs w:val="24"/>
          <w:lang w:val="en-US"/>
        </w:rPr>
        <w:t>TL</w:t>
      </w:r>
      <w:r w:rsidRPr="00BA4F0F">
        <w:rPr>
          <w:szCs w:val="24"/>
        </w:rPr>
        <w:t>-</w:t>
      </w:r>
      <w:r w:rsidRPr="00BA4F0F">
        <w:rPr>
          <w:szCs w:val="24"/>
          <w:lang w:val="en-US"/>
        </w:rPr>
        <w:t>REZ</w:t>
      </w:r>
      <w:r w:rsidRPr="00BA4F0F">
        <w:rPr>
          <w:szCs w:val="24"/>
        </w:rPr>
        <w:t xml:space="preserve">-09, R-HМA, R-BAC, </w:t>
      </w:r>
      <w:r w:rsidRPr="00BA4F0F">
        <w:rPr>
          <w:szCs w:val="24"/>
          <w:lang w:val="en-US"/>
        </w:rPr>
        <w:t>DHAP</w:t>
      </w:r>
      <w:r w:rsidRPr="00BA4F0F">
        <w:rPr>
          <w:szCs w:val="24"/>
        </w:rPr>
        <w:t xml:space="preserve">, </w:t>
      </w:r>
      <w:r w:rsidRPr="00BA4F0F">
        <w:rPr>
          <w:szCs w:val="24"/>
          <w:lang w:val="en-US"/>
        </w:rPr>
        <w:t>R</w:t>
      </w:r>
      <w:r w:rsidRPr="00BA4F0F">
        <w:rPr>
          <w:szCs w:val="24"/>
        </w:rPr>
        <w:t>-</w:t>
      </w:r>
      <w:r w:rsidRPr="00BA4F0F">
        <w:rPr>
          <w:szCs w:val="24"/>
          <w:lang w:val="en-US"/>
        </w:rPr>
        <w:t>ICE</w:t>
      </w:r>
      <w:r w:rsidRPr="00BA4F0F">
        <w:rPr>
          <w:szCs w:val="24"/>
        </w:rPr>
        <w:t xml:space="preserve"> (приложение 1).</w:t>
      </w:r>
    </w:p>
    <w:p w14:paraId="13DFF31E" w14:textId="77777777" w:rsidR="0034590E" w:rsidRPr="00BA4F0F" w:rsidRDefault="0034590E" w:rsidP="0034590E">
      <w:pPr>
        <w:rPr>
          <w:szCs w:val="24"/>
        </w:rPr>
      </w:pPr>
      <w:r w:rsidRPr="00BA4F0F">
        <w:rPr>
          <w:szCs w:val="24"/>
        </w:rPr>
        <w:t xml:space="preserve">При </w:t>
      </w:r>
      <w:r w:rsidRPr="00BA4F0F">
        <w:rPr>
          <w:szCs w:val="24"/>
          <w:lang w:val="en-US"/>
        </w:rPr>
        <w:t>Ph</w:t>
      </w:r>
      <w:r w:rsidRPr="00BA4F0F">
        <w:rPr>
          <w:szCs w:val="24"/>
        </w:rPr>
        <w:t>-позитивных острых лимфобластных лейкозах проведение мобилизации ГСК возможно после подтверждения полной молекулярной ремиссии, при остром промиелоцитарном лейкозе – при подтверждении второй полной молекулярной ремиссии на терапии по протоколу «Риск-адаптированная программа терапии больных ОПЛ (</w:t>
      </w:r>
      <w:r w:rsidRPr="00BA4F0F">
        <w:rPr>
          <w:szCs w:val="24"/>
          <w:lang w:val="en-US"/>
        </w:rPr>
        <w:t>ATRA</w:t>
      </w:r>
      <w:r w:rsidRPr="00BA4F0F">
        <w:rPr>
          <w:szCs w:val="24"/>
        </w:rPr>
        <w:t>-</w:t>
      </w:r>
      <w:r w:rsidRPr="00BA4F0F">
        <w:rPr>
          <w:szCs w:val="24"/>
          <w:lang w:val="en-US"/>
        </w:rPr>
        <w:t>ATO</w:t>
      </w:r>
      <w:r w:rsidRPr="00BA4F0F">
        <w:rPr>
          <w:szCs w:val="24"/>
        </w:rPr>
        <w:t>-</w:t>
      </w:r>
      <w:r w:rsidRPr="00BA4F0F">
        <w:rPr>
          <w:szCs w:val="24"/>
          <w:lang w:val="en-US"/>
        </w:rPr>
        <w:t>CT</w:t>
      </w:r>
      <w:r w:rsidRPr="00BA4F0F">
        <w:rPr>
          <w:szCs w:val="24"/>
        </w:rPr>
        <w:t xml:space="preserve">) с обязательным молекулярным мониторингом», при ОМЛ (благоприятный и промежуточный риск) в случае достижения МРБ негативной ремиссии в возрасте до 40 лет рассматривается вопрос о выполнении мобилизации с последующей ауто-ТГСК. </w:t>
      </w:r>
    </w:p>
    <w:p w14:paraId="117E87C3" w14:textId="77777777" w:rsidR="0034590E" w:rsidRPr="00BA4F0F" w:rsidRDefault="0034590E" w:rsidP="0034590E">
      <w:pPr>
        <w:rPr>
          <w:szCs w:val="24"/>
        </w:rPr>
      </w:pPr>
      <w:r w:rsidRPr="00BA4F0F">
        <w:rPr>
          <w:szCs w:val="24"/>
        </w:rPr>
        <w:t>Если период МТА осложнился тяжелым инфекционным процессом и к моменту сбора ГСК сохраняются осложнения, угрожающие жизни, от лейкафереза следует воздержаться. Если состояние стабилизировано, мобилизация и сбор ГСК продолжаются.</w:t>
      </w:r>
    </w:p>
    <w:p w14:paraId="3E2B10B7" w14:textId="77777777" w:rsidR="0034590E" w:rsidRPr="00BA4F0F" w:rsidRDefault="0034590E" w:rsidP="0034590E">
      <w:pPr>
        <w:rPr>
          <w:b/>
          <w:szCs w:val="24"/>
        </w:rPr>
      </w:pPr>
    </w:p>
    <w:p w14:paraId="152D2442" w14:textId="77777777" w:rsidR="0034590E" w:rsidRPr="00BA4F0F" w:rsidRDefault="0034590E" w:rsidP="0034590E">
      <w:pPr>
        <w:pStyle w:val="afd"/>
        <w:ind w:left="0"/>
        <w:rPr>
          <w:szCs w:val="24"/>
          <w:u w:val="single"/>
        </w:rPr>
      </w:pPr>
      <w:bookmarkStart w:id="134" w:name="_Toc44926607"/>
      <w:r w:rsidRPr="00BA4F0F">
        <w:rPr>
          <w:szCs w:val="24"/>
          <w:u w:val="single"/>
        </w:rPr>
        <w:t>Г-КСФ в сочетании с плериксафором</w:t>
      </w:r>
      <w:bookmarkEnd w:id="134"/>
    </w:p>
    <w:p w14:paraId="7FD4C167" w14:textId="77777777" w:rsidR="0034590E" w:rsidRPr="00BA4F0F" w:rsidRDefault="0034590E" w:rsidP="0034590E">
      <w:pPr>
        <w:rPr>
          <w:b/>
          <w:i/>
          <w:szCs w:val="24"/>
          <w:lang w:val="en-US"/>
        </w:rPr>
      </w:pPr>
      <w:r w:rsidRPr="00BA4F0F">
        <w:rPr>
          <w:b/>
          <w:i/>
          <w:szCs w:val="24"/>
          <w:lang w:val="en-US"/>
        </w:rPr>
        <w:t>Показания</w:t>
      </w:r>
    </w:p>
    <w:p w14:paraId="200C8CEC" w14:textId="77777777" w:rsidR="0034590E" w:rsidRPr="00BA4F0F" w:rsidRDefault="0034590E" w:rsidP="00A72B1B">
      <w:pPr>
        <w:numPr>
          <w:ilvl w:val="0"/>
          <w:numId w:val="58"/>
        </w:numPr>
        <w:ind w:left="0" w:firstLine="0"/>
        <w:contextualSpacing/>
        <w:rPr>
          <w:szCs w:val="24"/>
        </w:rPr>
      </w:pPr>
      <w:r w:rsidRPr="00BA4F0F">
        <w:rPr>
          <w:szCs w:val="24"/>
        </w:rPr>
        <w:t>Повторная мобилизация после неудачи первой мобилизации ГСК схемами, включающими миелосупрессивные препараты в сочетании с Г-КСФ или применения Г-КСФ в монорежиме у пациентов с лимфомами и ММ;</w:t>
      </w:r>
    </w:p>
    <w:p w14:paraId="1C8700FE" w14:textId="77777777" w:rsidR="0034590E" w:rsidRPr="00BA4F0F" w:rsidRDefault="0034590E" w:rsidP="00A72B1B">
      <w:pPr>
        <w:numPr>
          <w:ilvl w:val="0"/>
          <w:numId w:val="58"/>
        </w:numPr>
        <w:ind w:left="0" w:firstLine="0"/>
        <w:contextualSpacing/>
        <w:rPr>
          <w:szCs w:val="24"/>
        </w:rPr>
      </w:pPr>
      <w:r w:rsidRPr="00BA4F0F">
        <w:rPr>
          <w:szCs w:val="24"/>
        </w:rPr>
        <w:t>Неудовлетворительные результаты текущей мобилизации у пациентов с лимфомами и ММ.</w:t>
      </w:r>
    </w:p>
    <w:p w14:paraId="023DE027" w14:textId="77777777" w:rsidR="0034590E" w:rsidRPr="00BA4F0F" w:rsidRDefault="0034590E" w:rsidP="0034590E">
      <w:pPr>
        <w:rPr>
          <w:szCs w:val="24"/>
        </w:rPr>
      </w:pPr>
      <w:r w:rsidRPr="00BA4F0F">
        <w:rPr>
          <w:szCs w:val="24"/>
        </w:rPr>
        <w:t>Неудовлетворительные результаты текущей мобилизации:</w:t>
      </w:r>
    </w:p>
    <w:p w14:paraId="1ACCDD69" w14:textId="77777777" w:rsidR="0034590E" w:rsidRPr="00BA4F0F" w:rsidRDefault="0034590E" w:rsidP="0034590E">
      <w:pPr>
        <w:rPr>
          <w:szCs w:val="24"/>
        </w:rPr>
      </w:pPr>
      <w:r w:rsidRPr="00BA4F0F">
        <w:rPr>
          <w:szCs w:val="24"/>
        </w:rPr>
        <w:t>а) количество CD34+ клеток в периферической крови в день предполагаемого первого лейкафереза менее 10 клеток/мкл (при планируемой одной аутотрансплантации) и 10-20 клеток/мкл (при планируемой тандемной аутотрансплантации);</w:t>
      </w:r>
    </w:p>
    <w:p w14:paraId="4056C330" w14:textId="77777777" w:rsidR="0034590E" w:rsidRPr="00BA4F0F" w:rsidRDefault="0034590E" w:rsidP="0034590E">
      <w:pPr>
        <w:rPr>
          <w:szCs w:val="24"/>
        </w:rPr>
      </w:pPr>
      <w:r w:rsidRPr="00BA4F0F">
        <w:rPr>
          <w:szCs w:val="24"/>
        </w:rPr>
        <w:lastRenderedPageBreak/>
        <w:t>б) за первый лейкаферез заготовлено менее 30-50% от необходимого количества CD34+ клеток.</w:t>
      </w:r>
    </w:p>
    <w:p w14:paraId="5B8AE233" w14:textId="77777777" w:rsidR="0034590E" w:rsidRPr="00BA4F0F" w:rsidRDefault="0034590E" w:rsidP="0034590E">
      <w:pPr>
        <w:contextualSpacing/>
        <w:rPr>
          <w:b/>
          <w:szCs w:val="24"/>
        </w:rPr>
      </w:pPr>
    </w:p>
    <w:p w14:paraId="7A14AF97" w14:textId="77777777" w:rsidR="0034590E" w:rsidRPr="00BA4F0F" w:rsidRDefault="0034590E" w:rsidP="0034590E">
      <w:pPr>
        <w:rPr>
          <w:b/>
          <w:i/>
          <w:szCs w:val="24"/>
        </w:rPr>
      </w:pPr>
      <w:r w:rsidRPr="00BA4F0F">
        <w:rPr>
          <w:b/>
          <w:i/>
          <w:szCs w:val="24"/>
        </w:rPr>
        <w:t>Схема мобилизации ГСК</w:t>
      </w:r>
    </w:p>
    <w:p w14:paraId="06A137BC" w14:textId="77777777" w:rsidR="0034590E" w:rsidRPr="00BA4F0F" w:rsidRDefault="0034590E" w:rsidP="0034590E">
      <w:pPr>
        <w:rPr>
          <w:szCs w:val="24"/>
        </w:rPr>
      </w:pPr>
      <w:r w:rsidRPr="00BA4F0F">
        <w:rPr>
          <w:szCs w:val="24"/>
        </w:rPr>
        <w:t xml:space="preserve">Г-КСФ назначают в дозе 10 мкг/кг/сутки, вводят подкожно утром. На четвертый день введения Г-КСФ плериксафор назначается за 12 часов до лейкафереза в дозе 240 мкг/кг подкожно. По результатам лейкафереза решается вопрос о необходимости повторного введения плериксафора (таблица </w:t>
      </w:r>
      <w:r>
        <w:rPr>
          <w:szCs w:val="24"/>
        </w:rPr>
        <w:t>2</w:t>
      </w:r>
      <w:r w:rsidRPr="00BA4F0F">
        <w:rPr>
          <w:szCs w:val="24"/>
        </w:rPr>
        <w:t>). Возможно применение нескольких введений плериксафора.</w:t>
      </w:r>
    </w:p>
    <w:p w14:paraId="71E3CEC8" w14:textId="77777777" w:rsidR="0034590E" w:rsidRPr="00BA4F0F" w:rsidRDefault="0034590E" w:rsidP="0034590E">
      <w:pPr>
        <w:rPr>
          <w:szCs w:val="24"/>
        </w:rPr>
      </w:pPr>
    </w:p>
    <w:p w14:paraId="4B80C44B" w14:textId="77777777" w:rsidR="0034590E" w:rsidRPr="00BA4F0F" w:rsidRDefault="0034590E" w:rsidP="0034590E">
      <w:pPr>
        <w:rPr>
          <w:szCs w:val="24"/>
        </w:rPr>
      </w:pPr>
      <w:r w:rsidRPr="00BA4F0F">
        <w:rPr>
          <w:szCs w:val="24"/>
        </w:rPr>
        <w:t xml:space="preserve">Таблица </w:t>
      </w:r>
      <w:r>
        <w:rPr>
          <w:szCs w:val="24"/>
        </w:rPr>
        <w:t>2</w:t>
      </w:r>
      <w:r w:rsidRPr="00BA4F0F">
        <w:rPr>
          <w:szCs w:val="24"/>
        </w:rPr>
        <w:t xml:space="preserve">. Схема мобилизации ГСК «Г-КСФ + плериксафор» </w:t>
      </w:r>
    </w:p>
    <w:tbl>
      <w:tblPr>
        <w:tblStyle w:val="1f2"/>
        <w:tblW w:w="0" w:type="auto"/>
        <w:jc w:val="center"/>
        <w:tblLook w:val="04A0" w:firstRow="1" w:lastRow="0" w:firstColumn="1" w:lastColumn="0" w:noHBand="0" w:noVBand="1"/>
      </w:tblPr>
      <w:tblGrid>
        <w:gridCol w:w="1651"/>
        <w:gridCol w:w="1133"/>
        <w:gridCol w:w="1129"/>
        <w:gridCol w:w="1129"/>
        <w:gridCol w:w="1132"/>
        <w:gridCol w:w="1133"/>
        <w:gridCol w:w="1133"/>
      </w:tblGrid>
      <w:tr w:rsidR="0034590E" w:rsidRPr="00BA4F0F" w14:paraId="520D04E0" w14:textId="77777777" w:rsidTr="00EC1C67">
        <w:trPr>
          <w:jc w:val="center"/>
        </w:trPr>
        <w:tc>
          <w:tcPr>
            <w:tcW w:w="1651" w:type="dxa"/>
          </w:tcPr>
          <w:p w14:paraId="25F751FB" w14:textId="77777777" w:rsidR="0034590E" w:rsidRPr="00BA4F0F" w:rsidRDefault="0034590E" w:rsidP="00EC1C67">
            <w:pPr>
              <w:ind w:firstLine="0"/>
            </w:pPr>
            <w:r w:rsidRPr="00BA4F0F">
              <w:t>Дни</w:t>
            </w:r>
          </w:p>
        </w:tc>
        <w:tc>
          <w:tcPr>
            <w:tcW w:w="1133" w:type="dxa"/>
          </w:tcPr>
          <w:p w14:paraId="1C10D0C5" w14:textId="77777777" w:rsidR="0034590E" w:rsidRPr="00BA4F0F" w:rsidRDefault="0034590E" w:rsidP="00EC1C67">
            <w:pPr>
              <w:ind w:firstLine="0"/>
            </w:pPr>
            <w:r w:rsidRPr="00BA4F0F">
              <w:t>1</w:t>
            </w:r>
          </w:p>
        </w:tc>
        <w:tc>
          <w:tcPr>
            <w:tcW w:w="1129" w:type="dxa"/>
          </w:tcPr>
          <w:p w14:paraId="4C25CD16" w14:textId="77777777" w:rsidR="0034590E" w:rsidRPr="00BA4F0F" w:rsidRDefault="0034590E" w:rsidP="00EC1C67">
            <w:pPr>
              <w:ind w:firstLine="0"/>
            </w:pPr>
            <w:r w:rsidRPr="00BA4F0F">
              <w:t>2</w:t>
            </w:r>
          </w:p>
        </w:tc>
        <w:tc>
          <w:tcPr>
            <w:tcW w:w="1129" w:type="dxa"/>
          </w:tcPr>
          <w:p w14:paraId="6139B5AF" w14:textId="77777777" w:rsidR="0034590E" w:rsidRPr="00BA4F0F" w:rsidRDefault="0034590E" w:rsidP="00EC1C67">
            <w:pPr>
              <w:ind w:firstLine="0"/>
            </w:pPr>
            <w:r w:rsidRPr="00BA4F0F">
              <w:t>3</w:t>
            </w:r>
          </w:p>
        </w:tc>
        <w:tc>
          <w:tcPr>
            <w:tcW w:w="1132" w:type="dxa"/>
          </w:tcPr>
          <w:p w14:paraId="7DFBDB9A" w14:textId="77777777" w:rsidR="0034590E" w:rsidRPr="00BA4F0F" w:rsidRDefault="0034590E" w:rsidP="00EC1C67">
            <w:pPr>
              <w:ind w:firstLine="0"/>
            </w:pPr>
            <w:r w:rsidRPr="00BA4F0F">
              <w:t>4</w:t>
            </w:r>
          </w:p>
        </w:tc>
        <w:tc>
          <w:tcPr>
            <w:tcW w:w="1133" w:type="dxa"/>
          </w:tcPr>
          <w:p w14:paraId="4224ABC4" w14:textId="77777777" w:rsidR="0034590E" w:rsidRPr="00BA4F0F" w:rsidRDefault="0034590E" w:rsidP="00EC1C67">
            <w:pPr>
              <w:ind w:firstLine="0"/>
            </w:pPr>
            <w:r w:rsidRPr="00BA4F0F">
              <w:t>5</w:t>
            </w:r>
          </w:p>
        </w:tc>
        <w:tc>
          <w:tcPr>
            <w:tcW w:w="1133" w:type="dxa"/>
          </w:tcPr>
          <w:p w14:paraId="13DE4BC2" w14:textId="77777777" w:rsidR="0034590E" w:rsidRPr="00BA4F0F" w:rsidRDefault="0034590E" w:rsidP="00EC1C67">
            <w:pPr>
              <w:ind w:firstLine="0"/>
            </w:pPr>
            <w:r w:rsidRPr="00BA4F0F">
              <w:t>6</w:t>
            </w:r>
          </w:p>
        </w:tc>
      </w:tr>
      <w:tr w:rsidR="0034590E" w:rsidRPr="00BA4F0F" w14:paraId="170AD358" w14:textId="77777777" w:rsidTr="00EC1C67">
        <w:trPr>
          <w:jc w:val="center"/>
        </w:trPr>
        <w:tc>
          <w:tcPr>
            <w:tcW w:w="1651" w:type="dxa"/>
          </w:tcPr>
          <w:p w14:paraId="5880F671" w14:textId="77777777" w:rsidR="0034590E" w:rsidRPr="00BA4F0F" w:rsidRDefault="0034590E" w:rsidP="00EC1C67">
            <w:pPr>
              <w:ind w:firstLine="0"/>
            </w:pPr>
            <w:r w:rsidRPr="00BA4F0F">
              <w:t xml:space="preserve">Г-КСФ, </w:t>
            </w:r>
          </w:p>
          <w:p w14:paraId="667B2A8F" w14:textId="77777777" w:rsidR="0034590E" w:rsidRPr="00BA4F0F" w:rsidRDefault="0034590E" w:rsidP="00EC1C67">
            <w:pPr>
              <w:ind w:firstLine="0"/>
            </w:pPr>
            <w:r w:rsidRPr="00BA4F0F">
              <w:t>10 мкг/кг</w:t>
            </w:r>
          </w:p>
        </w:tc>
        <w:tc>
          <w:tcPr>
            <w:tcW w:w="1133" w:type="dxa"/>
          </w:tcPr>
          <w:p w14:paraId="1E1CA42A" w14:textId="77777777" w:rsidR="0034590E" w:rsidRPr="00BA4F0F" w:rsidRDefault="0034590E" w:rsidP="00EC1C67">
            <w:pPr>
              <w:ind w:firstLine="0"/>
            </w:pPr>
            <w:r w:rsidRPr="00BA4F0F">
              <w:t>Х</w:t>
            </w:r>
          </w:p>
        </w:tc>
        <w:tc>
          <w:tcPr>
            <w:tcW w:w="1129" w:type="dxa"/>
          </w:tcPr>
          <w:p w14:paraId="4BD2AE88" w14:textId="77777777" w:rsidR="0034590E" w:rsidRPr="00BA4F0F" w:rsidRDefault="0034590E" w:rsidP="00EC1C67">
            <w:pPr>
              <w:ind w:firstLine="0"/>
            </w:pPr>
            <w:r w:rsidRPr="00BA4F0F">
              <w:t>Х</w:t>
            </w:r>
          </w:p>
        </w:tc>
        <w:tc>
          <w:tcPr>
            <w:tcW w:w="1129" w:type="dxa"/>
          </w:tcPr>
          <w:p w14:paraId="6C7E77FD" w14:textId="77777777" w:rsidR="0034590E" w:rsidRPr="00BA4F0F" w:rsidRDefault="0034590E" w:rsidP="00EC1C67">
            <w:pPr>
              <w:ind w:firstLine="0"/>
            </w:pPr>
            <w:r w:rsidRPr="00BA4F0F">
              <w:t>Х</w:t>
            </w:r>
          </w:p>
        </w:tc>
        <w:tc>
          <w:tcPr>
            <w:tcW w:w="1132" w:type="dxa"/>
          </w:tcPr>
          <w:p w14:paraId="4ACE03EB" w14:textId="77777777" w:rsidR="0034590E" w:rsidRPr="00BA4F0F" w:rsidRDefault="0034590E" w:rsidP="00EC1C67">
            <w:pPr>
              <w:ind w:firstLine="0"/>
            </w:pPr>
            <w:r w:rsidRPr="00BA4F0F">
              <w:t>Х</w:t>
            </w:r>
          </w:p>
        </w:tc>
        <w:tc>
          <w:tcPr>
            <w:tcW w:w="1133" w:type="dxa"/>
          </w:tcPr>
          <w:p w14:paraId="5C79347F" w14:textId="77777777" w:rsidR="0034590E" w:rsidRPr="00BA4F0F" w:rsidRDefault="0034590E" w:rsidP="00EC1C67">
            <w:pPr>
              <w:ind w:firstLine="0"/>
            </w:pPr>
            <w:r w:rsidRPr="00BA4F0F">
              <w:t>Х</w:t>
            </w:r>
          </w:p>
        </w:tc>
        <w:tc>
          <w:tcPr>
            <w:tcW w:w="1133" w:type="dxa"/>
          </w:tcPr>
          <w:p w14:paraId="30DFDC15" w14:textId="77777777" w:rsidR="0034590E" w:rsidRPr="00BA4F0F" w:rsidRDefault="0034590E" w:rsidP="00EC1C67">
            <w:pPr>
              <w:ind w:firstLine="0"/>
            </w:pPr>
          </w:p>
        </w:tc>
      </w:tr>
      <w:tr w:rsidR="0034590E" w:rsidRPr="00BA4F0F" w14:paraId="62751024" w14:textId="77777777" w:rsidTr="00EC1C67">
        <w:trPr>
          <w:jc w:val="center"/>
        </w:trPr>
        <w:tc>
          <w:tcPr>
            <w:tcW w:w="1651" w:type="dxa"/>
          </w:tcPr>
          <w:p w14:paraId="155A95E9" w14:textId="77777777" w:rsidR="0034590E" w:rsidRPr="00BA4F0F" w:rsidRDefault="0034590E" w:rsidP="00EC1C67">
            <w:pPr>
              <w:ind w:firstLine="0"/>
            </w:pPr>
            <w:r w:rsidRPr="00BA4F0F">
              <w:t>Плериксафор, 240 мкг/кг</w:t>
            </w:r>
          </w:p>
        </w:tc>
        <w:tc>
          <w:tcPr>
            <w:tcW w:w="1133" w:type="dxa"/>
          </w:tcPr>
          <w:p w14:paraId="4F35D54C" w14:textId="77777777" w:rsidR="0034590E" w:rsidRPr="00BA4F0F" w:rsidRDefault="0034590E" w:rsidP="00EC1C67">
            <w:pPr>
              <w:ind w:firstLine="0"/>
            </w:pPr>
          </w:p>
        </w:tc>
        <w:tc>
          <w:tcPr>
            <w:tcW w:w="1129" w:type="dxa"/>
          </w:tcPr>
          <w:p w14:paraId="5F44B3A7" w14:textId="77777777" w:rsidR="0034590E" w:rsidRPr="00BA4F0F" w:rsidRDefault="0034590E" w:rsidP="00EC1C67">
            <w:pPr>
              <w:ind w:firstLine="0"/>
            </w:pPr>
          </w:p>
        </w:tc>
        <w:tc>
          <w:tcPr>
            <w:tcW w:w="1129" w:type="dxa"/>
          </w:tcPr>
          <w:p w14:paraId="69ACEED9" w14:textId="77777777" w:rsidR="0034590E" w:rsidRPr="00BA4F0F" w:rsidRDefault="0034590E" w:rsidP="00EC1C67">
            <w:pPr>
              <w:ind w:firstLine="0"/>
            </w:pPr>
          </w:p>
        </w:tc>
        <w:tc>
          <w:tcPr>
            <w:tcW w:w="1132" w:type="dxa"/>
          </w:tcPr>
          <w:p w14:paraId="2A53EB3A" w14:textId="77777777" w:rsidR="0034590E" w:rsidRPr="00BA4F0F" w:rsidRDefault="0034590E" w:rsidP="00EC1C67">
            <w:pPr>
              <w:ind w:firstLine="0"/>
            </w:pPr>
            <w:r w:rsidRPr="00BA4F0F">
              <w:t>Х</w:t>
            </w:r>
          </w:p>
        </w:tc>
        <w:tc>
          <w:tcPr>
            <w:tcW w:w="1133" w:type="dxa"/>
          </w:tcPr>
          <w:p w14:paraId="7073D53A" w14:textId="77777777" w:rsidR="0034590E" w:rsidRPr="00BA4F0F" w:rsidRDefault="0034590E" w:rsidP="00EC1C67">
            <w:pPr>
              <w:ind w:firstLine="0"/>
            </w:pPr>
            <w:r w:rsidRPr="00BA4F0F">
              <w:t>(Х)</w:t>
            </w:r>
          </w:p>
        </w:tc>
        <w:tc>
          <w:tcPr>
            <w:tcW w:w="1133" w:type="dxa"/>
          </w:tcPr>
          <w:p w14:paraId="26C80503" w14:textId="77777777" w:rsidR="0034590E" w:rsidRPr="00BA4F0F" w:rsidRDefault="0034590E" w:rsidP="00EC1C67">
            <w:pPr>
              <w:ind w:firstLine="0"/>
            </w:pPr>
          </w:p>
        </w:tc>
      </w:tr>
      <w:tr w:rsidR="0034590E" w:rsidRPr="00BA4F0F" w14:paraId="61EC3C4D" w14:textId="77777777" w:rsidTr="00EC1C67">
        <w:trPr>
          <w:jc w:val="center"/>
        </w:trPr>
        <w:tc>
          <w:tcPr>
            <w:tcW w:w="1651" w:type="dxa"/>
          </w:tcPr>
          <w:p w14:paraId="3FF91CEE" w14:textId="77777777" w:rsidR="0034590E" w:rsidRPr="00BA4F0F" w:rsidRDefault="0034590E" w:rsidP="00EC1C67">
            <w:pPr>
              <w:ind w:firstLine="0"/>
            </w:pPr>
            <w:r w:rsidRPr="00BA4F0F">
              <w:t>Лейкаферез</w:t>
            </w:r>
          </w:p>
        </w:tc>
        <w:tc>
          <w:tcPr>
            <w:tcW w:w="1133" w:type="dxa"/>
          </w:tcPr>
          <w:p w14:paraId="52D7A6DC" w14:textId="77777777" w:rsidR="0034590E" w:rsidRPr="00BA4F0F" w:rsidRDefault="0034590E" w:rsidP="00EC1C67">
            <w:pPr>
              <w:ind w:firstLine="0"/>
            </w:pPr>
          </w:p>
        </w:tc>
        <w:tc>
          <w:tcPr>
            <w:tcW w:w="1129" w:type="dxa"/>
          </w:tcPr>
          <w:p w14:paraId="36291BF1" w14:textId="77777777" w:rsidR="0034590E" w:rsidRPr="00BA4F0F" w:rsidRDefault="0034590E" w:rsidP="00EC1C67">
            <w:pPr>
              <w:ind w:firstLine="0"/>
            </w:pPr>
          </w:p>
        </w:tc>
        <w:tc>
          <w:tcPr>
            <w:tcW w:w="1129" w:type="dxa"/>
          </w:tcPr>
          <w:p w14:paraId="6221B41B" w14:textId="77777777" w:rsidR="0034590E" w:rsidRPr="00BA4F0F" w:rsidRDefault="0034590E" w:rsidP="00EC1C67">
            <w:pPr>
              <w:ind w:firstLine="0"/>
            </w:pPr>
          </w:p>
        </w:tc>
        <w:tc>
          <w:tcPr>
            <w:tcW w:w="1132" w:type="dxa"/>
          </w:tcPr>
          <w:p w14:paraId="42075B8E" w14:textId="77777777" w:rsidR="0034590E" w:rsidRPr="00BA4F0F" w:rsidRDefault="0034590E" w:rsidP="00EC1C67">
            <w:pPr>
              <w:ind w:firstLine="0"/>
            </w:pPr>
          </w:p>
        </w:tc>
        <w:tc>
          <w:tcPr>
            <w:tcW w:w="1133" w:type="dxa"/>
          </w:tcPr>
          <w:p w14:paraId="2F503812" w14:textId="77777777" w:rsidR="0034590E" w:rsidRPr="00BA4F0F" w:rsidRDefault="0034590E" w:rsidP="00EC1C67">
            <w:pPr>
              <w:ind w:firstLine="0"/>
              <w:rPr>
                <w:lang w:val="en-US"/>
              </w:rPr>
            </w:pPr>
            <w:r w:rsidRPr="00BA4F0F">
              <w:rPr>
                <w:lang w:val="en-US"/>
              </w:rPr>
              <w:t>V</w:t>
            </w:r>
          </w:p>
        </w:tc>
        <w:tc>
          <w:tcPr>
            <w:tcW w:w="1133" w:type="dxa"/>
          </w:tcPr>
          <w:p w14:paraId="3383CA14" w14:textId="77777777" w:rsidR="0034590E" w:rsidRPr="00BA4F0F" w:rsidRDefault="0034590E" w:rsidP="00EC1C67">
            <w:pPr>
              <w:ind w:firstLine="0"/>
              <w:rPr>
                <w:lang w:val="en-US"/>
              </w:rPr>
            </w:pPr>
            <w:r w:rsidRPr="00BA4F0F">
              <w:rPr>
                <w:lang w:val="en-US"/>
              </w:rPr>
              <w:t>V</w:t>
            </w:r>
          </w:p>
        </w:tc>
      </w:tr>
    </w:tbl>
    <w:p w14:paraId="3ED24A69" w14:textId="77777777" w:rsidR="0034590E" w:rsidRPr="00BA4F0F" w:rsidRDefault="0034590E" w:rsidP="0034590E">
      <w:pPr>
        <w:pStyle w:val="11"/>
        <w:spacing w:before="0"/>
        <w:ind w:left="840"/>
      </w:pPr>
    </w:p>
    <w:p w14:paraId="247D8253" w14:textId="77777777" w:rsidR="0034590E" w:rsidRPr="00BA4F0F" w:rsidRDefault="0034590E" w:rsidP="0034590E">
      <w:pPr>
        <w:pStyle w:val="afd"/>
        <w:ind w:left="0"/>
        <w:rPr>
          <w:szCs w:val="24"/>
          <w:u w:val="single"/>
        </w:rPr>
      </w:pPr>
      <w:bookmarkStart w:id="135" w:name="_Toc44926608"/>
      <w:r w:rsidRPr="00BA4F0F">
        <w:rPr>
          <w:szCs w:val="24"/>
          <w:u w:val="single"/>
        </w:rPr>
        <w:t>Сравнительная характеристика режимов мобилизации ГСК</w:t>
      </w:r>
      <w:bookmarkEnd w:id="135"/>
    </w:p>
    <w:p w14:paraId="7DFD7E5E" w14:textId="77777777" w:rsidR="0034590E" w:rsidRPr="00BA4F0F" w:rsidRDefault="0034590E" w:rsidP="0034590E">
      <w:pPr>
        <w:rPr>
          <w:szCs w:val="24"/>
        </w:rPr>
      </w:pPr>
      <w:r w:rsidRPr="00BA4F0F">
        <w:rPr>
          <w:szCs w:val="24"/>
        </w:rPr>
        <w:t xml:space="preserve">Проспективных рандомизированных исследований, сравнивающих методы мобилизации (только ростовой фактор или сочетание Г-КСФ с миелосупрессивной химиотерапией) на одном и том же контингенте больных не проводилось, а прямое сравнение различных исследований затруднено. В связи с этим оптимальный метод мобилизации ГСК определить невозможно. </w:t>
      </w:r>
    </w:p>
    <w:p w14:paraId="00E5E2A6" w14:textId="77777777" w:rsidR="0034590E" w:rsidRPr="00BA4F0F" w:rsidRDefault="0034590E" w:rsidP="0034590E">
      <w:pPr>
        <w:rPr>
          <w:szCs w:val="24"/>
        </w:rPr>
      </w:pPr>
      <w:r w:rsidRPr="00BA4F0F">
        <w:rPr>
          <w:szCs w:val="24"/>
        </w:rPr>
        <w:t xml:space="preserve">У каждого режима мобилизации ГСК есть определенные преимущества и недостатки, поэтому существует индивидуальный подход в выборе лечебной схемы в каждой конкретной ситуации (таблица </w:t>
      </w:r>
      <w:r>
        <w:rPr>
          <w:szCs w:val="24"/>
        </w:rPr>
        <w:t>3</w:t>
      </w:r>
      <w:r w:rsidRPr="00BA4F0F">
        <w:rPr>
          <w:szCs w:val="24"/>
        </w:rPr>
        <w:t xml:space="preserve">). Так, при использовании Г-КСФ в монорежиме уменьшаются сроки госпитализации, не наблюдаются осложнения, характерные для периода МТА, нет потребности в трансфузионной терапии. Применение этого режима является относительно безопасным у больных с диализ-зависимой почечной недостаточностью, пациентов с кардиальной патологией. </w:t>
      </w:r>
    </w:p>
    <w:p w14:paraId="0E34AF95" w14:textId="77777777" w:rsidR="0034590E" w:rsidRPr="00BA4F0F" w:rsidRDefault="0034590E" w:rsidP="0034590E">
      <w:pPr>
        <w:rPr>
          <w:szCs w:val="24"/>
        </w:rPr>
      </w:pPr>
      <w:r w:rsidRPr="00BA4F0F">
        <w:rPr>
          <w:szCs w:val="24"/>
        </w:rPr>
        <w:t xml:space="preserve">Но у больных с длительным анамнезом лечения велика вероятность неудовлетворительного результата сбора ГСК. Использование режима «ХТ+ Г-КСФ» часто позволяет заготовить адекватное количество клеток, однако сопряжено с развитием </w:t>
      </w:r>
      <w:r w:rsidRPr="00BA4F0F">
        <w:rPr>
          <w:szCs w:val="24"/>
        </w:rPr>
        <w:lastRenderedPageBreak/>
        <w:t xml:space="preserve">инфекционных и токсических осложнений в период МТА, требует назначения массивной сопроводительной терапии, что удлиняет сроки госпитализации. </w:t>
      </w:r>
    </w:p>
    <w:p w14:paraId="1640A03A" w14:textId="77777777" w:rsidR="0034590E" w:rsidRPr="00BA4F0F" w:rsidRDefault="0034590E" w:rsidP="0034590E">
      <w:pPr>
        <w:rPr>
          <w:szCs w:val="24"/>
        </w:rPr>
      </w:pPr>
    </w:p>
    <w:p w14:paraId="484F9FC8" w14:textId="77777777" w:rsidR="0034590E" w:rsidRPr="00BA4F0F" w:rsidRDefault="0034590E" w:rsidP="0034590E">
      <w:pPr>
        <w:rPr>
          <w:szCs w:val="24"/>
        </w:rPr>
      </w:pPr>
      <w:r w:rsidRPr="00BA4F0F">
        <w:rPr>
          <w:szCs w:val="24"/>
        </w:rPr>
        <w:t xml:space="preserve">Таблица </w:t>
      </w:r>
      <w:r>
        <w:rPr>
          <w:szCs w:val="24"/>
        </w:rPr>
        <w:t>3</w:t>
      </w:r>
      <w:r w:rsidRPr="00BA4F0F">
        <w:rPr>
          <w:szCs w:val="24"/>
        </w:rPr>
        <w:t>. Сравнительная характеристика режимов мобилизации ГСК</w:t>
      </w:r>
    </w:p>
    <w:tbl>
      <w:tblPr>
        <w:tblStyle w:val="1f2"/>
        <w:tblW w:w="0" w:type="auto"/>
        <w:tblInd w:w="108" w:type="dxa"/>
        <w:tblLook w:val="04A0" w:firstRow="1" w:lastRow="0" w:firstColumn="1" w:lastColumn="0" w:noHBand="0" w:noVBand="1"/>
      </w:tblPr>
      <w:tblGrid>
        <w:gridCol w:w="1835"/>
        <w:gridCol w:w="3912"/>
        <w:gridCol w:w="3490"/>
      </w:tblGrid>
      <w:tr w:rsidR="0034590E" w:rsidRPr="00BA4F0F" w14:paraId="515272AE" w14:textId="77777777" w:rsidTr="00EC1C67">
        <w:trPr>
          <w:trHeight w:val="896"/>
        </w:trPr>
        <w:tc>
          <w:tcPr>
            <w:tcW w:w="1843" w:type="dxa"/>
          </w:tcPr>
          <w:p w14:paraId="31B1A186" w14:textId="77777777" w:rsidR="0034590E" w:rsidRPr="00BA4F0F" w:rsidRDefault="0034590E" w:rsidP="00EC1C67">
            <w:pPr>
              <w:ind w:firstLine="0"/>
              <w:jc w:val="left"/>
            </w:pPr>
            <w:r w:rsidRPr="00BA4F0F">
              <w:rPr>
                <w:b/>
                <w:bCs/>
              </w:rPr>
              <w:t>Режим мобилизации</w:t>
            </w:r>
          </w:p>
        </w:tc>
        <w:tc>
          <w:tcPr>
            <w:tcW w:w="3969" w:type="dxa"/>
          </w:tcPr>
          <w:p w14:paraId="068E5605" w14:textId="77777777" w:rsidR="0034590E" w:rsidRPr="00BA4F0F" w:rsidRDefault="0034590E" w:rsidP="00EC1C67">
            <w:pPr>
              <w:ind w:left="720" w:firstLine="0"/>
              <w:contextualSpacing/>
              <w:jc w:val="left"/>
            </w:pPr>
            <w:r w:rsidRPr="00BA4F0F">
              <w:rPr>
                <w:b/>
                <w:bCs/>
              </w:rPr>
              <w:t>Преимущества</w:t>
            </w:r>
          </w:p>
        </w:tc>
        <w:tc>
          <w:tcPr>
            <w:tcW w:w="3544" w:type="dxa"/>
          </w:tcPr>
          <w:p w14:paraId="1D86A41B" w14:textId="77777777" w:rsidR="0034590E" w:rsidRPr="00BA4F0F" w:rsidRDefault="0034590E" w:rsidP="00EC1C67">
            <w:pPr>
              <w:ind w:left="720" w:firstLine="0"/>
              <w:contextualSpacing/>
              <w:jc w:val="left"/>
            </w:pPr>
            <w:r w:rsidRPr="00BA4F0F">
              <w:rPr>
                <w:b/>
                <w:bCs/>
              </w:rPr>
              <w:t>Недостатки</w:t>
            </w:r>
          </w:p>
        </w:tc>
      </w:tr>
      <w:tr w:rsidR="0034590E" w:rsidRPr="00BA4F0F" w14:paraId="3FBA2D63" w14:textId="77777777" w:rsidTr="00EC1C67">
        <w:tc>
          <w:tcPr>
            <w:tcW w:w="1843" w:type="dxa"/>
          </w:tcPr>
          <w:p w14:paraId="63065301" w14:textId="77777777" w:rsidR="0034590E" w:rsidRPr="00BA4F0F" w:rsidRDefault="0034590E" w:rsidP="00EC1C67">
            <w:pPr>
              <w:ind w:firstLine="0"/>
              <w:jc w:val="left"/>
              <w:rPr>
                <w:b/>
              </w:rPr>
            </w:pPr>
            <w:r w:rsidRPr="00BA4F0F">
              <w:rPr>
                <w:b/>
              </w:rPr>
              <w:t>Г-КСФ в монорежиме</w:t>
            </w:r>
          </w:p>
        </w:tc>
        <w:tc>
          <w:tcPr>
            <w:tcW w:w="3969" w:type="dxa"/>
          </w:tcPr>
          <w:p w14:paraId="04AB2662" w14:textId="77777777" w:rsidR="0034590E" w:rsidRPr="00BA4F0F" w:rsidRDefault="0034590E" w:rsidP="00EC1C67">
            <w:pPr>
              <w:ind w:firstLine="0"/>
              <w:jc w:val="left"/>
            </w:pPr>
            <w:r w:rsidRPr="00BA4F0F">
              <w:t>Уменьшение сроков госпитализации, четко планируемые сроки лейкаферезов, отсутствие антибиотикотерапии, заместительной трансфузионной терапии</w:t>
            </w:r>
          </w:p>
          <w:p w14:paraId="34EC28FC" w14:textId="77777777" w:rsidR="0034590E" w:rsidRPr="00BA4F0F" w:rsidRDefault="0034590E" w:rsidP="00EC1C67">
            <w:pPr>
              <w:ind w:firstLine="0"/>
              <w:jc w:val="left"/>
            </w:pPr>
          </w:p>
        </w:tc>
        <w:tc>
          <w:tcPr>
            <w:tcW w:w="3544" w:type="dxa"/>
          </w:tcPr>
          <w:p w14:paraId="62ED2BE7" w14:textId="77777777" w:rsidR="0034590E" w:rsidRPr="00BA4F0F" w:rsidRDefault="0034590E" w:rsidP="00EC1C67">
            <w:pPr>
              <w:ind w:firstLine="0"/>
              <w:jc w:val="left"/>
            </w:pPr>
            <w:r w:rsidRPr="00BA4F0F">
              <w:t>Неэффективна у предлеченных больных</w:t>
            </w:r>
          </w:p>
        </w:tc>
      </w:tr>
      <w:tr w:rsidR="0034590E" w:rsidRPr="00BA4F0F" w14:paraId="2A4FDB61" w14:textId="77777777" w:rsidTr="00EC1C67">
        <w:tc>
          <w:tcPr>
            <w:tcW w:w="1843" w:type="dxa"/>
          </w:tcPr>
          <w:p w14:paraId="646BFB17" w14:textId="77777777" w:rsidR="0034590E" w:rsidRPr="00BA4F0F" w:rsidRDefault="0034590E" w:rsidP="00EC1C67">
            <w:pPr>
              <w:ind w:firstLine="0"/>
              <w:jc w:val="left"/>
              <w:rPr>
                <w:b/>
              </w:rPr>
            </w:pPr>
            <w:r w:rsidRPr="00BA4F0F">
              <w:rPr>
                <w:b/>
              </w:rPr>
              <w:t>ХТ+ Г-КСФ</w:t>
            </w:r>
          </w:p>
        </w:tc>
        <w:tc>
          <w:tcPr>
            <w:tcW w:w="3969" w:type="dxa"/>
          </w:tcPr>
          <w:p w14:paraId="1D8C902D" w14:textId="77777777" w:rsidR="0034590E" w:rsidRPr="00BA4F0F" w:rsidRDefault="0034590E" w:rsidP="00EC1C67">
            <w:pPr>
              <w:ind w:firstLine="0"/>
              <w:jc w:val="left"/>
            </w:pPr>
            <w:r w:rsidRPr="00BA4F0F">
              <w:t>Высокая эффективность  мобилизации</w:t>
            </w:r>
          </w:p>
        </w:tc>
        <w:tc>
          <w:tcPr>
            <w:tcW w:w="3544" w:type="dxa"/>
          </w:tcPr>
          <w:p w14:paraId="3483DAA0" w14:textId="77777777" w:rsidR="0034590E" w:rsidRPr="00BA4F0F" w:rsidRDefault="0034590E" w:rsidP="00EC1C67">
            <w:pPr>
              <w:ind w:firstLine="0"/>
              <w:jc w:val="left"/>
            </w:pPr>
            <w:r w:rsidRPr="00BA4F0F">
              <w:t>Цитопения</w:t>
            </w:r>
          </w:p>
          <w:p w14:paraId="41670284" w14:textId="77777777" w:rsidR="0034590E" w:rsidRPr="00BA4F0F" w:rsidRDefault="0034590E" w:rsidP="00EC1C67">
            <w:pPr>
              <w:ind w:firstLine="0"/>
              <w:jc w:val="left"/>
            </w:pPr>
            <w:r w:rsidRPr="00BA4F0F">
              <w:t xml:space="preserve">Инфекционные осложнения </w:t>
            </w:r>
          </w:p>
          <w:p w14:paraId="27D86C5A" w14:textId="77777777" w:rsidR="0034590E" w:rsidRPr="00BA4F0F" w:rsidRDefault="0034590E" w:rsidP="00EC1C67">
            <w:pPr>
              <w:ind w:firstLine="0"/>
              <w:jc w:val="left"/>
            </w:pPr>
            <w:r w:rsidRPr="00BA4F0F">
              <w:t>Трансфузии компонентов крови</w:t>
            </w:r>
          </w:p>
          <w:p w14:paraId="34C18FD7" w14:textId="77777777" w:rsidR="0034590E" w:rsidRPr="00BA4F0F" w:rsidRDefault="0034590E" w:rsidP="00EC1C67">
            <w:pPr>
              <w:ind w:firstLine="0"/>
              <w:jc w:val="left"/>
            </w:pPr>
            <w:r w:rsidRPr="00BA4F0F">
              <w:t>Нет четкого планирования сроков лейкаферезов</w:t>
            </w:r>
          </w:p>
          <w:p w14:paraId="00B7E81A" w14:textId="77777777" w:rsidR="0034590E" w:rsidRPr="00BA4F0F" w:rsidRDefault="0034590E" w:rsidP="00EC1C67">
            <w:pPr>
              <w:ind w:firstLine="0"/>
              <w:jc w:val="left"/>
            </w:pPr>
            <w:r w:rsidRPr="00BA4F0F">
              <w:t>Небезопасна при коморбидности</w:t>
            </w:r>
          </w:p>
        </w:tc>
      </w:tr>
    </w:tbl>
    <w:p w14:paraId="549FD8FA" w14:textId="77777777" w:rsidR="0034590E" w:rsidRPr="00BA4F0F" w:rsidRDefault="0034590E" w:rsidP="0034590E">
      <w:pPr>
        <w:rPr>
          <w:i/>
          <w:szCs w:val="24"/>
        </w:rPr>
      </w:pPr>
      <w:r w:rsidRPr="00BA4F0F">
        <w:rPr>
          <w:i/>
          <w:szCs w:val="24"/>
        </w:rPr>
        <w:t>ХТ – химиотерапия, ЛЛТ – локальная лучевая терапия</w:t>
      </w:r>
    </w:p>
    <w:p w14:paraId="1353D1C4" w14:textId="77777777" w:rsidR="0034590E" w:rsidRPr="00BA4F0F" w:rsidRDefault="0034590E" w:rsidP="0034590E">
      <w:pPr>
        <w:rPr>
          <w:szCs w:val="24"/>
        </w:rPr>
      </w:pPr>
      <w:r w:rsidRPr="00BA4F0F">
        <w:rPr>
          <w:szCs w:val="24"/>
        </w:rPr>
        <w:t xml:space="preserve">Продолжаются многочисленные исследования, направленные на оптимизацию режимов мобилизации стволовых клеток, обсуждаются возможности применения новых ростовых факторов, апробируются различные дозы цитостатических препаратов. </w:t>
      </w:r>
    </w:p>
    <w:p w14:paraId="11A30D65" w14:textId="77777777" w:rsidR="0034590E" w:rsidRPr="00BA4F0F" w:rsidRDefault="0034590E" w:rsidP="0034590E">
      <w:pPr>
        <w:rPr>
          <w:szCs w:val="24"/>
        </w:rPr>
      </w:pPr>
      <w:bookmarkStart w:id="136" w:name="_Toc44926609"/>
    </w:p>
    <w:p w14:paraId="37459038" w14:textId="77777777" w:rsidR="0034590E" w:rsidRPr="00BA4F0F" w:rsidRDefault="0034590E" w:rsidP="0034590E">
      <w:pPr>
        <w:rPr>
          <w:b/>
          <w:szCs w:val="24"/>
        </w:rPr>
      </w:pPr>
      <w:r w:rsidRPr="00BA4F0F">
        <w:rPr>
          <w:b/>
          <w:szCs w:val="24"/>
        </w:rPr>
        <w:t>Особенности сопроводительной терапии при мобилизации ГСК</w:t>
      </w:r>
      <w:bookmarkEnd w:id="136"/>
    </w:p>
    <w:p w14:paraId="02BA747D" w14:textId="77777777" w:rsidR="0034590E" w:rsidRPr="00BA4F0F" w:rsidRDefault="0034590E" w:rsidP="0034590E">
      <w:pPr>
        <w:pStyle w:val="afd"/>
        <w:ind w:left="0"/>
        <w:rPr>
          <w:szCs w:val="24"/>
          <w:u w:val="single"/>
        </w:rPr>
      </w:pPr>
      <w:r w:rsidRPr="00BA4F0F">
        <w:rPr>
          <w:szCs w:val="24"/>
          <w:u w:val="single"/>
        </w:rPr>
        <w:t>Г-КСФ в монорежиме и Г-КСФ в сочетании с плериксафором</w:t>
      </w:r>
    </w:p>
    <w:p w14:paraId="46137F1B" w14:textId="77777777" w:rsidR="0034590E" w:rsidRPr="00BA4F0F" w:rsidRDefault="0034590E" w:rsidP="00A72B1B">
      <w:pPr>
        <w:numPr>
          <w:ilvl w:val="0"/>
          <w:numId w:val="56"/>
        </w:numPr>
        <w:ind w:left="0" w:firstLine="0"/>
        <w:rPr>
          <w:szCs w:val="24"/>
        </w:rPr>
      </w:pPr>
      <w:r w:rsidRPr="00BA4F0F">
        <w:rPr>
          <w:szCs w:val="24"/>
        </w:rPr>
        <w:t>Если есть сложности с доступом к периферическим венам, перед началом сбора ГСК устанавливается перфузионный катетер в центральную вену;</w:t>
      </w:r>
    </w:p>
    <w:p w14:paraId="75000247" w14:textId="77777777" w:rsidR="0034590E" w:rsidRPr="00BA4F0F" w:rsidRDefault="0034590E" w:rsidP="00A72B1B">
      <w:pPr>
        <w:numPr>
          <w:ilvl w:val="0"/>
          <w:numId w:val="56"/>
        </w:numPr>
        <w:ind w:left="0" w:firstLine="0"/>
        <w:rPr>
          <w:szCs w:val="24"/>
        </w:rPr>
      </w:pPr>
      <w:r w:rsidRPr="00BA4F0F">
        <w:rPr>
          <w:szCs w:val="24"/>
        </w:rPr>
        <w:t>С целью профилактики тромботических осложнений проводится введение низкомолекулярных гепаринов (эноксапарин 40 мг или эквивалент) в профилактической дозе подкожно один раз в сутки на фоне введения Г-КСФ и в течение 2-3 суток после его отмены;</w:t>
      </w:r>
    </w:p>
    <w:p w14:paraId="1C645BFA" w14:textId="77777777" w:rsidR="0034590E" w:rsidRPr="00BA4F0F" w:rsidRDefault="0034590E" w:rsidP="00A72B1B">
      <w:pPr>
        <w:numPr>
          <w:ilvl w:val="0"/>
          <w:numId w:val="56"/>
        </w:numPr>
        <w:ind w:left="0" w:firstLine="0"/>
        <w:rPr>
          <w:szCs w:val="24"/>
        </w:rPr>
      </w:pPr>
      <w:r w:rsidRPr="00BA4F0F">
        <w:rPr>
          <w:szCs w:val="24"/>
        </w:rPr>
        <w:lastRenderedPageBreak/>
        <w:t xml:space="preserve">Адекватное обезболивание при болевом синдроме в костях, вызванном введением Г-КСФ. Предпочтение отдается наркотическим аналгетикам (промедол 10 мг в/в, трамадол 100 мг в/в, фентанил 25 мкг/час трансдермально), при отсутствии миелотксического агранулоцитоза возможно использование нестероидных противовоспалительных препаратов. </w:t>
      </w:r>
    </w:p>
    <w:p w14:paraId="512934CD" w14:textId="77777777" w:rsidR="0034590E" w:rsidRPr="00BA4F0F" w:rsidRDefault="0034590E" w:rsidP="0034590E">
      <w:pPr>
        <w:rPr>
          <w:b/>
          <w:i/>
          <w:szCs w:val="24"/>
        </w:rPr>
      </w:pPr>
    </w:p>
    <w:p w14:paraId="34DB720B" w14:textId="77777777" w:rsidR="0034590E" w:rsidRPr="00BA4F0F" w:rsidRDefault="0034590E" w:rsidP="0034590E">
      <w:pPr>
        <w:pStyle w:val="afd"/>
        <w:ind w:left="0"/>
        <w:rPr>
          <w:szCs w:val="24"/>
          <w:u w:val="single"/>
        </w:rPr>
      </w:pPr>
      <w:r w:rsidRPr="00BA4F0F">
        <w:rPr>
          <w:szCs w:val="24"/>
          <w:u w:val="single"/>
        </w:rPr>
        <w:t>Режим «ХТ + Г-КСФ»</w:t>
      </w:r>
    </w:p>
    <w:p w14:paraId="61B2D41B" w14:textId="77777777" w:rsidR="0034590E" w:rsidRPr="00BA4F0F" w:rsidRDefault="0034590E" w:rsidP="00A72B1B">
      <w:pPr>
        <w:numPr>
          <w:ilvl w:val="0"/>
          <w:numId w:val="56"/>
        </w:numPr>
        <w:ind w:left="0" w:firstLine="0"/>
        <w:rPr>
          <w:szCs w:val="24"/>
        </w:rPr>
      </w:pPr>
      <w:r w:rsidRPr="00BA4F0F">
        <w:rPr>
          <w:szCs w:val="24"/>
        </w:rPr>
        <w:t>Необходима установка центрального венозного катетера (ЦВК) для обеспечения сосудистого доступа. Если есть сложности с доступом к периферическим венам, перед началом сбора ГСК центральный катетер меняют на перфузионный;</w:t>
      </w:r>
    </w:p>
    <w:p w14:paraId="247FEDEC" w14:textId="77777777" w:rsidR="0034590E" w:rsidRPr="00BA4F0F" w:rsidRDefault="0034590E" w:rsidP="00A72B1B">
      <w:pPr>
        <w:numPr>
          <w:ilvl w:val="0"/>
          <w:numId w:val="56"/>
        </w:numPr>
        <w:ind w:left="0" w:firstLine="0"/>
        <w:rPr>
          <w:szCs w:val="24"/>
        </w:rPr>
      </w:pPr>
      <w:r w:rsidRPr="00BA4F0F">
        <w:rPr>
          <w:szCs w:val="24"/>
        </w:rPr>
        <w:t>Круглосуточное введение гепарина с целью профилактики тромботических осложнений. Начальная доза гепарина 12 000 ЕД/сут., далее - под контролем АЧТВ (АЧТВ 1,5-2 нормы);</w:t>
      </w:r>
    </w:p>
    <w:p w14:paraId="5AD72F9B" w14:textId="77777777" w:rsidR="0034590E" w:rsidRPr="00BA4F0F" w:rsidRDefault="0034590E" w:rsidP="00A72B1B">
      <w:pPr>
        <w:numPr>
          <w:ilvl w:val="0"/>
          <w:numId w:val="56"/>
        </w:numPr>
        <w:ind w:left="0" w:firstLine="0"/>
        <w:rPr>
          <w:szCs w:val="24"/>
        </w:rPr>
      </w:pPr>
      <w:r w:rsidRPr="00BA4F0F">
        <w:rPr>
          <w:szCs w:val="24"/>
        </w:rPr>
        <w:t>Введение химиопрепаратов сопровождается массивной гидратацией из расчета 1,5-3 л/м</w:t>
      </w:r>
      <w:r w:rsidRPr="00BA4F0F">
        <w:rPr>
          <w:szCs w:val="24"/>
          <w:vertAlign w:val="superscript"/>
        </w:rPr>
        <w:t>2</w:t>
      </w:r>
      <w:r w:rsidRPr="00BA4F0F">
        <w:rPr>
          <w:szCs w:val="24"/>
        </w:rPr>
        <w:t>, гипоурикемической терапией аллопуринолом 400 - 600 мг/сут. (за исключением схем, содержащих метотрексат), диуретической терапией (фуросемид 20 мг болюсно 3 р/сут)</w:t>
      </w:r>
    </w:p>
    <w:p w14:paraId="0C4A21FB" w14:textId="77777777" w:rsidR="0034590E" w:rsidRPr="00BA4F0F" w:rsidRDefault="0034590E" w:rsidP="00A72B1B">
      <w:pPr>
        <w:numPr>
          <w:ilvl w:val="0"/>
          <w:numId w:val="56"/>
        </w:numPr>
        <w:ind w:left="0" w:firstLine="0"/>
        <w:rPr>
          <w:szCs w:val="24"/>
        </w:rPr>
      </w:pPr>
      <w:r w:rsidRPr="00BA4F0F">
        <w:rPr>
          <w:szCs w:val="24"/>
        </w:rPr>
        <w:t>При наличии в схеме ХТ ифосфамида, циклофосфамида для защиты слизистой мочевого пузыря и мочевыводящих путей назначается уромитексан в дозе 2,4 г/м</w:t>
      </w:r>
      <w:r w:rsidRPr="00BA4F0F">
        <w:rPr>
          <w:szCs w:val="24"/>
          <w:vertAlign w:val="superscript"/>
        </w:rPr>
        <w:t>2</w:t>
      </w:r>
      <w:r w:rsidRPr="00BA4F0F">
        <w:rPr>
          <w:szCs w:val="24"/>
        </w:rPr>
        <w:t xml:space="preserve"> круглосуточно в день введения цитостатика;</w:t>
      </w:r>
    </w:p>
    <w:p w14:paraId="13065767" w14:textId="77777777" w:rsidR="0034590E" w:rsidRPr="00BA4F0F" w:rsidRDefault="0034590E" w:rsidP="00A72B1B">
      <w:pPr>
        <w:numPr>
          <w:ilvl w:val="0"/>
          <w:numId w:val="56"/>
        </w:numPr>
        <w:ind w:left="0" w:firstLine="0"/>
        <w:rPr>
          <w:szCs w:val="24"/>
        </w:rPr>
      </w:pPr>
      <w:r w:rsidRPr="00BA4F0F">
        <w:rPr>
          <w:szCs w:val="24"/>
        </w:rPr>
        <w:t>При наличии в схеме ХТ метотрексата через 12 ч. после окончания его введения назначается лейковорин в дозе 25 мг внутрь и внутривенно 6 раз в сутки 4 дня или до достижения концентрации метотрексата в крови менее 0,1 мкмоль/л.</w:t>
      </w:r>
    </w:p>
    <w:p w14:paraId="7553CD40" w14:textId="77777777" w:rsidR="0034590E" w:rsidRPr="00BA4F0F" w:rsidRDefault="0034590E" w:rsidP="00A72B1B">
      <w:pPr>
        <w:numPr>
          <w:ilvl w:val="0"/>
          <w:numId w:val="56"/>
        </w:numPr>
        <w:ind w:left="0" w:firstLine="0"/>
        <w:rPr>
          <w:szCs w:val="24"/>
        </w:rPr>
      </w:pPr>
      <w:r w:rsidRPr="00BA4F0F">
        <w:rPr>
          <w:szCs w:val="24"/>
        </w:rPr>
        <w:t>Противосудорожная профилактика, если применяется бусульфан, циклофосфан (карбамазепин 200 мг+ диазепам 10 мг);</w:t>
      </w:r>
    </w:p>
    <w:p w14:paraId="2AF6115A" w14:textId="77777777" w:rsidR="0034590E" w:rsidRPr="00BA4F0F" w:rsidRDefault="0034590E" w:rsidP="00A72B1B">
      <w:pPr>
        <w:numPr>
          <w:ilvl w:val="0"/>
          <w:numId w:val="56"/>
        </w:numPr>
        <w:ind w:left="0" w:firstLine="0"/>
        <w:rPr>
          <w:szCs w:val="24"/>
        </w:rPr>
      </w:pPr>
      <w:r w:rsidRPr="00BA4F0F">
        <w:rPr>
          <w:szCs w:val="24"/>
        </w:rPr>
        <w:t>Противорвотная терапия по стандартным схемам (ондансетрон 8 мг, метоклопрамид 10 мг и тд.);</w:t>
      </w:r>
    </w:p>
    <w:p w14:paraId="3D048256" w14:textId="77777777" w:rsidR="0034590E" w:rsidRPr="00BA4F0F" w:rsidRDefault="0034590E" w:rsidP="00A72B1B">
      <w:pPr>
        <w:numPr>
          <w:ilvl w:val="0"/>
          <w:numId w:val="56"/>
        </w:numPr>
        <w:ind w:left="0" w:firstLine="0"/>
        <w:rPr>
          <w:szCs w:val="24"/>
        </w:rPr>
      </w:pPr>
      <w:r w:rsidRPr="00BA4F0F">
        <w:rPr>
          <w:szCs w:val="24"/>
        </w:rPr>
        <w:t xml:space="preserve">Противоязвенная терапия по стандартным схемам (омепразол 20 мг или ранитидин 150 мг) </w:t>
      </w:r>
    </w:p>
    <w:p w14:paraId="7108F282" w14:textId="77777777" w:rsidR="0034590E" w:rsidRPr="00BA4F0F" w:rsidRDefault="0034590E" w:rsidP="00A72B1B">
      <w:pPr>
        <w:numPr>
          <w:ilvl w:val="0"/>
          <w:numId w:val="56"/>
        </w:numPr>
        <w:ind w:left="0" w:firstLine="0"/>
        <w:rPr>
          <w:szCs w:val="24"/>
        </w:rPr>
      </w:pPr>
      <w:r w:rsidRPr="00BA4F0F">
        <w:rPr>
          <w:szCs w:val="24"/>
        </w:rPr>
        <w:t>Овариопротекция проводится женщинам фертильного возраста по показаниям</w:t>
      </w:r>
    </w:p>
    <w:p w14:paraId="7F4C5A30" w14:textId="77777777" w:rsidR="0034590E" w:rsidRPr="00BA4F0F" w:rsidRDefault="0034590E" w:rsidP="0034590E">
      <w:pPr>
        <w:rPr>
          <w:b/>
          <w:szCs w:val="24"/>
        </w:rPr>
      </w:pPr>
      <w:bookmarkStart w:id="137" w:name="_Toc44926610"/>
    </w:p>
    <w:p w14:paraId="2F2CD21C" w14:textId="77777777" w:rsidR="0034590E" w:rsidRPr="00BA4F0F" w:rsidRDefault="0034590E" w:rsidP="0034590E">
      <w:pPr>
        <w:rPr>
          <w:b/>
          <w:szCs w:val="24"/>
        </w:rPr>
      </w:pPr>
      <w:r w:rsidRPr="00BA4F0F">
        <w:rPr>
          <w:b/>
          <w:szCs w:val="24"/>
        </w:rPr>
        <w:t>Лейкаферез и криоконсервирование</w:t>
      </w:r>
      <w:bookmarkEnd w:id="137"/>
    </w:p>
    <w:p w14:paraId="65853A96" w14:textId="77777777" w:rsidR="0034590E" w:rsidRPr="00BA4F0F" w:rsidRDefault="0034590E" w:rsidP="0034590E">
      <w:pPr>
        <w:pStyle w:val="afd"/>
        <w:ind w:left="0"/>
        <w:rPr>
          <w:szCs w:val="24"/>
          <w:u w:val="single"/>
        </w:rPr>
      </w:pPr>
      <w:bookmarkStart w:id="138" w:name="_Toc44926611"/>
      <w:r w:rsidRPr="00BA4F0F">
        <w:rPr>
          <w:szCs w:val="24"/>
          <w:u w:val="single"/>
        </w:rPr>
        <w:t>Лейкоцитаферез</w:t>
      </w:r>
      <w:bookmarkEnd w:id="138"/>
    </w:p>
    <w:p w14:paraId="43257218" w14:textId="1F05DBDF" w:rsidR="0034590E" w:rsidRPr="00BA4F0F" w:rsidRDefault="0034590E" w:rsidP="0034590E">
      <w:pPr>
        <w:rPr>
          <w:szCs w:val="24"/>
        </w:rPr>
      </w:pPr>
      <w:r w:rsidRPr="00BA4F0F">
        <w:rPr>
          <w:szCs w:val="24"/>
        </w:rPr>
        <w:lastRenderedPageBreak/>
        <w:t xml:space="preserve">Лейкаферез – полуселективный метод экстракорпоральной гемокоррекции, основанный на разделении плазмы и клеток крови под воздействием центробежной силы и выделении из крови фракции лейкоцитов </w:t>
      </w:r>
      <w:r w:rsidRPr="00BA4F0F">
        <w:rPr>
          <w:szCs w:val="24"/>
        </w:rPr>
        <w:fldChar w:fldCharType="begin" w:fldLock="1"/>
      </w:r>
      <w:r w:rsidR="00F44253">
        <w:rPr>
          <w:szCs w:val="24"/>
        </w:rPr>
        <w:instrText>ADDIN CSL_CITATION {"citationItems":[{"id":"ITEM-1","itemData":{"author":[{"dropping-particle":"","family":"Афанасьева О.И., Воинов В.А.","given":"Гольдфарб Ю.С.","non-dropping-particle":"","parse-names":false,"suffix":""}],"id":"ITEM-1","issued":{"date-parts":[["2016"]]},"page":"7-15","publisher-place":"СПб","title":"Экстракорпоральная гемокоррекция: терминология, языковые соответствия","type":"paper-conference"},"uris":["http://www.mendeley.com/documents/?uuid=dd794081-f883-4721-812b-15ca1118ea10","http://www.mendeley.com/documents/?uuid=e6fbe91e-84b6-4e21-8e03-046ee3f21147","http://www.mendeley.com/documents/?uuid=97018312-9d9b-48d4-8675-1e409d0ed713","http://www.mendeley.com/documents/?uuid=282ee115-b097-474e-a9bb-520be3f26e12","http://www.mendeley.com/documents/?uuid=27217d21-2275-40b2-ad81-407c9211ec51","http://www.mendeley.com/documents/?uuid=caa1a6ba-88e1-4c61-a222-974128ef3624","http://www.mendeley.com/documents/?uuid=3b79c5e9-e873-4ee1-a644-2cc9d177aaa6"]}],"mendeley":{"formattedCitation":"[121]","plainTextFormattedCitation":"[121]","previouslyFormattedCitation":"[121]"},"properties":{"noteIndex":0},"schema":"https://github.com/citation-style-language/schema/raw/master/csl-citation.json"}</w:instrText>
      </w:r>
      <w:r w:rsidRPr="00BA4F0F">
        <w:rPr>
          <w:szCs w:val="24"/>
        </w:rPr>
        <w:fldChar w:fldCharType="separate"/>
      </w:r>
      <w:r w:rsidR="004D13EB" w:rsidRPr="004D13EB">
        <w:rPr>
          <w:noProof/>
          <w:szCs w:val="24"/>
        </w:rPr>
        <w:t>[121]</w:t>
      </w:r>
      <w:r w:rsidRPr="00BA4F0F">
        <w:rPr>
          <w:szCs w:val="24"/>
        </w:rPr>
        <w:fldChar w:fldCharType="end"/>
      </w:r>
      <w:r w:rsidRPr="00BA4F0F">
        <w:rPr>
          <w:szCs w:val="24"/>
        </w:rPr>
        <w:t xml:space="preserve">. </w:t>
      </w:r>
    </w:p>
    <w:p w14:paraId="0E96E840" w14:textId="7FD95F27" w:rsidR="0034590E" w:rsidRPr="00BA4F0F" w:rsidRDefault="0034590E" w:rsidP="0034590E">
      <w:pPr>
        <w:rPr>
          <w:szCs w:val="24"/>
        </w:rPr>
      </w:pPr>
      <w:r w:rsidRPr="00BA4F0F">
        <w:rPr>
          <w:szCs w:val="24"/>
        </w:rPr>
        <w:t xml:space="preserve">Как уже упоминалось выше, основным критерием, позволяющим прогнозировать успешный сбор ГСК, является содержание СD34+ клеток в периферической крови в день проведения предполагаемого первого лейкафереза. Если сбор ГСК начат рано, потребуются большее количество процедур, что приводит к увеличению финансовых и трудозатрат. Кроме того, увеличение числа лейкаферезов приводит к возрастанию общего объема заготовленного продукта. Соответственно, применяется большее количество криопротектора (диметилсульфоксида – ДМСО), который при дальнейшем внутривенном введении во время ауто-ТГСК может вызывать побочные явления </w:t>
      </w:r>
      <w:r w:rsidRPr="00BA4F0F">
        <w:rPr>
          <w:szCs w:val="24"/>
        </w:rPr>
        <w:fldChar w:fldCharType="begin" w:fldLock="1"/>
      </w:r>
      <w:r w:rsidR="00F44253">
        <w:rPr>
          <w:szCs w:val="24"/>
        </w:rPr>
        <w:instrText>ADDIN CSL_CITATION {"citationItems":[{"id":"ITEM-1","itemData":{"DOI":"10.1016/j.tmrv.2018.05.005","ISSN":"15329496","abstract":"Adverse events (AEs) associated with blood transfusions, including component-specific red cell, platelet, and plasma products, have been extensively surveyed. In contrast, surveillance of AEs associated with hematopoietic stem cell (HSC) products in HSC transplantation (HSCT) has been less rigorous, even though HSC products include a diversity of immature and mature hematopoietic cells, substantial plasma, and dimethyl sulfoxide (DMSO) in the case of cryopreserved HSC products. HSC infusion-related AEs have been attributed to DMSO toxicity, but AEs associated with the infusion of noncryopreserved HSC products are not uncommon. To quantify the frequencies, types, and risk factors of HSC infusion-related AEs, we implemented national surveillance for AEs observed within 24 hours after infusion. Herein we report on 1125 HSCTs, including 570 peripheral blood stem cell transplantations (PBSCTs) (290 autologous [auto-] and 280 allogeneic [allo-]), 332 allo-bone marrow transplantations (allo-BMTs) and 223 allo-cord blood transplantations (allo-CBTs). Unexpectedly, incidences of grade ≥ 2 AEs were most frequent in allo-BMTs (37.7%) with no DMSO in any product compared with auto-/allo-PBSCTs (20.9%, P &lt;.001) and allo-CBTs (19.3%, P &lt;.001) typically cryopreserved with DMSO. Hypertension was most often noted in BMTs, whereas nausea/vomiting, fever, and allergic reactions were most frequent in allo-PBSCTs. In a multivariate analysis, a history of transfusion reactions was a risk factor for overall AEs in all HSCTs (odds ratio [OR] = 1.459, P =.045). For grade ≥ 2 AEs in allo-HSCTs, a history of transfusion reactions (OR = 1.551, P =.044) for overall AEs, and high infusion volume (OR = 7.544, P =.005) and allo-PBSCTs (versus BMTs, OR = 9.948, P =.002) for allergic reactions were identified as risk factors. These findings suggest that some factors unrelated to DMSO, such as allo-antigens, contribute to HSC infusion-related AEs. As severe AEs, a total of 117 grade ≥ 3 AEs were reported in 1125 HSCTs, including life-threatening complications in 3 (0.3%) HSCTs: 1 allo-CBT (anaphylaxis) and 2 allo-PBSCTs (hypoxia, kidney injury) with cryopreserved product. Our data show that HSC infusion risks vary by product, can be severe, and should be monitored with the same rigor as modern transfusion hemovigilance programs.","author":[{"dropping-particle":"","family":"Ikeda","given":"Kazuhiko","non-dropping-particle":"","parse-names":false,"suffix":""},{"dropping-particle":"","family":"Ohto","given":"Hitoshi","non-dropping-particle":"","parse-names":false,"suffix":""},{"dropping-particle":"","family":"Okuyama","given":"Yoshiki","non-dropping-particle":"","parse-names":false,"suffix":""},{"dropping-particle":"","family":"Yamada-Fujiwara","given":"Minami","non-dropping-particle":"","parse-names":false,"suffix":""},{"dropping-particle":"","family":"Kanamori","given":"Heiwa","non-dropping-particle":"","parse-names":false,"suffix":""},{"dropping-particle":"","family":"Fujiwara","given":"Shin ichiro","non-dropping-particle":"","parse-names":false,"suffix":""},{"dropping-particle":"","family":"Muroi","given":"Kazuo","non-dropping-particle":"","parse-names":false,"suffix":""},{"dropping-particle":"","family":"Mori","given":"Takehiko","non-dropping-particle":"","parse-names":false,"suffix":""},{"dropping-particle":"","family":"Kasama","given":"Kinuyo","non-dropping-particle":"","parse-names":false,"suffix":""},{"dropping-particle":"","family":"Iseki","given":"Tohru","non-dropping-particle":"","parse-names":false,"suffix":""},{"dropping-particle":"","family":"Nagamura-Inoue","given":"Tokiko","non-dropping-particle":"","parse-names":false,"suffix":""},{"dropping-particle":"","family":"Fujii","given":"Nobuharu","non-dropping-particle":"","parse-names":false,"suffix":""},{"dropping-particle":"","family":"Ashida","given":"Takashi","non-dropping-particle":"","parse-names":false,"suffix":""},{"dropping-particle":"","family":"Kameda","given":"Kazuaki","non-dropping-particle":"","parse-names":false,"suffix":""},{"dropping-particle":"","family":"Kanda","given":"Junya","non-dropping-particle":"","parse-names":false,"suffix":""},{"dropping-particle":"","family":"Hirose","given":"Asao","non-dropping-particle":"","parse-names":false,"suffix":""},{"dropping-particle":"","family":"Takahashi","given":"Tsutomu","non-dropping-particle":"","parse-names":false,"suffix":""},{"dropping-particle":"","family":"Nagai","given":"Kazuhiro","non-dropping-particle":"","parse-names":false,"suffix":""},{"dropping-particle":"","family":"Minakawa","given":"Keiji","non-dropping-particle":"","parse-names":false,"suffix":""},{"dropping-particle":"","family":"Tanosaki","given":"Ryuji","non-dropping-particle":"","parse-names":false,"suffix":""}],"container-title":"Transfusion Medicine Reviews","id":"ITEM-1","issue":"3","issued":{"date-parts":[["2018","7"]]},"page":"186-194","publisher":"W.B. Saunders","title":"Adverse Events Associated With Infusion of Hematopoietic Stem Cell Products: A Prospective and Multicenter Surveillance Study","type":"article","volume":"32"},"uris":["http://www.mendeley.com/documents/?uuid=2e13cd0a-f7bd-3f0b-9f56-84feb90b58e3","http://www.mendeley.com/documents/?uuid=a903b5b4-4cb1-456e-bc41-559a068a0277","http://www.mendeley.com/documents/?uuid=201cecad-134f-4334-bb07-0660edb2e18c","http://www.mendeley.com/documents/?uuid=cc644c52-3cf9-41a4-b48f-f140f5d4382f","http://www.mendeley.com/documents/?uuid=f5fc6f3f-947c-4a93-beef-6bc30e68b9fb","http://www.mendeley.com/documents/?uuid=6bcbd89e-0776-47b7-ab98-6c90c4abb14e","http://www.mendeley.com/documents/?uuid=bfeee95e-b93a-4f49-832f-3b7dd952e5b5"]}],"mendeley":{"formattedCitation":"[122]","plainTextFormattedCitation":"[122]","previouslyFormattedCitation":"[122]"},"properties":{"noteIndex":0},"schema":"https://github.com/citation-style-language/schema/raw/master/csl-citation.json"}</w:instrText>
      </w:r>
      <w:r w:rsidRPr="00BA4F0F">
        <w:rPr>
          <w:szCs w:val="24"/>
        </w:rPr>
        <w:fldChar w:fldCharType="separate"/>
      </w:r>
      <w:r w:rsidR="004D13EB" w:rsidRPr="004D13EB">
        <w:rPr>
          <w:noProof/>
          <w:szCs w:val="24"/>
        </w:rPr>
        <w:t>[122]</w:t>
      </w:r>
      <w:r w:rsidRPr="00BA4F0F">
        <w:rPr>
          <w:szCs w:val="24"/>
        </w:rPr>
        <w:fldChar w:fldCharType="end"/>
      </w:r>
      <w:r w:rsidRPr="00BA4F0F">
        <w:rPr>
          <w:szCs w:val="24"/>
        </w:rPr>
        <w:t>.</w:t>
      </w:r>
    </w:p>
    <w:p w14:paraId="4E589772" w14:textId="77777777" w:rsidR="0034590E" w:rsidRPr="00BA4F0F" w:rsidRDefault="0034590E" w:rsidP="0034590E">
      <w:pPr>
        <w:rPr>
          <w:szCs w:val="24"/>
        </w:rPr>
      </w:pPr>
      <w:r w:rsidRPr="00BA4F0F">
        <w:rPr>
          <w:szCs w:val="24"/>
        </w:rPr>
        <w:t>Оценивая число клеток-предшественников, следует уделить особое внимание методу количественного определения. Результаты проточного цитометрического анализа числа CD34+клеток различаются в зависимости от конкретной методологии, и следует с осторожностью относиться к рекомендациям по их числу, основанным на исследованиях, проведенных в других лабораториях.</w:t>
      </w:r>
    </w:p>
    <w:p w14:paraId="37B6D318" w14:textId="77777777" w:rsidR="0034590E" w:rsidRPr="00BA4F0F" w:rsidRDefault="0034590E" w:rsidP="0034590E">
      <w:pPr>
        <w:rPr>
          <w:szCs w:val="24"/>
        </w:rPr>
      </w:pPr>
      <w:r w:rsidRPr="00BA4F0F">
        <w:rPr>
          <w:szCs w:val="24"/>
        </w:rPr>
        <w:t xml:space="preserve">В день первого предполагаемого сбора выполняется общий анализ крови и подсчет </w:t>
      </w:r>
      <w:r w:rsidRPr="00BA4F0F">
        <w:rPr>
          <w:szCs w:val="24"/>
          <w:lang w:val="en-US"/>
        </w:rPr>
        <w:t>CD</w:t>
      </w:r>
      <w:r w:rsidRPr="00BA4F0F">
        <w:rPr>
          <w:szCs w:val="24"/>
        </w:rPr>
        <w:t xml:space="preserve">34+ в крови методом проточной цитометрии. </w:t>
      </w:r>
    </w:p>
    <w:p w14:paraId="7BCD2205" w14:textId="77777777" w:rsidR="0034590E" w:rsidRPr="00BA4F0F" w:rsidRDefault="0034590E" w:rsidP="0034590E">
      <w:pPr>
        <w:rPr>
          <w:szCs w:val="24"/>
        </w:rPr>
      </w:pPr>
      <w:r w:rsidRPr="00BA4F0F">
        <w:rPr>
          <w:szCs w:val="24"/>
        </w:rPr>
        <w:t xml:space="preserve">Подсчет абсолютного количества </w:t>
      </w:r>
      <w:r w:rsidRPr="00BA4F0F">
        <w:rPr>
          <w:szCs w:val="24"/>
          <w:lang w:val="en-US"/>
        </w:rPr>
        <w:t>CD</w:t>
      </w:r>
      <w:r w:rsidRPr="00BA4F0F">
        <w:rPr>
          <w:szCs w:val="24"/>
        </w:rPr>
        <w:t xml:space="preserve">34+ ГСК в крови проводится по формуле: </w:t>
      </w:r>
    </w:p>
    <w:p w14:paraId="079F2603" w14:textId="77777777" w:rsidR="0034590E" w:rsidRPr="00BA4F0F" w:rsidRDefault="0034590E" w:rsidP="0034590E">
      <w:pPr>
        <w:jc w:val="center"/>
        <w:rPr>
          <w:i/>
          <w:szCs w:val="24"/>
        </w:rPr>
      </w:pPr>
      <w:r w:rsidRPr="00BA4F0F">
        <w:rPr>
          <w:i/>
          <w:szCs w:val="24"/>
        </w:rPr>
        <w:t xml:space="preserve">Абсолютное содержание </w:t>
      </w:r>
      <w:r w:rsidRPr="00BA4F0F">
        <w:rPr>
          <w:i/>
          <w:szCs w:val="24"/>
          <w:lang w:val="en-US"/>
        </w:rPr>
        <w:t>CD</w:t>
      </w:r>
      <w:r w:rsidRPr="00BA4F0F">
        <w:rPr>
          <w:i/>
          <w:szCs w:val="24"/>
        </w:rPr>
        <w:t>34+ клеток в крови (клеток/мкл) =</w:t>
      </w:r>
    </w:p>
    <w:p w14:paraId="7F81EEDE" w14:textId="77777777" w:rsidR="0034590E" w:rsidRPr="00BA4F0F" w:rsidRDefault="0034590E" w:rsidP="0034590E">
      <w:pPr>
        <w:jc w:val="center"/>
        <w:rPr>
          <w:i/>
          <w:szCs w:val="24"/>
        </w:rPr>
      </w:pPr>
      <w:r w:rsidRPr="00BA4F0F">
        <w:rPr>
          <w:i/>
          <w:szCs w:val="24"/>
        </w:rPr>
        <w:t xml:space="preserve">доля </w:t>
      </w:r>
      <w:r w:rsidRPr="00BA4F0F">
        <w:rPr>
          <w:i/>
          <w:szCs w:val="24"/>
          <w:lang w:val="en-US"/>
        </w:rPr>
        <w:t>CD</w:t>
      </w:r>
      <w:r w:rsidRPr="00BA4F0F">
        <w:rPr>
          <w:i/>
          <w:szCs w:val="24"/>
        </w:rPr>
        <w:t>34+ клеток (%) × количество лейкоцитов (10</w:t>
      </w:r>
      <w:r w:rsidRPr="00BA4F0F">
        <w:rPr>
          <w:i/>
          <w:szCs w:val="24"/>
          <w:vertAlign w:val="superscript"/>
        </w:rPr>
        <w:t>9</w:t>
      </w:r>
      <w:r w:rsidRPr="00BA4F0F">
        <w:rPr>
          <w:i/>
          <w:szCs w:val="24"/>
        </w:rPr>
        <w:t>/л) × 10</w:t>
      </w:r>
    </w:p>
    <w:p w14:paraId="36B5BA2D" w14:textId="77777777" w:rsidR="0034590E" w:rsidRPr="00BA4F0F" w:rsidRDefault="0034590E" w:rsidP="0034590E">
      <w:pPr>
        <w:rPr>
          <w:szCs w:val="24"/>
        </w:rPr>
      </w:pPr>
      <w:r w:rsidRPr="00BA4F0F">
        <w:rPr>
          <w:szCs w:val="24"/>
        </w:rPr>
        <w:t xml:space="preserve">При содержании </w:t>
      </w:r>
      <w:r w:rsidRPr="00BA4F0F">
        <w:rPr>
          <w:szCs w:val="24"/>
          <w:lang w:val="en-US"/>
        </w:rPr>
        <w:t>CD</w:t>
      </w:r>
      <w:r w:rsidRPr="00BA4F0F">
        <w:rPr>
          <w:szCs w:val="24"/>
        </w:rPr>
        <w:t>34+ клеток в периферической крови более 10-20 в 1 мкл. можно начинать первый лейкаферез.</w:t>
      </w:r>
    </w:p>
    <w:p w14:paraId="74B4302E" w14:textId="77777777" w:rsidR="0034590E" w:rsidRPr="00BA4F0F" w:rsidRDefault="0034590E" w:rsidP="0034590E">
      <w:pPr>
        <w:rPr>
          <w:szCs w:val="24"/>
        </w:rPr>
      </w:pPr>
      <w:r w:rsidRPr="00BA4F0F">
        <w:rPr>
          <w:szCs w:val="24"/>
        </w:rPr>
        <w:t xml:space="preserve">Если абсолютное количество </w:t>
      </w:r>
      <w:r w:rsidRPr="00BA4F0F">
        <w:rPr>
          <w:szCs w:val="24"/>
          <w:lang w:val="en-US"/>
        </w:rPr>
        <w:t>CD</w:t>
      </w:r>
      <w:r w:rsidRPr="00BA4F0F">
        <w:rPr>
          <w:szCs w:val="24"/>
        </w:rPr>
        <w:t>34+ клеток в крови более 20 в 1 мкл., высока вероятность заготовки трансплантата за 1-2 процедуры лейкафкереза.</w:t>
      </w:r>
    </w:p>
    <w:p w14:paraId="3FA93AC3" w14:textId="77777777" w:rsidR="0034590E" w:rsidRPr="00BA4F0F" w:rsidRDefault="0034590E" w:rsidP="0034590E">
      <w:pPr>
        <w:rPr>
          <w:szCs w:val="24"/>
        </w:rPr>
      </w:pPr>
      <w:r w:rsidRPr="00BA4F0F">
        <w:rPr>
          <w:szCs w:val="24"/>
        </w:rPr>
        <w:t xml:space="preserve">При обнаружении </w:t>
      </w:r>
      <w:r w:rsidRPr="00BA4F0F">
        <w:rPr>
          <w:szCs w:val="24"/>
          <w:lang w:val="en-US"/>
        </w:rPr>
        <w:t>CD</w:t>
      </w:r>
      <w:r w:rsidRPr="00BA4F0F">
        <w:rPr>
          <w:szCs w:val="24"/>
        </w:rPr>
        <w:t>34+ клеток в крови в количе</w:t>
      </w:r>
      <w:r w:rsidRPr="00BA4F0F">
        <w:rPr>
          <w:szCs w:val="24"/>
          <w:lang w:val="en-US"/>
        </w:rPr>
        <w:t>c</w:t>
      </w:r>
      <w:r w:rsidRPr="00BA4F0F">
        <w:rPr>
          <w:szCs w:val="24"/>
        </w:rPr>
        <w:t xml:space="preserve">тве 10-20 в 1 мкл. обычно необходимо 2-4 процедуры лейкафереза. </w:t>
      </w:r>
    </w:p>
    <w:p w14:paraId="5A4033F7" w14:textId="77777777" w:rsidR="0034590E" w:rsidRPr="00BA4F0F" w:rsidRDefault="0034590E" w:rsidP="0034590E">
      <w:pPr>
        <w:rPr>
          <w:szCs w:val="24"/>
        </w:rPr>
      </w:pPr>
      <w:r w:rsidRPr="00BA4F0F">
        <w:rPr>
          <w:szCs w:val="24"/>
        </w:rPr>
        <w:t xml:space="preserve">Если содержание </w:t>
      </w:r>
      <w:r w:rsidRPr="00BA4F0F">
        <w:rPr>
          <w:szCs w:val="24"/>
          <w:lang w:val="en-US"/>
        </w:rPr>
        <w:t>CD</w:t>
      </w:r>
      <w:r w:rsidRPr="00BA4F0F">
        <w:rPr>
          <w:szCs w:val="24"/>
        </w:rPr>
        <w:t>34+ клеток менее 10 в 1 мкл., желательно воздержаться от сбора клеток в этот день и повторить анализ на следующий день.</w:t>
      </w:r>
    </w:p>
    <w:p w14:paraId="6C165E7F" w14:textId="77777777" w:rsidR="0034590E" w:rsidRPr="00BA4F0F" w:rsidRDefault="0034590E" w:rsidP="0034590E">
      <w:pPr>
        <w:rPr>
          <w:szCs w:val="24"/>
        </w:rPr>
      </w:pPr>
      <w:r w:rsidRPr="00BA4F0F">
        <w:rPr>
          <w:szCs w:val="24"/>
        </w:rPr>
        <w:t xml:space="preserve">При содержании </w:t>
      </w:r>
      <w:r w:rsidRPr="00BA4F0F">
        <w:rPr>
          <w:szCs w:val="24"/>
          <w:lang w:val="en-US"/>
        </w:rPr>
        <w:t>CD</w:t>
      </w:r>
      <w:r w:rsidRPr="00BA4F0F">
        <w:rPr>
          <w:szCs w:val="24"/>
        </w:rPr>
        <w:t>34+ клеток менее 5 в 1 мкл. необходимо обсудить вопрос об отказе от продолжения мобилизации или же возможности применения плериксафора.</w:t>
      </w:r>
    </w:p>
    <w:p w14:paraId="31343130" w14:textId="77777777" w:rsidR="0034590E" w:rsidRPr="00BA4F0F" w:rsidRDefault="0034590E" w:rsidP="0034590E">
      <w:pPr>
        <w:rPr>
          <w:szCs w:val="24"/>
        </w:rPr>
      </w:pPr>
      <w:r w:rsidRPr="00BA4F0F">
        <w:rPr>
          <w:szCs w:val="24"/>
        </w:rPr>
        <w:t>Процедура лейкафереза может осуществлятъся как в автоматическом, так и в полуавтоматическом режиме. При количестве лейкоцитов более 20 ×10</w:t>
      </w:r>
      <w:r w:rsidRPr="00BA4F0F">
        <w:rPr>
          <w:szCs w:val="24"/>
          <w:vertAlign w:val="superscript"/>
        </w:rPr>
        <w:t>9</w:t>
      </w:r>
      <w:r w:rsidRPr="00BA4F0F">
        <w:rPr>
          <w:szCs w:val="24"/>
        </w:rPr>
        <w:t xml:space="preserve">/л предпочтителен полуавтоматический режим для возможности ручной регулировки границы раздела сред. </w:t>
      </w:r>
    </w:p>
    <w:p w14:paraId="3A4FCC70" w14:textId="77777777" w:rsidR="0034590E" w:rsidRPr="00BA4F0F" w:rsidRDefault="0034590E" w:rsidP="0034590E">
      <w:pPr>
        <w:rPr>
          <w:szCs w:val="24"/>
        </w:rPr>
      </w:pPr>
      <w:r w:rsidRPr="00BA4F0F">
        <w:rPr>
          <w:szCs w:val="24"/>
        </w:rPr>
        <w:lastRenderedPageBreak/>
        <w:t>Абсолютными противопоказаниями для проведения процедуры лейкафереза являются тяжелые соматические заболевания в стадии декомпенсации, угрожающие жизни состояния.</w:t>
      </w:r>
    </w:p>
    <w:p w14:paraId="2262C1E7" w14:textId="77777777" w:rsidR="0034590E" w:rsidRPr="00BA4F0F" w:rsidRDefault="0034590E" w:rsidP="0034590E">
      <w:pPr>
        <w:rPr>
          <w:szCs w:val="24"/>
        </w:rPr>
      </w:pPr>
      <w:r w:rsidRPr="00BA4F0F">
        <w:rPr>
          <w:szCs w:val="24"/>
        </w:rPr>
        <w:t>Примерами относительных противопоказаний может быть значимое снижение гемоглобина или тромбоцитов, что компенсируется трансфузионной поддержкой до процедуры. Непосредственно перед процедурой необходимо измерить артериальное давление, оценить общее состояние пациента, ознакомиться с результатами биохимического анализа крови и коагулограммы.</w:t>
      </w:r>
    </w:p>
    <w:p w14:paraId="41B56CE5" w14:textId="77777777" w:rsidR="0034590E" w:rsidRPr="00BA4F0F" w:rsidRDefault="0034590E" w:rsidP="0034590E">
      <w:pPr>
        <w:rPr>
          <w:szCs w:val="24"/>
        </w:rPr>
      </w:pPr>
      <w:r w:rsidRPr="00BA4F0F">
        <w:rPr>
          <w:szCs w:val="24"/>
        </w:rPr>
        <w:t>Процедура сбора ГСК длится около 3-4 часов. Во время проведения лейкафереза при развитии гипокальцемии (проявляется парестезией губ, языка, кончиков пальцев) необходимо замедлить скорость возврата крови. Для профилактики цитратной реакции рекомендуется введение 10 мл 10% раствора кальция глюконата или 5 мл 10% раствора кальция хлорида на каждые 200 мл цитратного раствора при массе тела пациента &lt; 60 кг или на каждые 400 мл при массе тела &gt; 70 кг.</w:t>
      </w:r>
    </w:p>
    <w:p w14:paraId="681F6CF3" w14:textId="5FD12F1E" w:rsidR="0034590E" w:rsidRPr="00BA4F0F" w:rsidRDefault="0034590E" w:rsidP="0034590E">
      <w:pPr>
        <w:rPr>
          <w:szCs w:val="24"/>
        </w:rPr>
      </w:pPr>
      <w:r w:rsidRPr="00BA4F0F">
        <w:rPr>
          <w:szCs w:val="24"/>
        </w:rPr>
        <w:t>Из полученного продукта берут пробу ГСК для определения содержания С</w:t>
      </w:r>
      <w:r w:rsidRPr="00BA4F0F">
        <w:rPr>
          <w:szCs w:val="24"/>
          <w:lang w:val="en-US"/>
        </w:rPr>
        <w:t>D</w:t>
      </w:r>
      <w:r w:rsidRPr="00BA4F0F">
        <w:rPr>
          <w:szCs w:val="24"/>
        </w:rPr>
        <w:t xml:space="preserve">34+ клеток при помощи проточного цитофлуориметра. Существует множество рекомендуемых схем по подсчету </w:t>
      </w:r>
      <w:r w:rsidRPr="00BA4F0F">
        <w:rPr>
          <w:szCs w:val="24"/>
          <w:lang w:val="en-US"/>
        </w:rPr>
        <w:t>CD</w:t>
      </w:r>
      <w:r w:rsidRPr="00BA4F0F">
        <w:rPr>
          <w:szCs w:val="24"/>
        </w:rPr>
        <w:t xml:space="preserve">34+ ГСК, наиболее известен </w:t>
      </w:r>
      <w:r w:rsidRPr="00BA4F0F">
        <w:rPr>
          <w:szCs w:val="24"/>
          <w:lang w:val="en-US"/>
        </w:rPr>
        <w:t>ISHAGE</w:t>
      </w:r>
      <w:r w:rsidRPr="00BA4F0F">
        <w:rPr>
          <w:szCs w:val="24"/>
        </w:rPr>
        <w:t xml:space="preserve">-протокол (International Society of Hematotherapy and Graft Engineering) </w:t>
      </w:r>
      <w:r w:rsidRPr="00BA4F0F">
        <w:rPr>
          <w:szCs w:val="24"/>
        </w:rPr>
        <w:fldChar w:fldCharType="begin" w:fldLock="1"/>
      </w:r>
      <w:r w:rsidR="00F44253">
        <w:rPr>
          <w:szCs w:val="24"/>
        </w:rPr>
        <w:instrText>ADDIN CSL_CITATION {"citationItems":[{"id":"ITEM-1","itemData":{"DOI":"10.1089/scd.1.1996.5.213","ISSN":"15258165","abstract":"The increased use of Peripheral Blood Stem Cells (PBSC) to reconstitute hematopoiesis in autotransplant and, more recently, allotransplant settings has not been associated with a consensus means to quality control the PBSC product. Since the small population of cells that bear the CD34 antigen are thought to be responsible for multilineage engraftment, graft assessment by flow cytometric quantitation of CD34+ cells should provide a rapid, reliable, and reproducible assay. Unfortunately, although a number of flow cytometric assays for CD34 enumeration have been described, the lack of a standardized method has led to the generation of widely divergent data. Furthermore, none of these assays has been validated as to interlaboratory reproducibility and suitability for widespread clinical application. In early 1995, the International Society of Hematotherapy and Graft Engineering (ISHAGE) established a Stem Cell Enumeration Committee, the mandate of which was to validate a simple, rapid, and sensitive flow cytometric method to quantitate CD34+ cells in peripheral blood and apheresis products. We also sought to establish its utility on a variety of flow cytometers in clinical laboratories and its reproducibility between transplant centers. Here, we describe the four-parameter flow methodology adopted by ISHAGE for validation in a multicenter study in North America.","author":[{"dropping-particle":"","family":"Sutherland","given":"D. Robert","non-dropping-particle":"","parse-names":false,"suffix":""},{"dropping-particle":"","family":"Anderson","given":"Lori","non-dropping-particle":"","parse-names":false,"suffix":""},{"dropping-particle":"","family":"Keeney","given":"Michael","non-dropping-particle":"","parse-names":false,"suffix":""},{"dropping-particle":"","family":"Nayar","given":"Rakash","non-dropping-particle":"","parse-names":false,"suffix":""},{"dropping-particle":"","family":"Chin-Yee","given":"Ian","non-dropping-particle":"","parse-names":false,"suffix":""}],"container-title":"Journal of Hematotherapy and Stem Cell Research","id":"ITEM-1","issue":"3","issued":{"date-parts":[["1996","6"]]},"page":"213-226","publisher":"J Hematother","title":"The ISHAGE guidelines for CD34+ cell determination by flow cytometry","type":"article","volume":"5"},"uris":["http://www.mendeley.com/documents/?uuid=af6aeaab-986b-3c29-a268-8b3298a087ff","http://www.mendeley.com/documents/?uuid=9e9b6059-b96a-40ee-8392-9fa21aa556d8","http://www.mendeley.com/documents/?uuid=396368c5-3715-4315-9d9f-b0f985c72f2e","http://www.mendeley.com/documents/?uuid=832a537d-2a1a-436d-b363-a2a1b60dd4aa","http://www.mendeley.com/documents/?uuid=d76426e4-3e5f-4355-ae7b-509de6e06dd4","http://www.mendeley.com/documents/?uuid=022d11d0-3e2a-46a4-9f7c-deed4443ec90","http://www.mendeley.com/documents/?uuid=3b63824f-4c14-4eba-b990-62e0bcaea90c"]}],"mendeley":{"formattedCitation":"[123]","plainTextFormattedCitation":"[123]","previouslyFormattedCitation":"[123]"},"properties":{"noteIndex":0},"schema":"https://github.com/citation-style-language/schema/raw/master/csl-citation.json"}</w:instrText>
      </w:r>
      <w:r w:rsidRPr="00BA4F0F">
        <w:rPr>
          <w:szCs w:val="24"/>
        </w:rPr>
        <w:fldChar w:fldCharType="separate"/>
      </w:r>
      <w:r w:rsidR="004D13EB" w:rsidRPr="004D13EB">
        <w:rPr>
          <w:noProof/>
          <w:szCs w:val="24"/>
        </w:rPr>
        <w:t>[123]</w:t>
      </w:r>
      <w:r w:rsidRPr="00BA4F0F">
        <w:rPr>
          <w:szCs w:val="24"/>
        </w:rPr>
        <w:fldChar w:fldCharType="end"/>
      </w:r>
      <w:r w:rsidRPr="00BA4F0F">
        <w:rPr>
          <w:szCs w:val="24"/>
        </w:rPr>
        <w:t xml:space="preserve">. </w:t>
      </w:r>
    </w:p>
    <w:p w14:paraId="18A3855D" w14:textId="77777777" w:rsidR="0034590E" w:rsidRPr="00BA4F0F" w:rsidRDefault="0034590E" w:rsidP="0034590E">
      <w:pPr>
        <w:rPr>
          <w:szCs w:val="24"/>
        </w:rPr>
      </w:pPr>
      <w:r w:rsidRPr="00BA4F0F">
        <w:rPr>
          <w:szCs w:val="24"/>
        </w:rPr>
        <w:t xml:space="preserve">Таким образом, для успешного сбора ГСК важны своевременное начало первой процедуры лейкафереза и отлаженная лабораторная методика, включающая цитофлуориметрический анализ. </w:t>
      </w:r>
    </w:p>
    <w:p w14:paraId="54400784" w14:textId="77777777" w:rsidR="0034590E" w:rsidRPr="00BA4F0F" w:rsidRDefault="0034590E" w:rsidP="0034590E">
      <w:pPr>
        <w:pStyle w:val="afd"/>
        <w:ind w:left="0"/>
        <w:rPr>
          <w:szCs w:val="24"/>
          <w:u w:val="single"/>
        </w:rPr>
      </w:pPr>
      <w:bookmarkStart w:id="139" w:name="_Toc44926612"/>
    </w:p>
    <w:p w14:paraId="376D3EC7" w14:textId="77777777" w:rsidR="0034590E" w:rsidRPr="00BA4F0F" w:rsidRDefault="0034590E" w:rsidP="0034590E">
      <w:pPr>
        <w:pStyle w:val="afd"/>
        <w:ind w:left="0"/>
        <w:rPr>
          <w:szCs w:val="24"/>
          <w:u w:val="single"/>
        </w:rPr>
      </w:pPr>
      <w:r w:rsidRPr="00BA4F0F">
        <w:rPr>
          <w:szCs w:val="24"/>
          <w:u w:val="single"/>
        </w:rPr>
        <w:t>Криоконсервирование трансплантата</w:t>
      </w:r>
      <w:bookmarkEnd w:id="139"/>
    </w:p>
    <w:p w14:paraId="750E1A60" w14:textId="77777777" w:rsidR="0034590E" w:rsidRPr="00BA4F0F" w:rsidRDefault="0034590E" w:rsidP="0034590E">
      <w:pPr>
        <w:rPr>
          <w:szCs w:val="24"/>
        </w:rPr>
      </w:pPr>
      <w:r w:rsidRPr="00BA4F0F">
        <w:rPr>
          <w:szCs w:val="24"/>
        </w:rPr>
        <w:t xml:space="preserve">Параллельно с подсчетом CD34+ клеток проводится фракционирование полученного продукта лейкафереза. Сначала маркируют полимерный двухкамерный контейнер (первая камера - «плазма», вторая - «гемопоэтические стволовые клетки»), переносят лейкоконцентрат в контейнер для ГСК в асептических условиях и проводят центрифугирование (2000 об/мин) в течение 15 мин. </w:t>
      </w:r>
    </w:p>
    <w:p w14:paraId="3916DD05" w14:textId="77777777" w:rsidR="0034590E" w:rsidRPr="00BA4F0F" w:rsidRDefault="0034590E" w:rsidP="0034590E">
      <w:pPr>
        <w:rPr>
          <w:szCs w:val="24"/>
        </w:rPr>
      </w:pPr>
      <w:r w:rsidRPr="00BA4F0F">
        <w:rPr>
          <w:szCs w:val="24"/>
        </w:rPr>
        <w:t xml:space="preserve">Фракционирование проводят в асептических условиях, например, в условиях ламинарного шкафа биологической безопасности </w:t>
      </w:r>
      <w:r w:rsidRPr="00BA4F0F">
        <w:rPr>
          <w:szCs w:val="24"/>
          <w:lang w:val="en-US"/>
        </w:rPr>
        <w:t>II</w:t>
      </w:r>
      <w:r w:rsidRPr="00BA4F0F">
        <w:rPr>
          <w:szCs w:val="24"/>
        </w:rPr>
        <w:t xml:space="preserve"> класса. Далее осуществляется подсчет </w:t>
      </w:r>
      <w:r w:rsidRPr="00BA4F0F">
        <w:rPr>
          <w:szCs w:val="24"/>
          <w:lang w:val="en-US"/>
        </w:rPr>
        <w:t>CD</w:t>
      </w:r>
      <w:r w:rsidRPr="00BA4F0F">
        <w:rPr>
          <w:szCs w:val="24"/>
        </w:rPr>
        <w:t>34+ клеток в полученном лейкоконцентрате. Получив долю CD34+ клеток от всех лейкоцитов в лейкоконцентрате, подсчитывают количество CD34+ клеток на 1 кг массы тела пациента.</w:t>
      </w:r>
    </w:p>
    <w:p w14:paraId="3D29E44E" w14:textId="77777777" w:rsidR="0034590E" w:rsidRPr="00BA4F0F" w:rsidRDefault="0034590E" w:rsidP="0034590E">
      <w:pPr>
        <w:rPr>
          <w:szCs w:val="24"/>
        </w:rPr>
      </w:pPr>
      <w:r w:rsidRPr="00BA4F0F">
        <w:rPr>
          <w:szCs w:val="24"/>
        </w:rPr>
        <w:lastRenderedPageBreak/>
        <w:t xml:space="preserve">Процесс криоконсервирования включает несколько этапов. Сначала проводят расчет необходимого количества раствора ДМСО, который нужно добавить к ГСК. Полученный биоматериал с криопротектором переносят в контейнер для криоконсервирования и тщательно удаляют пузыри воздуха. </w:t>
      </w:r>
    </w:p>
    <w:p w14:paraId="0B2855DD" w14:textId="77777777" w:rsidR="0034590E" w:rsidRPr="00BA4F0F" w:rsidRDefault="0034590E" w:rsidP="0034590E">
      <w:pPr>
        <w:rPr>
          <w:szCs w:val="24"/>
        </w:rPr>
      </w:pPr>
      <w:r w:rsidRPr="00BA4F0F">
        <w:rPr>
          <w:szCs w:val="24"/>
        </w:rPr>
        <w:t xml:space="preserve">Заморозку и хранение биоматериала производят в емкости с парами жидкого азота. </w:t>
      </w:r>
    </w:p>
    <w:p w14:paraId="2572A460" w14:textId="77777777" w:rsidR="0034590E" w:rsidRPr="00BA4F0F" w:rsidRDefault="0034590E" w:rsidP="0034590E">
      <w:pPr>
        <w:rPr>
          <w:b/>
          <w:szCs w:val="24"/>
        </w:rPr>
      </w:pPr>
      <w:bookmarkStart w:id="140" w:name="_Toc44926613"/>
    </w:p>
    <w:p w14:paraId="3A18CD58" w14:textId="77777777" w:rsidR="0034590E" w:rsidRPr="00BA4F0F" w:rsidRDefault="0034590E" w:rsidP="0034590E">
      <w:pPr>
        <w:rPr>
          <w:b/>
          <w:szCs w:val="24"/>
        </w:rPr>
      </w:pPr>
      <w:r w:rsidRPr="00BA4F0F">
        <w:rPr>
          <w:b/>
          <w:szCs w:val="24"/>
        </w:rPr>
        <w:t>Обследование пациентов перед мобилизацией и сбором ГСК</w:t>
      </w:r>
      <w:bookmarkEnd w:id="140"/>
    </w:p>
    <w:p w14:paraId="648A73F8" w14:textId="77777777" w:rsidR="0034590E" w:rsidRPr="00BA4F0F" w:rsidRDefault="0034590E" w:rsidP="0034590E">
      <w:pPr>
        <w:ind w:firstLine="284"/>
        <w:rPr>
          <w:szCs w:val="24"/>
        </w:rPr>
      </w:pPr>
      <w:r w:rsidRPr="00BA4F0F">
        <w:rPr>
          <w:szCs w:val="24"/>
        </w:rPr>
        <w:t>Перед началом мобилизации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2E8FEA7B" w14:textId="77777777" w:rsidR="0034590E" w:rsidRPr="00BA4F0F" w:rsidRDefault="0034590E" w:rsidP="0034590E">
      <w:pPr>
        <w:pStyle w:val="afd"/>
        <w:ind w:left="0"/>
        <w:rPr>
          <w:szCs w:val="24"/>
          <w:u w:val="single"/>
        </w:rPr>
      </w:pPr>
      <w:bookmarkStart w:id="141" w:name="_Toc44926614"/>
    </w:p>
    <w:p w14:paraId="62232E0C" w14:textId="77777777" w:rsidR="0034590E" w:rsidRPr="00BA4F0F" w:rsidRDefault="0034590E" w:rsidP="0034590E">
      <w:pPr>
        <w:pStyle w:val="afd"/>
        <w:ind w:left="0"/>
        <w:rPr>
          <w:szCs w:val="24"/>
          <w:u w:val="single"/>
        </w:rPr>
      </w:pPr>
      <w:r w:rsidRPr="00BA4F0F">
        <w:rPr>
          <w:szCs w:val="24"/>
          <w:u w:val="single"/>
        </w:rPr>
        <w:t>Общие методы обследования</w:t>
      </w:r>
      <w:bookmarkEnd w:id="141"/>
    </w:p>
    <w:p w14:paraId="7AAA797E"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Развернутый анализ крови.</w:t>
      </w:r>
    </w:p>
    <w:p w14:paraId="7903CFA1"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Биохимический анализ крови с обязательным определением: уровней общего белка, альбумина, креатинина, мочевой кислоты, калия, кальция, активности ЛДГ.</w:t>
      </w:r>
    </w:p>
    <w:p w14:paraId="2241533E"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Общий анализ мочи.</w:t>
      </w:r>
    </w:p>
    <w:p w14:paraId="3F233FD3"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Глюкоза крови.</w:t>
      </w:r>
    </w:p>
    <w:p w14:paraId="46545460"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Определение скорости клубочковой фильтрации.</w:t>
      </w:r>
    </w:p>
    <w:p w14:paraId="2C35AEBC"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227D1D31"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Пункция костного мозга с подсчетом миелограммы.</w:t>
      </w:r>
    </w:p>
    <w:p w14:paraId="34D5B1CD"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для оценки состояния кроветворения.</w:t>
      </w:r>
    </w:p>
    <w:p w14:paraId="0512C684"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с применением иммуногистохимических методов для оценки состояния кроветворения и инфильтрации костного мозга опухолевыми клетками.</w:t>
      </w:r>
    </w:p>
    <w:p w14:paraId="3C565C8B"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Иммунофенотипическое исследование костного мозга методом проточной цитометрии для определения маркеров минимальной остаточной болезни.</w:t>
      </w:r>
    </w:p>
    <w:p w14:paraId="582908E0"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Определение группы крови (</w:t>
      </w:r>
      <w:r w:rsidRPr="00BA4F0F">
        <w:rPr>
          <w:lang w:val="en-US"/>
        </w:rPr>
        <w:t>ABO</w:t>
      </w:r>
      <w:r w:rsidRPr="00BA4F0F">
        <w:t>, Резус, фенотип по антигенам C, c, E, e, Cw, K, k, а также определение антиэритроцитарных антител).</w:t>
      </w:r>
    </w:p>
    <w:p w14:paraId="3946650C"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Исследование на маркеры вирусов гепатитов</w:t>
      </w:r>
      <w:r w:rsidRPr="00BA4F0F">
        <w:rPr>
          <w:lang w:val="en-US"/>
        </w:rPr>
        <w:t> B</w:t>
      </w:r>
      <w:r w:rsidRPr="00BA4F0F">
        <w:t xml:space="preserve"> и </w:t>
      </w:r>
      <w:r w:rsidRPr="00BA4F0F">
        <w:rPr>
          <w:lang w:val="en-US"/>
        </w:rPr>
        <w:t>C</w:t>
      </w:r>
      <w:r w:rsidRPr="00BA4F0F">
        <w:t xml:space="preserve">, ВИЧ, </w:t>
      </w:r>
      <w:r w:rsidRPr="00BA4F0F">
        <w:rPr>
          <w:lang w:val="en-US"/>
        </w:rPr>
        <w:t>RW</w:t>
      </w:r>
      <w:r w:rsidRPr="00BA4F0F">
        <w:t>.</w:t>
      </w:r>
    </w:p>
    <w:p w14:paraId="5C9F57DF"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Электрокардиограмма.</w:t>
      </w:r>
    </w:p>
    <w:p w14:paraId="67FAF008"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lastRenderedPageBreak/>
        <w:t>Эхокардиография.</w:t>
      </w:r>
    </w:p>
    <w:p w14:paraId="20D763EF"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Холтеровское мониторирование сердечного ритма – при выявлении нарушений ритма и проводимости на ЭКГ.</w:t>
      </w:r>
    </w:p>
    <w:p w14:paraId="0221996D"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УЗИ брюшной полости (комплексное).</w:t>
      </w:r>
    </w:p>
    <w:p w14:paraId="5E0796A7"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Ультразвуковая допплерография сосудов (артерий и вен) нижних конечностей - при необходимости.</w:t>
      </w:r>
    </w:p>
    <w:p w14:paraId="642B7D61"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Эзофагогастродуоденоскопия с биопсией – при наличии диспепсических расстройств или язвенной болезни желудка/ двенадцатиперстной кишки в анамнезе.</w:t>
      </w:r>
    </w:p>
    <w:p w14:paraId="7375D49E"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МРТ головного мозга.</w:t>
      </w:r>
    </w:p>
    <w:p w14:paraId="0A6A9E33"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КТ органов грудной полости.</w:t>
      </w:r>
    </w:p>
    <w:p w14:paraId="3743B41D"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14:paraId="3B618F1B" w14:textId="77777777" w:rsidR="0034590E" w:rsidRPr="00BA4F0F" w:rsidRDefault="0034590E" w:rsidP="00A72B1B">
      <w:pPr>
        <w:pStyle w:val="Numlist"/>
        <w:numPr>
          <w:ilvl w:val="0"/>
          <w:numId w:val="52"/>
        </w:numPr>
        <w:tabs>
          <w:tab w:val="left" w:pos="284"/>
        </w:tabs>
        <w:autoSpaceDE w:val="0"/>
        <w:autoSpaceDN w:val="0"/>
        <w:adjustRightInd w:val="0"/>
        <w:spacing w:line="360" w:lineRule="auto"/>
        <w:ind w:left="0" w:firstLine="284"/>
        <w:jc w:val="both"/>
      </w:pPr>
      <w:r w:rsidRPr="00BA4F0F">
        <w:t>Осмотр гинеколога и УЗИ органов малого таза - для женщин.</w:t>
      </w:r>
    </w:p>
    <w:p w14:paraId="28BBDF18" w14:textId="77777777" w:rsidR="0034590E" w:rsidRPr="00BA4F0F" w:rsidRDefault="0034590E" w:rsidP="0034590E">
      <w:pPr>
        <w:pStyle w:val="afd"/>
        <w:ind w:left="0"/>
        <w:rPr>
          <w:szCs w:val="24"/>
          <w:u w:val="single"/>
        </w:rPr>
      </w:pPr>
      <w:bookmarkStart w:id="142" w:name="_Toc44926615"/>
    </w:p>
    <w:p w14:paraId="4A6A5EDB" w14:textId="77777777" w:rsidR="0034590E" w:rsidRPr="00BA4F0F" w:rsidRDefault="0034590E" w:rsidP="0034590E">
      <w:pPr>
        <w:pStyle w:val="afd"/>
        <w:ind w:left="0"/>
        <w:rPr>
          <w:szCs w:val="24"/>
          <w:u w:val="single"/>
        </w:rPr>
      </w:pPr>
      <w:r w:rsidRPr="00BA4F0F">
        <w:rPr>
          <w:szCs w:val="24"/>
          <w:u w:val="single"/>
        </w:rPr>
        <w:t xml:space="preserve">Специальные методы обследования при </w:t>
      </w:r>
      <w:r>
        <w:rPr>
          <w:szCs w:val="24"/>
          <w:u w:val="single"/>
        </w:rPr>
        <w:t xml:space="preserve">ФЛ </w:t>
      </w:r>
      <w:bookmarkEnd w:id="142"/>
    </w:p>
    <w:p w14:paraId="6DC5C7CE" w14:textId="77777777" w:rsidR="0034590E" w:rsidRPr="00BA4F0F" w:rsidRDefault="0034590E" w:rsidP="00A72B1B">
      <w:pPr>
        <w:pStyle w:val="Numlist"/>
        <w:numPr>
          <w:ilvl w:val="0"/>
          <w:numId w:val="53"/>
        </w:numPr>
        <w:tabs>
          <w:tab w:val="left" w:pos="284"/>
        </w:tabs>
        <w:autoSpaceDE w:val="0"/>
        <w:autoSpaceDN w:val="0"/>
        <w:adjustRightInd w:val="0"/>
        <w:spacing w:line="360" w:lineRule="auto"/>
        <w:ind w:left="0" w:firstLine="284"/>
        <w:jc w:val="both"/>
      </w:pPr>
      <w:r w:rsidRPr="00BA4F0F">
        <w:t>Позитронно-эмиссионная томография, совмещенная с КТ.</w:t>
      </w:r>
    </w:p>
    <w:p w14:paraId="578F1847" w14:textId="77777777" w:rsidR="0034590E" w:rsidRPr="00BA4F0F" w:rsidRDefault="0034590E" w:rsidP="00A72B1B">
      <w:pPr>
        <w:pStyle w:val="Numlist"/>
        <w:numPr>
          <w:ilvl w:val="0"/>
          <w:numId w:val="53"/>
        </w:numPr>
        <w:tabs>
          <w:tab w:val="left" w:pos="284"/>
        </w:tabs>
        <w:autoSpaceDE w:val="0"/>
        <w:autoSpaceDN w:val="0"/>
        <w:adjustRightInd w:val="0"/>
        <w:spacing w:line="360" w:lineRule="auto"/>
        <w:ind w:left="0" w:firstLine="284"/>
        <w:jc w:val="both"/>
      </w:pPr>
      <w:r w:rsidRPr="00BA4F0F">
        <w:t>Исследование клональности (В/Т в зависимости от варианта заболевания) в периферической крови, костном мозге методом полимеразной цепной реакции.</w:t>
      </w:r>
    </w:p>
    <w:p w14:paraId="27A3521B" w14:textId="77777777" w:rsidR="0034590E" w:rsidRPr="00BA4F0F" w:rsidRDefault="0034590E" w:rsidP="00A72B1B">
      <w:pPr>
        <w:pStyle w:val="Numlist"/>
        <w:numPr>
          <w:ilvl w:val="0"/>
          <w:numId w:val="53"/>
        </w:numPr>
        <w:tabs>
          <w:tab w:val="left" w:pos="284"/>
        </w:tabs>
        <w:autoSpaceDE w:val="0"/>
        <w:autoSpaceDN w:val="0"/>
        <w:adjustRightInd w:val="0"/>
        <w:spacing w:line="360" w:lineRule="auto"/>
        <w:ind w:left="0" w:firstLine="284"/>
        <w:jc w:val="both"/>
      </w:pPr>
      <w:r w:rsidRPr="00BA4F0F">
        <w:t>Определение уровня поликлональных иммуноглобулинов (A, G,M).</w:t>
      </w:r>
    </w:p>
    <w:p w14:paraId="3F91A861" w14:textId="77777777" w:rsidR="0034590E" w:rsidRPr="00BA4F0F" w:rsidRDefault="0034590E" w:rsidP="00A72B1B">
      <w:pPr>
        <w:pStyle w:val="Numlist"/>
        <w:numPr>
          <w:ilvl w:val="0"/>
          <w:numId w:val="53"/>
        </w:numPr>
        <w:tabs>
          <w:tab w:val="left" w:pos="284"/>
        </w:tabs>
        <w:autoSpaceDE w:val="0"/>
        <w:autoSpaceDN w:val="0"/>
        <w:adjustRightInd w:val="0"/>
        <w:spacing w:line="360" w:lineRule="auto"/>
        <w:ind w:left="0" w:firstLine="284"/>
        <w:jc w:val="both"/>
      </w:pPr>
      <w:r w:rsidRPr="00BA4F0F">
        <w:t>КТ органов грудной полости с контрастированием при первичном вовлечении средостения.</w:t>
      </w:r>
    </w:p>
    <w:p w14:paraId="51F57185" w14:textId="77777777" w:rsidR="0034590E" w:rsidRPr="00BA4F0F" w:rsidRDefault="0034590E" w:rsidP="00A72B1B">
      <w:pPr>
        <w:pStyle w:val="Numlist"/>
        <w:numPr>
          <w:ilvl w:val="0"/>
          <w:numId w:val="53"/>
        </w:numPr>
        <w:tabs>
          <w:tab w:val="left" w:pos="284"/>
        </w:tabs>
        <w:autoSpaceDE w:val="0"/>
        <w:autoSpaceDN w:val="0"/>
        <w:adjustRightInd w:val="0"/>
        <w:spacing w:line="360" w:lineRule="auto"/>
        <w:ind w:left="0" w:firstLine="284"/>
        <w:jc w:val="both"/>
      </w:pPr>
      <w:r w:rsidRPr="00BA4F0F">
        <w:t>УЗИ периферических лимфоузлов.</w:t>
      </w:r>
    </w:p>
    <w:p w14:paraId="5010E4D1" w14:textId="77777777" w:rsidR="0034590E" w:rsidRPr="00BA4F0F" w:rsidRDefault="0034590E" w:rsidP="00A72B1B">
      <w:pPr>
        <w:pStyle w:val="Numlist"/>
        <w:numPr>
          <w:ilvl w:val="0"/>
          <w:numId w:val="53"/>
        </w:numPr>
        <w:tabs>
          <w:tab w:val="left" w:pos="284"/>
        </w:tabs>
        <w:autoSpaceDE w:val="0"/>
        <w:autoSpaceDN w:val="0"/>
        <w:adjustRightInd w:val="0"/>
        <w:spacing w:line="360" w:lineRule="auto"/>
        <w:ind w:left="0" w:firstLine="284"/>
        <w:jc w:val="both"/>
      </w:pPr>
      <w:r w:rsidRPr="00BA4F0F">
        <w:t>Активность лактатдегидрогеназы.</w:t>
      </w:r>
    </w:p>
    <w:p w14:paraId="3326F62D" w14:textId="77777777" w:rsidR="0034590E" w:rsidRPr="00BA4F0F" w:rsidRDefault="0034590E" w:rsidP="00A72B1B">
      <w:pPr>
        <w:pStyle w:val="Numlist"/>
        <w:numPr>
          <w:ilvl w:val="0"/>
          <w:numId w:val="53"/>
        </w:numPr>
        <w:tabs>
          <w:tab w:val="left" w:pos="284"/>
        </w:tabs>
        <w:autoSpaceDE w:val="0"/>
        <w:autoSpaceDN w:val="0"/>
        <w:adjustRightInd w:val="0"/>
        <w:spacing w:line="360" w:lineRule="auto"/>
        <w:ind w:left="0" w:firstLine="284"/>
        <w:jc w:val="both"/>
      </w:pPr>
      <w:r w:rsidRPr="00BA4F0F">
        <w:t>КТ грудной полости/ брюшной полости/ таза – для оценки противоопухолевого ответа при отсутствии возможности выполнить ПЭТ/КТ или наличии противопоказаний.</w:t>
      </w:r>
    </w:p>
    <w:p w14:paraId="78BEE46D" w14:textId="77777777" w:rsidR="0034590E" w:rsidRPr="00BA4F0F" w:rsidRDefault="0034590E" w:rsidP="0034590E">
      <w:pPr>
        <w:rPr>
          <w:b/>
          <w:szCs w:val="24"/>
        </w:rPr>
      </w:pPr>
      <w:bookmarkStart w:id="143" w:name="_Toc44926621"/>
    </w:p>
    <w:p w14:paraId="4E4E1FC2" w14:textId="77777777" w:rsidR="0034590E" w:rsidRPr="00BA4F0F" w:rsidRDefault="0034590E" w:rsidP="0034590E">
      <w:pPr>
        <w:rPr>
          <w:b/>
          <w:szCs w:val="24"/>
        </w:rPr>
      </w:pPr>
      <w:r w:rsidRPr="00BA4F0F">
        <w:rPr>
          <w:b/>
          <w:szCs w:val="24"/>
        </w:rPr>
        <w:t>Противопоказания к выполнению ауто-ТГСК</w:t>
      </w:r>
      <w:bookmarkEnd w:id="143"/>
    </w:p>
    <w:p w14:paraId="2625408D" w14:textId="77777777" w:rsidR="0034590E" w:rsidRPr="00BA4F0F" w:rsidRDefault="0034590E" w:rsidP="0034590E">
      <w:pPr>
        <w:pStyle w:val="afd"/>
        <w:ind w:left="0"/>
        <w:rPr>
          <w:szCs w:val="24"/>
          <w:u w:val="single"/>
        </w:rPr>
      </w:pPr>
      <w:bookmarkStart w:id="144" w:name="_Toc44926622"/>
      <w:r w:rsidRPr="00BA4F0F">
        <w:rPr>
          <w:szCs w:val="24"/>
          <w:u w:val="single"/>
        </w:rPr>
        <w:t>Абсолютные противопоказания к выполнению ауто-ТГСК</w:t>
      </w:r>
      <w:bookmarkEnd w:id="144"/>
    </w:p>
    <w:p w14:paraId="7E2A2A59" w14:textId="77777777" w:rsidR="0034590E" w:rsidRPr="00BA4F0F" w:rsidRDefault="0034590E" w:rsidP="0034590E">
      <w:pPr>
        <w:ind w:firstLine="567"/>
        <w:rPr>
          <w:szCs w:val="24"/>
        </w:rPr>
      </w:pPr>
      <w:r w:rsidRPr="00BA4F0F">
        <w:rPr>
          <w:szCs w:val="24"/>
        </w:rPr>
        <w:t>- прогрессия/рецидив основного заболевания;</w:t>
      </w:r>
    </w:p>
    <w:p w14:paraId="32A7A353" w14:textId="77777777" w:rsidR="0034590E" w:rsidRPr="00BA4F0F" w:rsidRDefault="0034590E" w:rsidP="0034590E">
      <w:pPr>
        <w:ind w:firstLine="567"/>
        <w:rPr>
          <w:szCs w:val="24"/>
        </w:rPr>
      </w:pPr>
      <w:r w:rsidRPr="00BA4F0F">
        <w:rPr>
          <w:szCs w:val="24"/>
        </w:rPr>
        <w:t>- инфекционные заболевания в стадии обострения;</w:t>
      </w:r>
    </w:p>
    <w:p w14:paraId="64317EE4" w14:textId="77777777" w:rsidR="0034590E" w:rsidRPr="00BA4F0F" w:rsidRDefault="0034590E" w:rsidP="0034590E">
      <w:pPr>
        <w:ind w:firstLine="567"/>
        <w:rPr>
          <w:szCs w:val="24"/>
        </w:rPr>
      </w:pPr>
      <w:r w:rsidRPr="00BA4F0F">
        <w:rPr>
          <w:szCs w:val="24"/>
        </w:rPr>
        <w:t xml:space="preserve">- заболевания опорно-двигательного аппарата, системы кровообращения, органов пищеварения и дыхания, мочеполовой, эндокринной и нервной систем, а также заболевания </w:t>
      </w:r>
      <w:r w:rsidRPr="00BA4F0F">
        <w:rPr>
          <w:szCs w:val="24"/>
        </w:rPr>
        <w:lastRenderedPageBreak/>
        <w:t>других органов и систем в стадии обострения и сопровождающиеся стойким расстройством функций;</w:t>
      </w:r>
    </w:p>
    <w:p w14:paraId="59DDE591" w14:textId="77777777" w:rsidR="0034590E" w:rsidRPr="00BA4F0F" w:rsidRDefault="0034590E" w:rsidP="0034590E">
      <w:pPr>
        <w:ind w:firstLine="567"/>
        <w:rPr>
          <w:szCs w:val="24"/>
        </w:rPr>
      </w:pPr>
      <w:r w:rsidRPr="00BA4F0F">
        <w:rPr>
          <w:szCs w:val="24"/>
        </w:rPr>
        <w:t>- наличие «вторых» злокачественных новообразований вне ремиссии;</w:t>
      </w:r>
    </w:p>
    <w:p w14:paraId="30BCC55E" w14:textId="77777777" w:rsidR="0034590E" w:rsidRPr="00BA4F0F" w:rsidRDefault="0034590E" w:rsidP="0034590E">
      <w:pPr>
        <w:ind w:firstLine="567"/>
        <w:rPr>
          <w:szCs w:val="24"/>
        </w:rPr>
      </w:pPr>
      <w:r w:rsidRPr="00BA4F0F">
        <w:rPr>
          <w:szCs w:val="24"/>
        </w:rPr>
        <w:t>- терапия иммуносупрессивными или иными лекарственными препаратами, которые могут повлиять на способность к самоподдержанию собственной популяции и полипотентность гемопоэтических стволовых клеток;</w:t>
      </w:r>
    </w:p>
    <w:p w14:paraId="54EC6AE2" w14:textId="77777777" w:rsidR="0034590E" w:rsidRPr="00BA4F0F" w:rsidRDefault="0034590E" w:rsidP="0034590E">
      <w:pPr>
        <w:ind w:firstLine="567"/>
        <w:rPr>
          <w:szCs w:val="24"/>
        </w:rPr>
      </w:pPr>
      <w:r w:rsidRPr="00BA4F0F">
        <w:rPr>
          <w:szCs w:val="24"/>
        </w:rPr>
        <w:t>- психические расстройства и расстройства поведения в состоянии обострения и (или) представляющие опасность для больного и окружающих;</w:t>
      </w:r>
    </w:p>
    <w:p w14:paraId="0CCD41BD" w14:textId="77777777" w:rsidR="0034590E" w:rsidRPr="00BA4F0F" w:rsidRDefault="0034590E" w:rsidP="0034590E">
      <w:pPr>
        <w:ind w:firstLine="567"/>
        <w:rPr>
          <w:szCs w:val="24"/>
        </w:rPr>
      </w:pPr>
      <w:r w:rsidRPr="00BA4F0F">
        <w:rPr>
          <w:szCs w:val="24"/>
        </w:rPr>
        <w:t>- психические расстройства и расстройства поведения, вызванные употреблением психоактивных веществ;</w:t>
      </w:r>
    </w:p>
    <w:p w14:paraId="395F96C6" w14:textId="77777777" w:rsidR="0034590E" w:rsidRPr="00BA4F0F" w:rsidRDefault="0034590E" w:rsidP="0034590E">
      <w:pPr>
        <w:ind w:firstLine="567"/>
        <w:rPr>
          <w:szCs w:val="24"/>
        </w:rPr>
      </w:pPr>
      <w:r w:rsidRPr="00BA4F0F">
        <w:rPr>
          <w:szCs w:val="24"/>
        </w:rPr>
        <w:t>- кахексия;</w:t>
      </w:r>
    </w:p>
    <w:p w14:paraId="2327FCBA" w14:textId="77777777" w:rsidR="0034590E" w:rsidRPr="00BA4F0F" w:rsidRDefault="0034590E" w:rsidP="0034590E">
      <w:pPr>
        <w:ind w:firstLine="567"/>
        <w:rPr>
          <w:szCs w:val="24"/>
        </w:rPr>
      </w:pPr>
      <w:r w:rsidRPr="00BA4F0F">
        <w:rPr>
          <w:szCs w:val="24"/>
        </w:rPr>
        <w:t>- беременность;</w:t>
      </w:r>
    </w:p>
    <w:p w14:paraId="50173A65" w14:textId="77777777" w:rsidR="0034590E" w:rsidRPr="00BA4F0F" w:rsidRDefault="0034590E" w:rsidP="0034590E">
      <w:pPr>
        <w:ind w:firstLine="567"/>
        <w:rPr>
          <w:szCs w:val="24"/>
        </w:rPr>
      </w:pPr>
      <w:r w:rsidRPr="00BA4F0F">
        <w:rPr>
          <w:szCs w:val="24"/>
        </w:rPr>
        <w:t>- ранний послеоперационный период с наличием потенциальных рисков инфицирования послеоперационных ран в период миелотоксического агранулоцитоза.</w:t>
      </w:r>
    </w:p>
    <w:p w14:paraId="262811D4" w14:textId="77777777" w:rsidR="0034590E" w:rsidRPr="00BA4F0F" w:rsidRDefault="0034590E" w:rsidP="0034590E">
      <w:pPr>
        <w:ind w:firstLine="567"/>
        <w:rPr>
          <w:szCs w:val="24"/>
        </w:rPr>
      </w:pPr>
      <w:r w:rsidRPr="00BA4F0F">
        <w:rPr>
          <w:szCs w:val="24"/>
        </w:rPr>
        <w:t>- отсутствие подписанного информированного согласия на выполнение трансплантации.</w:t>
      </w:r>
    </w:p>
    <w:p w14:paraId="6A40C363" w14:textId="77777777" w:rsidR="0034590E" w:rsidRPr="00BA4F0F" w:rsidRDefault="0034590E" w:rsidP="0034590E">
      <w:pPr>
        <w:pStyle w:val="11"/>
        <w:spacing w:before="0"/>
      </w:pPr>
      <w:bookmarkStart w:id="145" w:name="_Toc44926623"/>
    </w:p>
    <w:p w14:paraId="519490D8" w14:textId="77777777" w:rsidR="0034590E" w:rsidRPr="00BA4F0F" w:rsidRDefault="0034590E" w:rsidP="0034590E">
      <w:pPr>
        <w:pStyle w:val="afd"/>
        <w:ind w:left="0"/>
        <w:rPr>
          <w:szCs w:val="24"/>
          <w:u w:val="single"/>
        </w:rPr>
      </w:pPr>
      <w:r w:rsidRPr="00BA4F0F">
        <w:rPr>
          <w:szCs w:val="24"/>
          <w:u w:val="single"/>
        </w:rPr>
        <w:t>Относительные противопоказания к выполнению ауто-ТГСК</w:t>
      </w:r>
      <w:bookmarkEnd w:id="145"/>
    </w:p>
    <w:p w14:paraId="4B858D2D" w14:textId="77777777" w:rsidR="0034590E" w:rsidRPr="00BA4F0F" w:rsidRDefault="0034590E" w:rsidP="0034590E">
      <w:pPr>
        <w:ind w:firstLine="567"/>
        <w:rPr>
          <w:szCs w:val="24"/>
        </w:rPr>
      </w:pPr>
      <w:r w:rsidRPr="00BA4F0F">
        <w:rPr>
          <w:szCs w:val="24"/>
        </w:rPr>
        <w:t>- инфекционные заболевания вне обострения (очаги инфекций, требующие санации);</w:t>
      </w:r>
    </w:p>
    <w:p w14:paraId="5D85E7F7" w14:textId="77777777" w:rsidR="0034590E" w:rsidRPr="00BA4F0F" w:rsidRDefault="0034590E" w:rsidP="0034590E">
      <w:pPr>
        <w:ind w:firstLine="567"/>
        <w:rPr>
          <w:szCs w:val="24"/>
        </w:rPr>
      </w:pPr>
      <w:r w:rsidRPr="00BA4F0F">
        <w:rPr>
          <w:szCs w:val="24"/>
        </w:rPr>
        <w:t>- заболевания опорно-двигательного аппарата, системы кровообращения, органов пищеварения и дыхания, мочеполовой, эндокринной и нервной систем, а также заболевания других органов и систем в стадии компенсации;</w:t>
      </w:r>
    </w:p>
    <w:p w14:paraId="7520C8CB" w14:textId="77777777" w:rsidR="0034590E" w:rsidRPr="00BA4F0F" w:rsidRDefault="0034590E" w:rsidP="0034590E">
      <w:pPr>
        <w:ind w:firstLine="567"/>
        <w:rPr>
          <w:szCs w:val="24"/>
        </w:rPr>
      </w:pPr>
      <w:r w:rsidRPr="00BA4F0F">
        <w:rPr>
          <w:szCs w:val="24"/>
        </w:rPr>
        <w:t>- возраст старше 65 лет.</w:t>
      </w:r>
    </w:p>
    <w:p w14:paraId="05C3FA54" w14:textId="77777777" w:rsidR="0034590E" w:rsidRPr="00BA4F0F" w:rsidRDefault="0034590E" w:rsidP="0034590E">
      <w:pPr>
        <w:ind w:firstLine="567"/>
        <w:rPr>
          <w:szCs w:val="24"/>
        </w:rPr>
      </w:pPr>
      <w:r w:rsidRPr="00BA4F0F">
        <w:rPr>
          <w:szCs w:val="24"/>
        </w:rPr>
        <w:t>- наличие в крови маркеров вируса иммунодефицита человека;</w:t>
      </w:r>
    </w:p>
    <w:p w14:paraId="4A670F41" w14:textId="77777777" w:rsidR="0034590E" w:rsidRPr="00BA4F0F" w:rsidRDefault="0034590E" w:rsidP="0034590E">
      <w:pPr>
        <w:rPr>
          <w:b/>
          <w:szCs w:val="24"/>
        </w:rPr>
      </w:pPr>
      <w:bookmarkStart w:id="146" w:name="_Toc44926624"/>
    </w:p>
    <w:p w14:paraId="6EC106EE" w14:textId="77777777" w:rsidR="0034590E" w:rsidRPr="00BA4F0F" w:rsidRDefault="0034590E" w:rsidP="0034590E">
      <w:pPr>
        <w:rPr>
          <w:b/>
          <w:szCs w:val="24"/>
        </w:rPr>
      </w:pPr>
      <w:r w:rsidRPr="00BA4F0F">
        <w:rPr>
          <w:b/>
          <w:szCs w:val="24"/>
        </w:rPr>
        <w:t>Обследование пациентов перед ауто-ТГСК</w:t>
      </w:r>
      <w:bookmarkEnd w:id="146"/>
    </w:p>
    <w:p w14:paraId="7E33BBE3" w14:textId="77777777" w:rsidR="0034590E" w:rsidRPr="00BA4F0F" w:rsidRDefault="0034590E" w:rsidP="0034590E">
      <w:pPr>
        <w:ind w:firstLine="284"/>
        <w:rPr>
          <w:szCs w:val="24"/>
        </w:rPr>
      </w:pPr>
      <w:r w:rsidRPr="00BA4F0F">
        <w:rPr>
          <w:szCs w:val="24"/>
        </w:rPr>
        <w:t>Перед выполнением трансплантации аутологичных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21BBF52B" w14:textId="77777777" w:rsidR="0034590E" w:rsidRPr="00BA4F0F" w:rsidRDefault="0034590E" w:rsidP="0034590E">
      <w:pPr>
        <w:pStyle w:val="afd"/>
        <w:ind w:left="0"/>
        <w:rPr>
          <w:szCs w:val="24"/>
          <w:u w:val="single"/>
        </w:rPr>
      </w:pPr>
      <w:bookmarkStart w:id="147" w:name="_Toc44926625"/>
    </w:p>
    <w:p w14:paraId="42B93648" w14:textId="77777777" w:rsidR="0034590E" w:rsidRPr="00BA4F0F" w:rsidRDefault="0034590E" w:rsidP="0034590E">
      <w:pPr>
        <w:pStyle w:val="afd"/>
        <w:ind w:left="0"/>
        <w:rPr>
          <w:szCs w:val="24"/>
          <w:u w:val="single"/>
        </w:rPr>
      </w:pPr>
      <w:r w:rsidRPr="00BA4F0F">
        <w:rPr>
          <w:szCs w:val="24"/>
          <w:u w:val="single"/>
        </w:rPr>
        <w:t>Общие методы обследования</w:t>
      </w:r>
      <w:bookmarkEnd w:id="147"/>
    </w:p>
    <w:p w14:paraId="566442D2"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Развернутый анализ крови.</w:t>
      </w:r>
    </w:p>
    <w:p w14:paraId="5F6443E2"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lastRenderedPageBreak/>
        <w:t>Биохимический анализ крови с обязательным определением: уровней общего белка, альбумина, креатинина, мочевой кислоты, калия, кальция, активности ЛДГ.</w:t>
      </w:r>
    </w:p>
    <w:p w14:paraId="248D2DE3"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Общий анализ мочи.</w:t>
      </w:r>
    </w:p>
    <w:p w14:paraId="57262FCF"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Глюкоза крови.</w:t>
      </w:r>
    </w:p>
    <w:p w14:paraId="6F0509F0"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Определение скорости клубочковой фильтрации.</w:t>
      </w:r>
    </w:p>
    <w:p w14:paraId="2F5B320D"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589BEBEC"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Пункция костного мозга с подсчетом миелограммы.</w:t>
      </w:r>
    </w:p>
    <w:p w14:paraId="70B69659"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для оценки кроветворения.</w:t>
      </w:r>
    </w:p>
    <w:p w14:paraId="27B2B777"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с применением иммуногистохимических методов для оценки состояния кроветворения и инфильтрации костного мозга опухолевыми клетками.</w:t>
      </w:r>
    </w:p>
    <w:p w14:paraId="0E350FB3"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Иммунофенотипическое исследование костного мозга методом проточной цитометрии для определения маркеров минимальной остаточной болезни.</w:t>
      </w:r>
    </w:p>
    <w:p w14:paraId="24A7F3BC"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Определение группы крови (</w:t>
      </w:r>
      <w:r w:rsidRPr="00BA4F0F">
        <w:rPr>
          <w:lang w:val="en-US"/>
        </w:rPr>
        <w:t>ABO</w:t>
      </w:r>
      <w:r w:rsidRPr="00BA4F0F">
        <w:t>, Резус, фенотип по антигенам C, c, E, e, Cw, K, k, а также определение антиэритроцитарных антител).</w:t>
      </w:r>
    </w:p>
    <w:p w14:paraId="5A3E457E"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Исследование на маркеры вирусов гепатитов</w:t>
      </w:r>
      <w:r w:rsidRPr="00BA4F0F">
        <w:rPr>
          <w:lang w:val="en-US"/>
        </w:rPr>
        <w:t> B</w:t>
      </w:r>
      <w:r w:rsidRPr="00BA4F0F">
        <w:t xml:space="preserve"> и </w:t>
      </w:r>
      <w:r w:rsidRPr="00BA4F0F">
        <w:rPr>
          <w:lang w:val="en-US"/>
        </w:rPr>
        <w:t>C</w:t>
      </w:r>
      <w:r w:rsidRPr="00BA4F0F">
        <w:t xml:space="preserve">, ВИЧ, </w:t>
      </w:r>
      <w:r w:rsidRPr="00BA4F0F">
        <w:rPr>
          <w:lang w:val="en-US"/>
        </w:rPr>
        <w:t>RW</w:t>
      </w:r>
      <w:r w:rsidRPr="00BA4F0F">
        <w:t>, ЦМВ, ЭБВ, при возможности токсоплазмы.</w:t>
      </w:r>
    </w:p>
    <w:p w14:paraId="21FCD695"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Электрокардиограмма.</w:t>
      </w:r>
    </w:p>
    <w:p w14:paraId="7BC0C381"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Эхокардиография.</w:t>
      </w:r>
    </w:p>
    <w:p w14:paraId="2D19209A"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Функция внешнего дыхания.</w:t>
      </w:r>
    </w:p>
    <w:p w14:paraId="38048DC9"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Холтеровское мониторирование сердечного ритма – при выявлении нарушений ритма и проводимости на ЭКГ.</w:t>
      </w:r>
    </w:p>
    <w:p w14:paraId="21C029B2"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УЗИ брюшной полости (комплексное).</w:t>
      </w:r>
    </w:p>
    <w:p w14:paraId="640C44B0"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Ультразвуковая допплерография сосудов (артерий и вен) нижних конечностей - при необходимости.</w:t>
      </w:r>
    </w:p>
    <w:p w14:paraId="45B40887"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Эзофагогастродуоденоскопия с биопсией – при наличии диспепсических расстройств или язвенной болезни желудка/ двенадцатиперстной кишки в анамнезе.</w:t>
      </w:r>
    </w:p>
    <w:p w14:paraId="26B7EECC"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МРТ головного мозга, придаточных пазух носа с целью выявления скрытых очагов инфекций.</w:t>
      </w:r>
    </w:p>
    <w:p w14:paraId="7950D415"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КТ органов грудной полости.</w:t>
      </w:r>
    </w:p>
    <w:p w14:paraId="2CE530E0"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lastRenderedPageBreak/>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14:paraId="6F90D5F7"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Осмотр стоматолога.</w:t>
      </w:r>
    </w:p>
    <w:p w14:paraId="226D67B5" w14:textId="77777777" w:rsidR="0034590E" w:rsidRPr="00BA4F0F" w:rsidRDefault="0034590E" w:rsidP="00A72B1B">
      <w:pPr>
        <w:pStyle w:val="Numlist"/>
        <w:numPr>
          <w:ilvl w:val="0"/>
          <w:numId w:val="54"/>
        </w:numPr>
        <w:tabs>
          <w:tab w:val="left" w:pos="284"/>
        </w:tabs>
        <w:autoSpaceDE w:val="0"/>
        <w:autoSpaceDN w:val="0"/>
        <w:adjustRightInd w:val="0"/>
        <w:spacing w:line="360" w:lineRule="auto"/>
        <w:ind w:left="0" w:firstLine="284"/>
        <w:jc w:val="both"/>
      </w:pPr>
      <w:r w:rsidRPr="00BA4F0F">
        <w:t>Осмотр гинеколога и УЗИ органов малого таза - для женщин.</w:t>
      </w:r>
    </w:p>
    <w:p w14:paraId="5A3051B6" w14:textId="77777777" w:rsidR="0034590E" w:rsidRPr="00BA4F0F" w:rsidRDefault="0034590E" w:rsidP="0034590E">
      <w:pPr>
        <w:pStyle w:val="afd"/>
        <w:ind w:left="0"/>
        <w:rPr>
          <w:szCs w:val="24"/>
          <w:u w:val="single"/>
        </w:rPr>
      </w:pPr>
      <w:bookmarkStart w:id="148" w:name="_Toc44926626"/>
    </w:p>
    <w:p w14:paraId="0ABB8D7C" w14:textId="77777777" w:rsidR="0034590E" w:rsidRDefault="0034590E" w:rsidP="0034590E">
      <w:pPr>
        <w:pStyle w:val="afd"/>
        <w:ind w:left="0"/>
        <w:rPr>
          <w:szCs w:val="24"/>
          <w:u w:val="single"/>
        </w:rPr>
      </w:pPr>
      <w:r w:rsidRPr="00BA4F0F">
        <w:rPr>
          <w:szCs w:val="24"/>
          <w:u w:val="single"/>
        </w:rPr>
        <w:t>Специальные методы обследования при</w:t>
      </w:r>
      <w:r>
        <w:rPr>
          <w:szCs w:val="24"/>
          <w:u w:val="single"/>
        </w:rPr>
        <w:t xml:space="preserve"> ФЛ</w:t>
      </w:r>
    </w:p>
    <w:bookmarkEnd w:id="148"/>
    <w:p w14:paraId="582F83C5" w14:textId="77777777" w:rsidR="0034590E" w:rsidRPr="00BA4F0F" w:rsidRDefault="0034590E" w:rsidP="00A72B1B">
      <w:pPr>
        <w:pStyle w:val="Numlist"/>
        <w:numPr>
          <w:ilvl w:val="0"/>
          <w:numId w:val="55"/>
        </w:numPr>
        <w:tabs>
          <w:tab w:val="left" w:pos="284"/>
        </w:tabs>
        <w:autoSpaceDE w:val="0"/>
        <w:autoSpaceDN w:val="0"/>
        <w:adjustRightInd w:val="0"/>
        <w:spacing w:line="360" w:lineRule="auto"/>
        <w:ind w:left="0" w:firstLine="284"/>
        <w:jc w:val="both"/>
      </w:pPr>
      <w:r w:rsidRPr="00BA4F0F">
        <w:t>Позитронно-эмиссионная томография, совмещенная с КТ.</w:t>
      </w:r>
    </w:p>
    <w:p w14:paraId="31DEFF79" w14:textId="77777777" w:rsidR="0034590E" w:rsidRPr="00BA4F0F" w:rsidRDefault="0034590E" w:rsidP="00A72B1B">
      <w:pPr>
        <w:pStyle w:val="Numlist"/>
        <w:numPr>
          <w:ilvl w:val="0"/>
          <w:numId w:val="55"/>
        </w:numPr>
        <w:tabs>
          <w:tab w:val="left" w:pos="284"/>
        </w:tabs>
        <w:autoSpaceDE w:val="0"/>
        <w:autoSpaceDN w:val="0"/>
        <w:adjustRightInd w:val="0"/>
        <w:spacing w:line="360" w:lineRule="auto"/>
        <w:ind w:left="0" w:firstLine="284"/>
        <w:jc w:val="both"/>
      </w:pPr>
      <w:r w:rsidRPr="00BA4F0F">
        <w:t>Исследование клональности (В/Т в зависимости от варианта заболевания) в периферической крови, костном мозге методом полимеразной цепной реакции.</w:t>
      </w:r>
    </w:p>
    <w:p w14:paraId="52FB95CE" w14:textId="77777777" w:rsidR="0034590E" w:rsidRPr="00BA4F0F" w:rsidRDefault="0034590E" w:rsidP="00A72B1B">
      <w:pPr>
        <w:pStyle w:val="Numlist"/>
        <w:numPr>
          <w:ilvl w:val="0"/>
          <w:numId w:val="55"/>
        </w:numPr>
        <w:tabs>
          <w:tab w:val="left" w:pos="284"/>
        </w:tabs>
        <w:autoSpaceDE w:val="0"/>
        <w:autoSpaceDN w:val="0"/>
        <w:adjustRightInd w:val="0"/>
        <w:spacing w:line="360" w:lineRule="auto"/>
        <w:ind w:left="0" w:firstLine="284"/>
        <w:jc w:val="both"/>
      </w:pPr>
      <w:r w:rsidRPr="00BA4F0F">
        <w:t>Определение уровня поликлональных иммуноглобулинов (A, G,M).</w:t>
      </w:r>
    </w:p>
    <w:p w14:paraId="18AED94E" w14:textId="77777777" w:rsidR="0034590E" w:rsidRPr="00BA4F0F" w:rsidRDefault="0034590E" w:rsidP="00A72B1B">
      <w:pPr>
        <w:pStyle w:val="Numlist"/>
        <w:numPr>
          <w:ilvl w:val="0"/>
          <w:numId w:val="55"/>
        </w:numPr>
        <w:tabs>
          <w:tab w:val="left" w:pos="284"/>
        </w:tabs>
        <w:autoSpaceDE w:val="0"/>
        <w:autoSpaceDN w:val="0"/>
        <w:adjustRightInd w:val="0"/>
        <w:spacing w:line="360" w:lineRule="auto"/>
        <w:ind w:left="0" w:firstLine="284"/>
        <w:jc w:val="both"/>
      </w:pPr>
      <w:r w:rsidRPr="00BA4F0F">
        <w:t>КТ органов грудной полости с контрастированием при первичном вовлечении средостения.</w:t>
      </w:r>
    </w:p>
    <w:p w14:paraId="06D3342C" w14:textId="77777777" w:rsidR="0034590E" w:rsidRPr="00BA4F0F" w:rsidRDefault="0034590E" w:rsidP="00A72B1B">
      <w:pPr>
        <w:pStyle w:val="Numlist"/>
        <w:numPr>
          <w:ilvl w:val="0"/>
          <w:numId w:val="55"/>
        </w:numPr>
        <w:tabs>
          <w:tab w:val="left" w:pos="284"/>
        </w:tabs>
        <w:autoSpaceDE w:val="0"/>
        <w:autoSpaceDN w:val="0"/>
        <w:adjustRightInd w:val="0"/>
        <w:spacing w:line="360" w:lineRule="auto"/>
        <w:ind w:left="0" w:firstLine="284"/>
        <w:jc w:val="both"/>
      </w:pPr>
      <w:r w:rsidRPr="00BA4F0F">
        <w:t>УЗИ периферических лимфоузлов.</w:t>
      </w:r>
    </w:p>
    <w:p w14:paraId="6F851D40" w14:textId="77777777" w:rsidR="0034590E" w:rsidRPr="00BA4F0F" w:rsidRDefault="0034590E" w:rsidP="00A72B1B">
      <w:pPr>
        <w:pStyle w:val="Numlist"/>
        <w:numPr>
          <w:ilvl w:val="0"/>
          <w:numId w:val="55"/>
        </w:numPr>
        <w:tabs>
          <w:tab w:val="left" w:pos="284"/>
        </w:tabs>
        <w:autoSpaceDE w:val="0"/>
        <w:autoSpaceDN w:val="0"/>
        <w:adjustRightInd w:val="0"/>
        <w:spacing w:line="360" w:lineRule="auto"/>
        <w:ind w:left="0" w:firstLine="284"/>
        <w:jc w:val="both"/>
      </w:pPr>
      <w:r w:rsidRPr="00BA4F0F">
        <w:t>Активность лактатдегидрогеназы.</w:t>
      </w:r>
    </w:p>
    <w:p w14:paraId="60C012F7" w14:textId="77777777" w:rsidR="0034590E" w:rsidRPr="00BA4F0F" w:rsidRDefault="0034590E" w:rsidP="00A72B1B">
      <w:pPr>
        <w:pStyle w:val="Numlist"/>
        <w:numPr>
          <w:ilvl w:val="0"/>
          <w:numId w:val="55"/>
        </w:numPr>
        <w:tabs>
          <w:tab w:val="left" w:pos="284"/>
        </w:tabs>
        <w:autoSpaceDE w:val="0"/>
        <w:autoSpaceDN w:val="0"/>
        <w:adjustRightInd w:val="0"/>
        <w:spacing w:line="360" w:lineRule="auto"/>
        <w:ind w:left="0" w:firstLine="284"/>
        <w:jc w:val="both"/>
      </w:pPr>
      <w:r w:rsidRPr="00BA4F0F">
        <w:t>КТ грудной полости/ брюшной полости/ таза – для оценки противоопухолевого ответа при отсутствии возможности выполнить ПЭТ/КТ или наличии противопоказаний.</w:t>
      </w:r>
    </w:p>
    <w:p w14:paraId="43A46B2B" w14:textId="77777777" w:rsidR="0034590E" w:rsidRDefault="0034590E" w:rsidP="0034590E">
      <w:pPr>
        <w:rPr>
          <w:b/>
          <w:szCs w:val="24"/>
        </w:rPr>
      </w:pPr>
      <w:bookmarkStart w:id="149" w:name="_Toc44926627"/>
    </w:p>
    <w:p w14:paraId="15B01782" w14:textId="77777777" w:rsidR="0034590E" w:rsidRPr="00BA4F0F" w:rsidRDefault="0034590E" w:rsidP="0034590E">
      <w:pPr>
        <w:rPr>
          <w:b/>
          <w:szCs w:val="24"/>
        </w:rPr>
      </w:pPr>
      <w:r w:rsidRPr="00BA4F0F">
        <w:rPr>
          <w:b/>
          <w:szCs w:val="24"/>
        </w:rPr>
        <w:t>Режимы предтрансплантационной подготовки при ауто-ТГСК</w:t>
      </w:r>
      <w:bookmarkEnd w:id="149"/>
      <w:r w:rsidRPr="00BA4F0F">
        <w:rPr>
          <w:b/>
          <w:szCs w:val="24"/>
        </w:rPr>
        <w:t xml:space="preserve"> </w:t>
      </w:r>
    </w:p>
    <w:p w14:paraId="1F828343" w14:textId="77777777" w:rsidR="0034590E" w:rsidRPr="00BA4F0F" w:rsidRDefault="0034590E" w:rsidP="0034590E">
      <w:pPr>
        <w:ind w:firstLine="426"/>
        <w:rPr>
          <w:szCs w:val="24"/>
        </w:rPr>
      </w:pPr>
      <w:r w:rsidRPr="00BA4F0F">
        <w:rPr>
          <w:szCs w:val="24"/>
        </w:rPr>
        <w:t>Цель высокодозной химиотерапии - устранение оставшихся после противоопухолевой терапии опухолевых клеток с минимальным токсическим воздействием на системы органов.</w:t>
      </w:r>
    </w:p>
    <w:p w14:paraId="6CF25B2F" w14:textId="19221E70" w:rsidR="0034590E" w:rsidRPr="002E7116" w:rsidRDefault="0034590E" w:rsidP="0034590E">
      <w:pPr>
        <w:ind w:firstLine="426"/>
        <w:rPr>
          <w:szCs w:val="24"/>
        </w:rPr>
      </w:pPr>
      <w:r w:rsidRPr="00BA4F0F">
        <w:rPr>
          <w:szCs w:val="24"/>
        </w:rPr>
        <w:t>Для предтрансплантационной подготовки при НХЛ, ЛХ, плазмобластной лимфоме используют режим кондиционирования BEAM, который, состоит из BCNU (300 мг / м</w:t>
      </w:r>
      <w:r w:rsidRPr="00BA4F0F">
        <w:rPr>
          <w:szCs w:val="24"/>
          <w:vertAlign w:val="superscript"/>
        </w:rPr>
        <w:t>2</w:t>
      </w:r>
      <w:r w:rsidRPr="00BA4F0F">
        <w:rPr>
          <w:szCs w:val="24"/>
        </w:rPr>
        <w:t xml:space="preserve"> × 1, день-6), VP (200 мг / м</w:t>
      </w:r>
      <w:r w:rsidRPr="00BA4F0F">
        <w:rPr>
          <w:szCs w:val="24"/>
          <w:vertAlign w:val="superscript"/>
        </w:rPr>
        <w:t>2</w:t>
      </w:r>
      <w:r w:rsidRPr="00BA4F0F">
        <w:rPr>
          <w:szCs w:val="24"/>
        </w:rPr>
        <w:t>, дни от -5 до -2), Ara-C (200 мг/м</w:t>
      </w:r>
      <w:r w:rsidRPr="00BA4F0F">
        <w:rPr>
          <w:szCs w:val="24"/>
          <w:vertAlign w:val="superscript"/>
        </w:rPr>
        <w:t xml:space="preserve">2 </w:t>
      </w:r>
      <w:r w:rsidRPr="00BA4F0F">
        <w:rPr>
          <w:szCs w:val="24"/>
        </w:rPr>
        <w:t>х дважды в день, дни от -5 до - 2), и MEL (140 мг / м</w:t>
      </w:r>
      <w:r w:rsidRPr="00BA4F0F">
        <w:rPr>
          <w:szCs w:val="24"/>
          <w:vertAlign w:val="superscript"/>
        </w:rPr>
        <w:t>2</w:t>
      </w:r>
      <w:r w:rsidRPr="00BA4F0F">
        <w:rPr>
          <w:szCs w:val="24"/>
        </w:rPr>
        <w:t xml:space="preserve">/ день × 1, дни -1) </w:t>
      </w:r>
      <w:r w:rsidRPr="00BA4F0F">
        <w:rPr>
          <w:szCs w:val="24"/>
        </w:rPr>
        <w:fldChar w:fldCharType="begin" w:fldLock="1"/>
      </w:r>
      <w:r w:rsidR="00F44253">
        <w:rPr>
          <w:szCs w:val="24"/>
        </w:rPr>
        <w:instrText>ADDIN CSL_CITATION {"citationItems":[{"id":"ITEM-1","itemData":{"ISBN":"9783030022778","author":[{"dropping-particle":"","family":"Enric Carreras","given":"Dufour Carlo","non-dropping-particle":"","parse-names":false,"suffix":""},{"dropping-particle":"","family":"Mohty Mohamad","given":"Kröger Nicolaus","non-dropping-particle":"","parse-names":false,"suffix":""}],"id":"ITEM-1","issued":{"date-parts":[["2019"]]},"number-of-pages":"702","title":"Hematopoietic Stem Cell Transplantation and Cellular Therapies","type":"book"},"uris":["http://www.mendeley.com/documents/?uuid=891fa663-7797-4301-8893-3b0a5d75b173","http://www.mendeley.com/documents/?uuid=b2895edd-cfbd-4cbf-8d9b-e50422d61d71"]},{"id":"ITEM-2","itemData":{"DOI":"10.5114/wo.2018.77046","ISSN":"1428-2526","PMID":"30150889","abstract":"Introduction BEAM (carmustine, etoposide, cytarabine, melphalan) is the most frequently used high-dose chemotherapy regimen for patients with lymphoma referred for autologous haematopoietic cell transplantation (autoHCT). Recently, a novel conditioning protocol containing bendamustine instead of carmustine (BeEAM) has been proposed to potentially increase the efficacy. Aim of the study The aim of this study was to retrospectively compare the safety profile of BEAM and BeEAM based on single-centre experience. Material and methods A total of 237 consecutive patients with lymphoma treated with either BEAM (n = 174) or BeEAM (n = 63), between the years 2011 and 2016, were included in the analysis. Clinical characteristics of both groups were comparable. Patients with Hodgkin's lymphoma (HL) constituted 49% of the BEAM group and 40% of the BeEAM group. Results Median time to neutrophil &gt; 0.5 × 109/l recovery was 10 days in both groups (p = 0.29), while median time to platelet &gt; 50 × 109/l recovery was 13 and 14 days after BEAM and BeEAM, respectively (p = 0.12). The toxicity profile was comparable except for arterial hypertension and severe hypokalaemia, which occurred more frequently after BeEAM compared to BEAM (p = 0.02 and p = 0.004, respectively). The rate of early mortality was 1.7% and 1.6%, respectively. The probabilities of the overall and progression-free survival were comparable for both groups (p = 0.73 and p = 0.55, respectively). Conclusions Administration of bendamustine instead of carmustine as part of conditioning does not affect the engraftment or the toxicity profile of the regimen. Therefore, BeEAM may be safely used in patients with lymphoma undergoing autoHCT. Its efficacy requires evaluation in prospective studies.","author":[{"dropping-particle":"","family":"Frankiewicz","given":"Andrzej","non-dropping-particle":"","parse-names":false,"suffix":""},{"dropping-particle":"","family":"Saduś-Wojciechowska","given":"Maria","non-dropping-particle":"","parse-names":false,"suffix":""},{"dropping-particle":"","family":"Najda","given":"Jacek","non-dropping-particle":"","parse-names":false,"suffix":""},{"dropping-particle":"","family":"Czerw","given":"Tomasz","non-dropping-particle":"","parse-names":false,"suffix":""},{"dropping-particle":"","family":"Mendrek","given":"Włodzimierz","non-dropping-particle":"","parse-names":false,"suffix":""},{"dropping-particle":"","family":"Sobczyk-Kruszelnicka","given":"Małgorzata","non-dropping-particle":"","parse-names":false,"suffix":""},{"dropping-particle":"","family":"Soska","given":"Katarzyna","non-dropping-particle":"","parse-names":false,"suffix":""},{"dropping-particle":"","family":"Ociepa","given":"Małgorzata","non-dropping-particle":"","parse-names":false,"suffix":""},{"dropping-particle":"","family":"Hołowiecki","given":"Jerzy","non-dropping-particle":"","parse-names":false,"suffix":""},{"dropping-particle":"","family":"Giebel","given":"Sebastian","non-dropping-particle":"","parse-names":false,"suffix":""}],"container-title":"Contemporary oncology (Poznan, Poland)","id":"ITEM-2","issue":"2","issued":{"date-parts":[["2018"]]},"page":"113-117","publisher":"Termedia Publishing","title":"Comparable safety profile of BeEAM (bendamustine, etoposide, cytarabine, melphalan) and BEAM (carmustine, etoposide, cytarabine, melphalan) as conditioning before autologous haematopoietic cell transplantation.","type":"article-journal","volume":"22"},"uris":["http://www.mendeley.com/documents/?uuid=5cbf9ec0-cb46-34bb-9da8-ba263a19a7fa","http://www.mendeley.com/documents/?uuid=fae33e18-ab1d-4ae6-86c6-c9c239bca9c9"]},{"id":"ITEM-3","itemData":{"ISSN":"0268-3369","PMID":"9313877","author":[{"dropping-particle":"","family":"Caballero","given":"M. D.","non-dropping-particle":"","parse-names":false,"suffix":""},{"dropping-particle":"","family":"Rubio","given":"V.","non-dropping-particle":"","parse-names":false,"suffix":""},{"dropping-particle":"","family":"Rifon","given":"J.","non-dropping-particle":"","parse-names":false,"suffix":""},{"dropping-particle":"","family":"Heras","given":"I.","non-dropping-particle":"","parse-names":false,"suffix":""},{"dropping-particle":"","family":"García-Sanz","given":"R.","non-dropping-particle":"","parse-names":false,"suffix":""},{"dropping-particle":"","family":"Vázquez","given":"L.","non-dropping-particle":"","parse-names":false,"suffix":""},{"dropping-particle":"","family":"Vidriales","given":"B.","non-dropping-particle":"","parse-names":false,"suffix":""},{"dropping-particle":"","family":"Cañizo","given":"M. C.","non-dropping-particle":"Del","parse-names":false,"suffix":""},{"dropping-particle":"","family":"Corral","given":"M.","non-dropping-particle":"","parse-names":false,"suffix":""},{"dropping-particle":"","family":"Gonzalez","given":"M.","non-dropping-particle":"","parse-names":false,"suffix":""},{"dropping-particle":"","family":"León","given":"A.","non-dropping-particle":"","parse-names":false,"suffix":""},{"dropping-particle":"","family":"Jean-Paul","given":"E.","non-dropping-particle":"","parse-names":false,"suffix":""},{"dropping-particle":"","family":"Rocha","given":"E.","non-dropping-particle":"","parse-names":false,"suffix":""},{"dropping-particle":"","family":"Moraleda","given":"J. M.","non-dropping-particle":"","parse-names":false,"suffix":""},{"dropping-particle":"","family":"San Miguel","given":"J. F.","non-dropping-particle":"","parse-names":false,"suffix":""}],"container-title":"Bone marrow transplantation","id":"ITEM-3","issue":"6","issued":{"date-parts":[["1997","9","2"]]},"publisher":"Bone Marrow Transplant","title":"BEAM chemotherapy followed by autologous stem cell support in lymphoma patients: analysis of efficacy, toxicity and prognostic factors","type":"article-journal","volume":"20"},"uris":["http://www.mendeley.com/documents/?uuid=fd968b64-ae15-463a-81f8-6f36410e0f73"]}],"mendeley":{"formattedCitation":"[124–126]","plainTextFormattedCitation":"[124–126]","previouslyFormattedCitation":"[124–126]"},"properties":{"noteIndex":0},"schema":"https://github.com/citation-style-language/schema/raw/master/csl-citation.json"}</w:instrText>
      </w:r>
      <w:r w:rsidRPr="00BA4F0F">
        <w:rPr>
          <w:szCs w:val="24"/>
        </w:rPr>
        <w:fldChar w:fldCharType="separate"/>
      </w:r>
      <w:r w:rsidR="004D13EB" w:rsidRPr="004D13EB">
        <w:rPr>
          <w:noProof/>
          <w:szCs w:val="24"/>
        </w:rPr>
        <w:t>[124–126]</w:t>
      </w:r>
      <w:r w:rsidRPr="00BA4F0F">
        <w:rPr>
          <w:szCs w:val="24"/>
        </w:rPr>
        <w:fldChar w:fldCharType="end"/>
      </w:r>
      <w:r w:rsidRPr="00BA4F0F">
        <w:rPr>
          <w:szCs w:val="24"/>
        </w:rPr>
        <w:t xml:space="preserve">. Схемы введения </w:t>
      </w:r>
      <w:r w:rsidRPr="002E7116">
        <w:rPr>
          <w:szCs w:val="24"/>
        </w:rPr>
        <w:t xml:space="preserve">препаратов и дозы представлены в таблице </w:t>
      </w:r>
      <w:r>
        <w:rPr>
          <w:szCs w:val="24"/>
        </w:rPr>
        <w:t>4</w:t>
      </w:r>
      <w:r w:rsidRPr="002E7116">
        <w:rPr>
          <w:szCs w:val="24"/>
        </w:rPr>
        <w:t>.</w:t>
      </w:r>
    </w:p>
    <w:p w14:paraId="28A0FC9B" w14:textId="77777777" w:rsidR="0034590E" w:rsidRPr="002E7116" w:rsidRDefault="0034590E" w:rsidP="0034590E">
      <w:pPr>
        <w:ind w:firstLine="426"/>
        <w:rPr>
          <w:szCs w:val="24"/>
        </w:rPr>
      </w:pPr>
      <w:r w:rsidRPr="002E7116">
        <w:rPr>
          <w:szCs w:val="24"/>
        </w:rPr>
        <w:t>Ранняя токсичность режима BEAM включает тяжелый мукозит, тошноту и рвоту, диарею, гепатотоксичность, нефротоксичность и неинфекционные легочные осложнения.</w:t>
      </w:r>
    </w:p>
    <w:p w14:paraId="43079AC1" w14:textId="77777777" w:rsidR="0034590E" w:rsidRPr="002E7116" w:rsidRDefault="0034590E" w:rsidP="0034590E">
      <w:pPr>
        <w:ind w:firstLine="426"/>
        <w:rPr>
          <w:szCs w:val="24"/>
        </w:rPr>
      </w:pPr>
      <w:r w:rsidRPr="002E7116">
        <w:rPr>
          <w:szCs w:val="24"/>
        </w:rPr>
        <w:t>Поздняя токсичность включает легочные осложнения, такие как хронический интерстициальный фиброз и снижение диффузионной способности легких (21%), инфекция (30%), метаболический синдром (17%), сердечно-сосудистые осложнения (12%), вторичные опухоли (20%).</w:t>
      </w:r>
    </w:p>
    <w:p w14:paraId="15C8ACCA" w14:textId="77777777" w:rsidR="0034590E" w:rsidRPr="002E7116" w:rsidRDefault="0034590E" w:rsidP="0034590E">
      <w:pPr>
        <w:ind w:firstLine="426"/>
        <w:rPr>
          <w:b/>
          <w:szCs w:val="24"/>
        </w:rPr>
      </w:pPr>
    </w:p>
    <w:p w14:paraId="4E999095" w14:textId="474B104E" w:rsidR="0034590E" w:rsidRPr="00BA4F0F" w:rsidRDefault="0034590E" w:rsidP="0034590E">
      <w:pPr>
        <w:ind w:firstLine="426"/>
        <w:rPr>
          <w:szCs w:val="24"/>
        </w:rPr>
      </w:pPr>
      <w:r w:rsidRPr="002E7116">
        <w:rPr>
          <w:szCs w:val="24"/>
        </w:rPr>
        <w:lastRenderedPageBreak/>
        <w:t xml:space="preserve">Таблица </w:t>
      </w:r>
      <w:r>
        <w:rPr>
          <w:szCs w:val="24"/>
        </w:rPr>
        <w:t>4</w:t>
      </w:r>
      <w:r w:rsidRPr="002E7116">
        <w:rPr>
          <w:szCs w:val="24"/>
        </w:rPr>
        <w:t xml:space="preserve">. Схема предтрансплантационного кондиционирования </w:t>
      </w:r>
      <w:r w:rsidRPr="002E7116">
        <w:rPr>
          <w:szCs w:val="24"/>
          <w:lang w:val="en-US"/>
        </w:rPr>
        <w:t>BEAM</w:t>
      </w:r>
      <w:r w:rsidRPr="002E7116">
        <w:rPr>
          <w:szCs w:val="24"/>
        </w:rPr>
        <w:t xml:space="preserve"> </w:t>
      </w:r>
      <w:r w:rsidRPr="002E7116">
        <w:rPr>
          <w:szCs w:val="24"/>
          <w:lang w:val="en-US"/>
        </w:rPr>
        <w:fldChar w:fldCharType="begin" w:fldLock="1"/>
      </w:r>
      <w:r w:rsidR="00F44253">
        <w:rPr>
          <w:szCs w:val="24"/>
          <w:lang w:val="en-US"/>
        </w:rPr>
        <w:instrText>ADDIN CSL_CITATION {"citationItems":[{"id":"ITEM-1","itemData":{"DOI":"10.1200/JCO.1995.13.3.588","ISSN":"0732-183X","PMID":"7884420","abstract":"PURPOSE To evaluate the outcome of patients with relapsed or resistant non-Hodgkin's lymphoma (NHL) undergoing high-dose chemotherapy and autologous bone marrow transplantation (ABMT) and to determine the main prognostic factors. PATIENTS AND METHODS One hundred seven patients with relapsed or resistant intermediate-/high-grade NHL underwent high-dose carmustine, etoposide, cytarabine, and melphalan (BEAM) chemotherapy and ABMT at University College Hospitals between September 1981 and February 1993. The minimum follow-up duration of all patients is 6 months. RESULTS At 3 months, the overall response rate to BEAM and ABMT was 73% (41% complete response and 32% partial response). The 5-year actuarial overall survival and progression-free survival rates were 41% and 35%, respectively. The early procedure-related mortality rate was 7% (eight of 107 patients). On multivariate analysis, the main prognostic factor was disease status at the time of ABMT. Patients with chemosensitive disease had an actuarial 5-year survival rate of 49% at 5 years compared with 13% for those with chemoresistant disease (P &lt; .001). For patients considered to have chemosensitive disease at the time of transplantation, there is a significant difference in the actuarial progression-free survival rates for those who received high-dose therapy after attaining a partial response to first-line therapy (69% at 5 years) as compared with those with sensitive but relapsed disease (32% at 5 years) (P = .003). CONCLUSION Patients with chemosensitive disease benefit most from high-dose chemotherapy, and those who receive such therapy early after achieving a partial response to first-line therapy have a high rate of cure.","author":[{"dropping-particle":"","family":"Mills","given":"W","non-dropping-particle":"","parse-names":false,"suffix":""},{"dropping-particle":"","family":"Chopra","given":"R","non-dropping-particle":"","parse-names":false,"suffix":""},{"dropping-particle":"","family":"McMillan","given":"A","non-dropping-particle":"","parse-names":false,"suffix":""},{"dropping-particle":"","family":"Pearce","given":"R","non-dropping-particle":"","parse-names":false,"suffix":""},{"dropping-particle":"","family":"Linch","given":"D C","non-dropping-particle":"","parse-names":false,"suffix":""},{"dropping-particle":"","family":"Goldstone","given":"A H","non-dropping-particle":"","parse-names":false,"suffix":""}],"container-title":"Journal of clinical oncology : official journal of the American Society of Clinical Oncology","id":"ITEM-1","issue":"3","issued":{"date-parts":[["1995","3"]]},"page":"588-95","publisher":"J Clin Oncol","title":"BEAM chemotherapy and autologous bone marrow transplantation for patients with relapsed or refractory non-Hodgkin's lymphoma.","type":"article-journal","volume":"13"},"uris":["http://www.mendeley.com/documents/?uuid=31ee3b3b-7e9b-351f-9bed-caba68be2117","http://www.mendeley.com/documents/?uuid=d7dd3d81-9258-4d54-8bba-a07894a41483"]},{"id":"ITEM-2","itemData":{"ISSN":"2234-943X","PMID":"31552193","author":[{"dropping-particle":"","family":"Colita","given":"Andrei","non-dropping-particle":"","parse-names":false,"suffix":""},{"dropping-particle":"","family":"Colita","given":"Anca","non-dropping-particle":"","parse-names":false,"suffix":""},{"dropping-particle":"","family":"Bumbea","given":"Horia","non-dropping-particle":"","parse-names":false,"suffix":""},{"dropping-particle":"","family":"Croitoru","given":"Adina","non-dropping-particle":"","parse-names":false,"suffix":""},{"dropping-particle":"","family":"Orban","given":"Carmen","non-dropping-particle":"","parse-names":false,"suffix":""},{"dropping-particle":"","family":"Lipan","given":"Lavinia Eugenia","non-dropping-particle":"","parse-names":false,"suffix":""},{"dropping-particle":"","family":"Craciun","given":"Oana-Gabriela","non-dropping-particle":"","parse-names":false,"suffix":""},{"dropping-particle":"","family":"Soare","given":"Dan","non-dropping-particle":"","parse-names":false,"suffix":""},{"dropping-particle":"","family":"Ghimici","given":"Cecilia","non-dropping-particle":"","parse-names":false,"suffix":""},{"dropping-particle":"","family":"Manolache","given":"Raluca","non-dropping-particle":"","parse-names":false,"suffix":""},{"dropping-particle":"","family":"Gelatu","given":"Ionel","non-dropping-particle":"","parse-names":false,"suffix":""},{"dropping-particle":"","family":"Vladareanu","given":"Ana-Maria","non-dropping-particle":"","parse-names":false,"suffix":""},{"dropping-particle":"","family":"Pasca","given":"Sergiu","non-dropping-particle":"","parse-names":false,"suffix":""},{"dropping-particle":"","family":"Teodorescu","given":"Patric","non-dropping-particle":"","parse-names":false,"suffix":""},{"dropping-particle":"","family":"Dima","given":"Delia","non-dropping-particle":"","parse-names":false,"suffix":""},{"dropping-particle":"","family":"Lupu","given":"Anca","non-dropping-particle":"","parse-names":false,"suffix":""},{"dropping-particle":"","family":"Coriu","given":"Daniel","non-dropping-particle":"","parse-names":false,"suffix":""},{"dropping-particle":"","family":"Tomuleasa","given":"Ciprian","non-dropping-particle":"","parse-names":false,"suffix":""},{"dropping-particle":"","family":"Tanase","given":"Alina","non-dropping-particle":"","parse-names":false,"suffix":""}],"container-title":"Frontiers in oncology","id":"ITEM-2","issued":{"date-parts":[["2019","9","10"]]},"page":"892","publisher":"Front Oncol","title":"LEAM vs. BEAM vs. CLV Conditioning Regimen for Autologous Stem Cell Transplantation in Malignant Lymphomas. Retrospective Comparison of Toxicity and Efficacy on 222 Patients in the First 100 Days After Transplant, On Behalf of the Romanian Society for Bon","type":"article-journal","volume":"9"},"uris":["http://www.mendeley.com/documents/?uuid=c53df651-72c5-4bae-be62-d061ccde0a8e"]},{"id":"ITEM-3","itemData":{"ISBN":"9783030022778","author":[{"dropping-particle":"","family":"Enric Carreras","given":"Dufour Carlo","non-dropping-particle":"","parse-names":false,"suffix":""},{"dropping-particle":"","family":"Mohty Mohamad","given":"Kröger Nicolaus","non-dropping-particle":"","parse-names":false,"suffix":""}],"id":"ITEM-3","issued":{"date-parts":[["2019"]]},"number-of-pages":"702","title":"Hematopoietic Stem Cell Transplantation and Cellular Therapies","type":"book"},"uris":["http://www.mendeley.com/documents/?uuid=b2895edd-cfbd-4cbf-8d9b-e50422d61d71","http://www.mendeley.com/documents/?uuid=891fa663-7797-4301-8893-3b0a5d75b173"]},{"id":"ITEM-4","itemData":{"DOI":"10.5114/wo.2018.77046","ISSN":"1428-2526","PMID":"30150889","abstract":"Introduction BEAM (carmustine, etoposide, cytarabine, melphalan) is the most frequently used high-dose chemotherapy regimen for patients with lymphoma referred for autologous haematopoietic cell transplantation (autoHCT). Recently, a novel conditioning protocol containing bendamustine instead of carmustine (BeEAM) has been proposed to potentially increase the efficacy. Aim of the study The aim of this study was to retrospectively compare the safety profile of BEAM and BeEAM based on single-centre experience. Material and methods A total of 237 consecutive patients with lymphoma treated with either BEAM (n = 174) or BeEAM (n = 63), between the years 2011 and 2016, were included in the analysis. Clinical characteristics of both groups were comparable. Patients with Hodgkin's lymphoma (HL) constituted 49% of the BEAM group and 40% of the BeEAM group. Results Median time to neutrophil &gt; 0.5 × 109/l recovery was 10 days in both groups (p = 0.29), while median time to platelet &gt; 50 × 109/l recovery was 13 and 14 days after BEAM and BeEAM, respectively (p = 0.12). The toxicity profile was comparable except for arterial hypertension and severe hypokalaemia, which occurred more frequently after BeEAM compared to BEAM (p = 0.02 and p = 0.004, respectively). The rate of early mortality was 1.7% and 1.6%, respectively. The probabilities of the overall and progression-free survival were comparable for both groups (p = 0.73 and p = 0.55, respectively). Conclusions Administration of bendamustine instead of carmustine as part of conditioning does not affect the engraftment or the toxicity profile of the regimen. Therefore, BeEAM may be safely used in patients with lymphoma undergoing autoHCT. Its efficacy requires evaluation in prospective studies.","author":[{"dropping-particle":"","family":"Frankiewicz","given":"Andrzej","non-dropping-particle":"","parse-names":false,"suffix":""},{"dropping-particle":"","family":"Saduś-Wojciechowska","given":"Maria","non-dropping-particle":"","parse-names":false,"suffix":""},{"dropping-particle":"","family":"Najda","given":"Jacek","non-dropping-particle":"","parse-names":false,"suffix":""},{"dropping-particle":"","family":"Czerw","given":"Tomasz","non-dropping-particle":"","parse-names":false,"suffix":""},{"dropping-particle":"","family":"Mendrek","given":"Włodzimierz","non-dropping-particle":"","parse-names":false,"suffix":""},{"dropping-particle":"","family":"Sobczyk-Kruszelnicka","given":"Małgorzata","non-dropping-particle":"","parse-names":false,"suffix":""},{"dropping-particle":"","family":"Soska","given":"Katarzyna","non-dropping-particle":"","parse-names":false,"suffix":""},{"dropping-particle":"","family":"Ociepa","given":"Małgorzata","non-dropping-particle":"","parse-names":false,"suffix":""},{"dropping-particle":"","family":"Hołowiecki","given":"Jerzy","non-dropping-particle":"","parse-names":false,"suffix":""},{"dropping-particle":"","family":"Giebel","given":"Sebastian","non-dropping-particle":"","parse-names":false,"suffix":""}],"container-title":"Contemporary oncology (Poznan, Poland)","id":"ITEM-4","issue":"2","issued":{"date-parts":[["2018"]]},"page":"113-117","publisher":"Termedia Publishing","title":"Comparable safety profile of BeEAM (bendamustine, etoposide, cytarabine, melphalan) and BEAM (carmustine, etoposide, cytarabine, melphalan) as conditioning before autologous haematopoietic cell transplantation.","type":"article-journal","volume":"22"},"uris":["http://www.mendeley.com/documents/?uuid=fae33e18-ab1d-4ae6-86c6-c9c239bca9c9","http://www.mendeley.com/documents/?uuid=5cbf9ec0-cb46-34bb-9da8-ba263a19a7fa","http://www.mendeley.com/documents/?uuid=16329f66-6ee6-49a6-bcf0-a4309ffb9b19"]},{"id":"ITEM-5","itemData":{"ISSN":"0268-3369","PMID":"9313877","author":[{"dropping-particle":"","family":"Caballero","given":"M. D.","non-dropping-particle":"","parse-names":false,"suffix":""},{"dropping-particle":"","family":"Rubio","given":"V.","non-dropping-particle":"","parse-names":false,"suffix":""},{"dropping-particle":"","family":"Rifon","given":"J.","non-dropping-particle":"","parse-names":false,"suffix":""},{"dropping-particle":"","family":"Heras","given":"I.","non-dropping-particle":"","parse-names":false,"suffix":""},{"dropping-particle":"","family":"García-Sanz","given":"R.","non-dropping-particle":"","parse-names":false,"suffix":""},{"dropping-particle":"","family":"Vázquez","given":"L.","non-dropping-particle":"","parse-names":false,"suffix":""},{"dropping-particle":"","family":"Vidriales","given":"B.","non-dropping-particle":"","parse-names":false,"suffix":""},{"dropping-particle":"","family":"Cañizo","given":"M. C.","non-dropping-particle":"Del","parse-names":false,"suffix":""},{"dropping-particle":"","family":"Corral","given":"M.","non-dropping-particle":"","parse-names":false,"suffix":""},{"dropping-particle":"","family":"Gonzalez","given":"M.","non-dropping-particle":"","parse-names":false,"suffix":""},{"dropping-particle":"","family":"León","given":"A.","non-dropping-particle":"","parse-names":false,"suffix":""},{"dropping-particle":"","family":"Jean-Paul","given":"E.","non-dropping-particle":"","parse-names":false,"suffix":""},{"dropping-particle":"","family":"Rocha","given":"E.","non-dropping-particle":"","parse-names":false,"suffix":""},{"dropping-particle":"","family":"Moraleda","given":"J. M.","non-dropping-particle":"","parse-names":false,"suffix":""},{"dropping-particle":"","family":"San Miguel","given":"J. F.","non-dropping-particle":"","parse-names":false,"suffix":""}],"container-title":"Bone marrow transplantation","id":"ITEM-5","issue":"6","issued":{"date-parts":[["1997","9","2"]]},"publisher":"Bone Marrow Transplant","title":"BEAM chemotherapy followed by autologous stem cell support in lymphoma patients: analysis of efficacy, toxicity and prognostic factors","type":"article-journal","volume":"20"},"uris":["http://www.mendeley.com/documents/?uuid=fd968b64-ae15-463a-81f8-6f36410e0f73"]}],"mendeley":{"formattedCitation":"[124–128]","plainTextFormattedCitation":"[124–128]","previouslyFormattedCitation":"[124–128]"},"properties":{"noteIndex":0},"schema":"https://github.com/citation-style-language/schema/raw/master/csl-citation.json"}</w:instrText>
      </w:r>
      <w:r w:rsidRPr="002E7116">
        <w:rPr>
          <w:szCs w:val="24"/>
          <w:lang w:val="en-US"/>
        </w:rPr>
        <w:fldChar w:fldCharType="separate"/>
      </w:r>
      <w:r w:rsidR="004D13EB" w:rsidRPr="004D13EB">
        <w:rPr>
          <w:noProof/>
          <w:szCs w:val="24"/>
        </w:rPr>
        <w:t>[124–128]</w:t>
      </w:r>
      <w:r w:rsidRPr="002E7116">
        <w:rPr>
          <w:szCs w:val="24"/>
          <w:lang w:val="en-US"/>
        </w:rPr>
        <w:fldChar w:fldCharType="end"/>
      </w:r>
    </w:p>
    <w:tbl>
      <w:tblPr>
        <w:tblStyle w:val="aff8"/>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34590E" w:rsidRPr="00BA4F0F" w14:paraId="54DF6C5E" w14:textId="77777777" w:rsidTr="00EC1C67">
        <w:tc>
          <w:tcPr>
            <w:tcW w:w="1418" w:type="dxa"/>
          </w:tcPr>
          <w:p w14:paraId="744C7DBE" w14:textId="77777777" w:rsidR="0034590E" w:rsidRPr="00BA4F0F" w:rsidRDefault="0034590E" w:rsidP="00EC1C67">
            <w:pPr>
              <w:pStyle w:val="afd"/>
              <w:ind w:left="0" w:firstLine="0"/>
              <w:rPr>
                <w:szCs w:val="24"/>
              </w:rPr>
            </w:pPr>
            <w:r w:rsidRPr="00BA4F0F">
              <w:rPr>
                <w:szCs w:val="24"/>
              </w:rPr>
              <w:t>Препарат</w:t>
            </w:r>
          </w:p>
        </w:tc>
        <w:tc>
          <w:tcPr>
            <w:tcW w:w="1701" w:type="dxa"/>
          </w:tcPr>
          <w:p w14:paraId="3580C528" w14:textId="77777777" w:rsidR="0034590E" w:rsidRPr="00BA4F0F" w:rsidRDefault="0034590E" w:rsidP="00EC1C67">
            <w:pPr>
              <w:pStyle w:val="afd"/>
              <w:ind w:left="0" w:firstLine="0"/>
              <w:rPr>
                <w:szCs w:val="24"/>
              </w:rPr>
            </w:pPr>
            <w:r w:rsidRPr="00BA4F0F">
              <w:rPr>
                <w:szCs w:val="24"/>
              </w:rPr>
              <w:t>Дни введения перед ауто-ТГСК</w:t>
            </w:r>
          </w:p>
        </w:tc>
        <w:tc>
          <w:tcPr>
            <w:tcW w:w="1134" w:type="dxa"/>
          </w:tcPr>
          <w:p w14:paraId="28184EFF" w14:textId="77777777" w:rsidR="0034590E" w:rsidRPr="00BA4F0F" w:rsidRDefault="0034590E" w:rsidP="00EC1C67">
            <w:pPr>
              <w:pStyle w:val="afd"/>
              <w:ind w:left="0" w:firstLine="0"/>
              <w:rPr>
                <w:szCs w:val="24"/>
              </w:rPr>
            </w:pPr>
            <w:r w:rsidRPr="00BA4F0F">
              <w:rPr>
                <w:szCs w:val="24"/>
              </w:rPr>
              <w:t>Разовая доза</w:t>
            </w:r>
          </w:p>
        </w:tc>
        <w:tc>
          <w:tcPr>
            <w:tcW w:w="1276" w:type="dxa"/>
          </w:tcPr>
          <w:p w14:paraId="479B60B5" w14:textId="77777777" w:rsidR="0034590E" w:rsidRPr="00BA4F0F" w:rsidRDefault="0034590E" w:rsidP="00EC1C67">
            <w:pPr>
              <w:pStyle w:val="afd"/>
              <w:ind w:left="0" w:firstLine="0"/>
              <w:rPr>
                <w:szCs w:val="24"/>
              </w:rPr>
            </w:pPr>
            <w:r w:rsidRPr="00BA4F0F">
              <w:rPr>
                <w:szCs w:val="24"/>
              </w:rPr>
              <w:t>Суточная доза</w:t>
            </w:r>
          </w:p>
        </w:tc>
        <w:tc>
          <w:tcPr>
            <w:tcW w:w="1275" w:type="dxa"/>
          </w:tcPr>
          <w:p w14:paraId="2ED9D1F4" w14:textId="77777777" w:rsidR="0034590E" w:rsidRPr="00BA4F0F" w:rsidRDefault="0034590E" w:rsidP="00EC1C67">
            <w:pPr>
              <w:pStyle w:val="afd"/>
              <w:ind w:left="0" w:firstLine="0"/>
              <w:rPr>
                <w:szCs w:val="24"/>
              </w:rPr>
            </w:pPr>
            <w:r w:rsidRPr="00BA4F0F">
              <w:rPr>
                <w:szCs w:val="24"/>
              </w:rPr>
              <w:t>Курсовая доза</w:t>
            </w:r>
          </w:p>
        </w:tc>
        <w:tc>
          <w:tcPr>
            <w:tcW w:w="2659" w:type="dxa"/>
          </w:tcPr>
          <w:p w14:paraId="75583B14" w14:textId="77777777" w:rsidR="0034590E" w:rsidRPr="00BA4F0F" w:rsidRDefault="0034590E" w:rsidP="00EC1C67">
            <w:pPr>
              <w:pStyle w:val="afd"/>
              <w:ind w:left="0" w:firstLine="0"/>
              <w:rPr>
                <w:szCs w:val="24"/>
              </w:rPr>
            </w:pPr>
            <w:r w:rsidRPr="00BA4F0F">
              <w:rPr>
                <w:szCs w:val="24"/>
              </w:rPr>
              <w:t>Особенности введения</w:t>
            </w:r>
          </w:p>
        </w:tc>
      </w:tr>
      <w:tr w:rsidR="0034590E" w:rsidRPr="00BA4F0F" w14:paraId="7CB91B8E" w14:textId="77777777" w:rsidTr="00EC1C67">
        <w:tc>
          <w:tcPr>
            <w:tcW w:w="1418" w:type="dxa"/>
          </w:tcPr>
          <w:p w14:paraId="1A4D46F7" w14:textId="77777777" w:rsidR="0034590E" w:rsidRPr="00BA4F0F" w:rsidRDefault="0034590E" w:rsidP="00EC1C67">
            <w:pPr>
              <w:pStyle w:val="afd"/>
              <w:ind w:left="0" w:firstLine="0"/>
              <w:jc w:val="center"/>
              <w:rPr>
                <w:szCs w:val="24"/>
              </w:rPr>
            </w:pPr>
            <w:r w:rsidRPr="00BA4F0F">
              <w:rPr>
                <w:szCs w:val="24"/>
              </w:rPr>
              <w:t>Кармустин</w:t>
            </w:r>
          </w:p>
        </w:tc>
        <w:tc>
          <w:tcPr>
            <w:tcW w:w="1701" w:type="dxa"/>
          </w:tcPr>
          <w:p w14:paraId="21A82C07" w14:textId="77777777" w:rsidR="0034590E" w:rsidRPr="00BA4F0F" w:rsidRDefault="0034590E" w:rsidP="00EC1C67">
            <w:pPr>
              <w:pStyle w:val="afd"/>
              <w:ind w:left="0" w:firstLine="0"/>
              <w:jc w:val="center"/>
              <w:rPr>
                <w:szCs w:val="24"/>
              </w:rPr>
            </w:pPr>
            <w:r w:rsidRPr="00BA4F0F">
              <w:rPr>
                <w:szCs w:val="24"/>
              </w:rPr>
              <w:t>-6 день</w:t>
            </w:r>
          </w:p>
        </w:tc>
        <w:tc>
          <w:tcPr>
            <w:tcW w:w="1134" w:type="dxa"/>
          </w:tcPr>
          <w:p w14:paraId="4BADC828" w14:textId="77777777" w:rsidR="0034590E" w:rsidRPr="00BA4F0F" w:rsidRDefault="0034590E" w:rsidP="00EC1C67">
            <w:pPr>
              <w:pStyle w:val="afd"/>
              <w:ind w:left="0" w:firstLine="0"/>
              <w:jc w:val="center"/>
              <w:rPr>
                <w:szCs w:val="24"/>
              </w:rPr>
            </w:pPr>
            <w:r w:rsidRPr="00BA4F0F">
              <w:rPr>
                <w:szCs w:val="24"/>
              </w:rPr>
              <w:t>300мг/м</w:t>
            </w:r>
            <w:r w:rsidRPr="00BA4F0F">
              <w:rPr>
                <w:szCs w:val="24"/>
                <w:vertAlign w:val="superscript"/>
              </w:rPr>
              <w:t>2</w:t>
            </w:r>
          </w:p>
        </w:tc>
        <w:tc>
          <w:tcPr>
            <w:tcW w:w="1276" w:type="dxa"/>
          </w:tcPr>
          <w:p w14:paraId="64E48889" w14:textId="77777777" w:rsidR="0034590E" w:rsidRPr="00BA4F0F" w:rsidRDefault="0034590E" w:rsidP="00EC1C67">
            <w:pPr>
              <w:pStyle w:val="afd"/>
              <w:ind w:left="0" w:firstLine="0"/>
              <w:jc w:val="center"/>
              <w:rPr>
                <w:szCs w:val="24"/>
              </w:rPr>
            </w:pPr>
            <w:r w:rsidRPr="00BA4F0F">
              <w:rPr>
                <w:szCs w:val="24"/>
              </w:rPr>
              <w:t>300 мг/м</w:t>
            </w:r>
            <w:r w:rsidRPr="00BA4F0F">
              <w:rPr>
                <w:szCs w:val="24"/>
                <w:vertAlign w:val="superscript"/>
              </w:rPr>
              <w:t>2</w:t>
            </w:r>
          </w:p>
        </w:tc>
        <w:tc>
          <w:tcPr>
            <w:tcW w:w="1275" w:type="dxa"/>
          </w:tcPr>
          <w:p w14:paraId="2E56E017" w14:textId="77777777" w:rsidR="0034590E" w:rsidRPr="00BA4F0F" w:rsidRDefault="0034590E" w:rsidP="00EC1C67">
            <w:pPr>
              <w:pStyle w:val="afd"/>
              <w:ind w:left="0" w:firstLine="0"/>
              <w:jc w:val="center"/>
              <w:rPr>
                <w:szCs w:val="24"/>
              </w:rPr>
            </w:pPr>
            <w:r w:rsidRPr="00BA4F0F">
              <w:rPr>
                <w:szCs w:val="24"/>
              </w:rPr>
              <w:t>300 мг/м</w:t>
            </w:r>
            <w:r w:rsidRPr="00BA4F0F">
              <w:rPr>
                <w:szCs w:val="24"/>
                <w:vertAlign w:val="superscript"/>
              </w:rPr>
              <w:t>2</w:t>
            </w:r>
          </w:p>
        </w:tc>
        <w:tc>
          <w:tcPr>
            <w:tcW w:w="2659" w:type="dxa"/>
          </w:tcPr>
          <w:p w14:paraId="55DF908C" w14:textId="77777777" w:rsidR="0034590E" w:rsidRPr="00BA4F0F" w:rsidRDefault="0034590E" w:rsidP="00EC1C67">
            <w:pPr>
              <w:pStyle w:val="afd"/>
              <w:ind w:left="0" w:firstLine="0"/>
              <w:rPr>
                <w:szCs w:val="24"/>
              </w:rPr>
            </w:pPr>
            <w:r w:rsidRPr="00BA4F0F">
              <w:rPr>
                <w:szCs w:val="24"/>
              </w:rPr>
              <w:t xml:space="preserve">Вводится в/в в виде инфузии в течение 2 ч в 500 мл 0,9% </w:t>
            </w:r>
            <w:r w:rsidRPr="00BA4F0F">
              <w:rPr>
                <w:szCs w:val="24"/>
                <w:lang w:val="en-US"/>
              </w:rPr>
              <w:t>NaCl</w:t>
            </w:r>
          </w:p>
        </w:tc>
      </w:tr>
      <w:tr w:rsidR="0034590E" w:rsidRPr="00BA4F0F" w14:paraId="64C179DC" w14:textId="77777777" w:rsidTr="00EC1C67">
        <w:tc>
          <w:tcPr>
            <w:tcW w:w="1418" w:type="dxa"/>
          </w:tcPr>
          <w:p w14:paraId="6463087A" w14:textId="77777777" w:rsidR="0034590E" w:rsidRPr="00BA4F0F" w:rsidRDefault="0034590E" w:rsidP="00EC1C67">
            <w:pPr>
              <w:pStyle w:val="afd"/>
              <w:ind w:left="0" w:firstLine="0"/>
              <w:jc w:val="center"/>
              <w:rPr>
                <w:szCs w:val="24"/>
              </w:rPr>
            </w:pPr>
            <w:r w:rsidRPr="00BA4F0F">
              <w:rPr>
                <w:szCs w:val="24"/>
              </w:rPr>
              <w:t>Этопозид</w:t>
            </w:r>
          </w:p>
        </w:tc>
        <w:tc>
          <w:tcPr>
            <w:tcW w:w="1701" w:type="dxa"/>
          </w:tcPr>
          <w:p w14:paraId="46490DC1" w14:textId="77777777" w:rsidR="0034590E" w:rsidRPr="00BA4F0F" w:rsidRDefault="0034590E" w:rsidP="00EC1C67">
            <w:pPr>
              <w:pStyle w:val="afd"/>
              <w:ind w:left="0" w:firstLine="0"/>
              <w:jc w:val="center"/>
              <w:rPr>
                <w:szCs w:val="24"/>
              </w:rPr>
            </w:pPr>
            <w:r w:rsidRPr="00BA4F0F">
              <w:rPr>
                <w:szCs w:val="24"/>
              </w:rPr>
              <w:t>-5, -4, -3, -2 дни</w:t>
            </w:r>
          </w:p>
        </w:tc>
        <w:tc>
          <w:tcPr>
            <w:tcW w:w="1134" w:type="dxa"/>
          </w:tcPr>
          <w:p w14:paraId="7BA1925B" w14:textId="77777777" w:rsidR="0034590E" w:rsidRPr="00BA4F0F" w:rsidRDefault="0034590E" w:rsidP="00EC1C67">
            <w:pPr>
              <w:pStyle w:val="afd"/>
              <w:ind w:left="0" w:firstLine="0"/>
              <w:jc w:val="center"/>
              <w:rPr>
                <w:szCs w:val="24"/>
              </w:rPr>
            </w:pPr>
            <w:r w:rsidRPr="00BA4F0F">
              <w:rPr>
                <w:szCs w:val="24"/>
              </w:rPr>
              <w:t>200мг/м</w:t>
            </w:r>
            <w:r w:rsidRPr="00BA4F0F">
              <w:rPr>
                <w:szCs w:val="24"/>
                <w:vertAlign w:val="superscript"/>
              </w:rPr>
              <w:t>2</w:t>
            </w:r>
          </w:p>
        </w:tc>
        <w:tc>
          <w:tcPr>
            <w:tcW w:w="1276" w:type="dxa"/>
          </w:tcPr>
          <w:p w14:paraId="0078A6D2" w14:textId="77777777" w:rsidR="0034590E" w:rsidRPr="00BA4F0F" w:rsidRDefault="0034590E" w:rsidP="00EC1C67">
            <w:pPr>
              <w:pStyle w:val="afd"/>
              <w:ind w:left="0" w:firstLine="0"/>
              <w:jc w:val="center"/>
              <w:rPr>
                <w:szCs w:val="24"/>
              </w:rPr>
            </w:pPr>
            <w:r w:rsidRPr="00BA4F0F">
              <w:rPr>
                <w:szCs w:val="24"/>
              </w:rPr>
              <w:t>200 мг/м</w:t>
            </w:r>
            <w:r w:rsidRPr="00BA4F0F">
              <w:rPr>
                <w:szCs w:val="24"/>
                <w:vertAlign w:val="superscript"/>
              </w:rPr>
              <w:t>2</w:t>
            </w:r>
          </w:p>
        </w:tc>
        <w:tc>
          <w:tcPr>
            <w:tcW w:w="1275" w:type="dxa"/>
          </w:tcPr>
          <w:p w14:paraId="2FA48036" w14:textId="77777777" w:rsidR="0034590E" w:rsidRPr="00BA4F0F" w:rsidRDefault="0034590E" w:rsidP="00EC1C67">
            <w:pPr>
              <w:pStyle w:val="afd"/>
              <w:ind w:left="0" w:firstLine="0"/>
              <w:jc w:val="center"/>
              <w:rPr>
                <w:szCs w:val="24"/>
              </w:rPr>
            </w:pPr>
            <w:r w:rsidRPr="00BA4F0F">
              <w:rPr>
                <w:szCs w:val="24"/>
              </w:rPr>
              <w:t>800 мг/м</w:t>
            </w:r>
            <w:r w:rsidRPr="00BA4F0F">
              <w:rPr>
                <w:szCs w:val="24"/>
                <w:vertAlign w:val="superscript"/>
              </w:rPr>
              <w:t>2</w:t>
            </w:r>
          </w:p>
        </w:tc>
        <w:tc>
          <w:tcPr>
            <w:tcW w:w="2659" w:type="dxa"/>
          </w:tcPr>
          <w:p w14:paraId="54D75AC1" w14:textId="77777777" w:rsidR="0034590E" w:rsidRPr="00BA4F0F" w:rsidRDefault="0034590E" w:rsidP="00EC1C67">
            <w:pPr>
              <w:pStyle w:val="afd"/>
              <w:ind w:left="0" w:firstLine="0"/>
              <w:rPr>
                <w:szCs w:val="24"/>
              </w:rPr>
            </w:pPr>
            <w:r w:rsidRPr="00BA4F0F">
              <w:rPr>
                <w:szCs w:val="24"/>
              </w:rPr>
              <w:t xml:space="preserve">Вводится в/в в виде инфузии в течение 30 минут в 500 мл 0,9% </w:t>
            </w:r>
            <w:r w:rsidRPr="00BA4F0F">
              <w:rPr>
                <w:szCs w:val="24"/>
                <w:lang w:val="en-US"/>
              </w:rPr>
              <w:t>NaCl</w:t>
            </w:r>
          </w:p>
        </w:tc>
      </w:tr>
      <w:tr w:rsidR="0034590E" w:rsidRPr="00BA4F0F" w14:paraId="5E112147" w14:textId="77777777" w:rsidTr="00EC1C67">
        <w:tc>
          <w:tcPr>
            <w:tcW w:w="1418" w:type="dxa"/>
          </w:tcPr>
          <w:p w14:paraId="6D6CEA0D" w14:textId="77777777" w:rsidR="0034590E" w:rsidRPr="00BA4F0F" w:rsidRDefault="0034590E" w:rsidP="00EC1C67">
            <w:pPr>
              <w:pStyle w:val="afd"/>
              <w:ind w:left="0" w:firstLine="0"/>
              <w:jc w:val="center"/>
              <w:rPr>
                <w:szCs w:val="24"/>
              </w:rPr>
            </w:pPr>
            <w:r w:rsidRPr="00BA4F0F">
              <w:rPr>
                <w:szCs w:val="24"/>
              </w:rPr>
              <w:t>Цитарабин</w:t>
            </w:r>
          </w:p>
        </w:tc>
        <w:tc>
          <w:tcPr>
            <w:tcW w:w="1701" w:type="dxa"/>
          </w:tcPr>
          <w:p w14:paraId="065BDB9A" w14:textId="77777777" w:rsidR="0034590E" w:rsidRPr="00BA4F0F" w:rsidRDefault="0034590E" w:rsidP="00EC1C67">
            <w:pPr>
              <w:pStyle w:val="afd"/>
              <w:ind w:left="0" w:firstLine="0"/>
              <w:jc w:val="center"/>
              <w:rPr>
                <w:szCs w:val="24"/>
              </w:rPr>
            </w:pPr>
            <w:r w:rsidRPr="00BA4F0F">
              <w:rPr>
                <w:szCs w:val="24"/>
              </w:rPr>
              <w:t>-5, -4, -3, -2 дни</w:t>
            </w:r>
          </w:p>
        </w:tc>
        <w:tc>
          <w:tcPr>
            <w:tcW w:w="1134" w:type="dxa"/>
          </w:tcPr>
          <w:p w14:paraId="0D04658F" w14:textId="77777777" w:rsidR="0034590E" w:rsidRPr="00BA4F0F" w:rsidRDefault="0034590E" w:rsidP="00EC1C67">
            <w:pPr>
              <w:pStyle w:val="afd"/>
              <w:ind w:left="0" w:firstLine="0"/>
              <w:jc w:val="center"/>
              <w:rPr>
                <w:szCs w:val="24"/>
              </w:rPr>
            </w:pPr>
            <w:r w:rsidRPr="00BA4F0F">
              <w:rPr>
                <w:szCs w:val="24"/>
              </w:rPr>
              <w:t>200мг/м</w:t>
            </w:r>
            <w:r w:rsidRPr="00BA4F0F">
              <w:rPr>
                <w:szCs w:val="24"/>
                <w:vertAlign w:val="superscript"/>
              </w:rPr>
              <w:t>2</w:t>
            </w:r>
          </w:p>
        </w:tc>
        <w:tc>
          <w:tcPr>
            <w:tcW w:w="1276" w:type="dxa"/>
          </w:tcPr>
          <w:p w14:paraId="7CB8E4C7" w14:textId="77777777" w:rsidR="0034590E" w:rsidRPr="00BA4F0F" w:rsidRDefault="0034590E" w:rsidP="00EC1C67">
            <w:pPr>
              <w:pStyle w:val="afd"/>
              <w:ind w:left="0" w:firstLine="0"/>
              <w:jc w:val="center"/>
              <w:rPr>
                <w:szCs w:val="24"/>
              </w:rPr>
            </w:pPr>
            <w:r w:rsidRPr="00BA4F0F">
              <w:rPr>
                <w:szCs w:val="24"/>
              </w:rPr>
              <w:t>400 мг/ м</w:t>
            </w:r>
            <w:r w:rsidRPr="00BA4F0F">
              <w:rPr>
                <w:szCs w:val="24"/>
                <w:vertAlign w:val="superscript"/>
              </w:rPr>
              <w:t>2</w:t>
            </w:r>
          </w:p>
        </w:tc>
        <w:tc>
          <w:tcPr>
            <w:tcW w:w="1275" w:type="dxa"/>
          </w:tcPr>
          <w:p w14:paraId="5C2DB195" w14:textId="77777777" w:rsidR="0034590E" w:rsidRPr="00BA4F0F" w:rsidRDefault="0034590E" w:rsidP="00EC1C67">
            <w:pPr>
              <w:pStyle w:val="afd"/>
              <w:ind w:left="0" w:firstLine="0"/>
              <w:jc w:val="center"/>
              <w:rPr>
                <w:szCs w:val="24"/>
              </w:rPr>
            </w:pPr>
            <w:r w:rsidRPr="00BA4F0F">
              <w:rPr>
                <w:szCs w:val="24"/>
              </w:rPr>
              <w:t>1600 мг/м</w:t>
            </w:r>
            <w:r w:rsidRPr="00BA4F0F">
              <w:rPr>
                <w:szCs w:val="24"/>
                <w:vertAlign w:val="superscript"/>
              </w:rPr>
              <w:t>2</w:t>
            </w:r>
          </w:p>
        </w:tc>
        <w:tc>
          <w:tcPr>
            <w:tcW w:w="2659" w:type="dxa"/>
          </w:tcPr>
          <w:p w14:paraId="600294BE" w14:textId="77777777" w:rsidR="0034590E" w:rsidRPr="00BA4F0F" w:rsidRDefault="0034590E" w:rsidP="00EC1C67">
            <w:pPr>
              <w:pStyle w:val="afd"/>
              <w:ind w:left="0" w:firstLine="0"/>
              <w:rPr>
                <w:szCs w:val="24"/>
              </w:rPr>
            </w:pPr>
            <w:r w:rsidRPr="00BA4F0F">
              <w:rPr>
                <w:szCs w:val="24"/>
              </w:rPr>
              <w:t xml:space="preserve">Вводится в/в в виде инфузии в течение 30 минут в 500 мл 0,9% </w:t>
            </w:r>
            <w:r w:rsidRPr="00BA4F0F">
              <w:rPr>
                <w:szCs w:val="24"/>
                <w:lang w:val="en-US"/>
              </w:rPr>
              <w:t>NaCl</w:t>
            </w:r>
          </w:p>
        </w:tc>
      </w:tr>
      <w:tr w:rsidR="0034590E" w:rsidRPr="00BA4F0F" w14:paraId="6C6824D8" w14:textId="77777777" w:rsidTr="00EC1C67">
        <w:tc>
          <w:tcPr>
            <w:tcW w:w="1418" w:type="dxa"/>
          </w:tcPr>
          <w:p w14:paraId="52367BFB" w14:textId="77777777" w:rsidR="0034590E" w:rsidRPr="00BA4F0F" w:rsidRDefault="0034590E" w:rsidP="00EC1C67">
            <w:pPr>
              <w:pStyle w:val="afd"/>
              <w:ind w:left="0" w:firstLine="0"/>
              <w:jc w:val="center"/>
              <w:rPr>
                <w:szCs w:val="24"/>
              </w:rPr>
            </w:pPr>
            <w:r w:rsidRPr="00BA4F0F">
              <w:rPr>
                <w:szCs w:val="24"/>
              </w:rPr>
              <w:t>Мелфалан</w:t>
            </w:r>
          </w:p>
        </w:tc>
        <w:tc>
          <w:tcPr>
            <w:tcW w:w="1701" w:type="dxa"/>
          </w:tcPr>
          <w:p w14:paraId="0F3F2833" w14:textId="77777777" w:rsidR="0034590E" w:rsidRPr="00BA4F0F" w:rsidRDefault="0034590E" w:rsidP="00EC1C67">
            <w:pPr>
              <w:pStyle w:val="afd"/>
              <w:ind w:left="0" w:firstLine="0"/>
              <w:jc w:val="center"/>
              <w:rPr>
                <w:szCs w:val="24"/>
              </w:rPr>
            </w:pPr>
            <w:r w:rsidRPr="00BA4F0F">
              <w:rPr>
                <w:szCs w:val="24"/>
              </w:rPr>
              <w:t>- 1 день</w:t>
            </w:r>
          </w:p>
        </w:tc>
        <w:tc>
          <w:tcPr>
            <w:tcW w:w="1134" w:type="dxa"/>
          </w:tcPr>
          <w:p w14:paraId="04F5E21B" w14:textId="77777777" w:rsidR="0034590E" w:rsidRPr="00BA4F0F" w:rsidRDefault="0034590E" w:rsidP="00EC1C67">
            <w:pPr>
              <w:pStyle w:val="afd"/>
              <w:ind w:left="0" w:firstLine="0"/>
              <w:jc w:val="center"/>
              <w:rPr>
                <w:szCs w:val="24"/>
              </w:rPr>
            </w:pPr>
            <w:r w:rsidRPr="00BA4F0F">
              <w:rPr>
                <w:szCs w:val="24"/>
              </w:rPr>
              <w:t>140мг/м</w:t>
            </w:r>
            <w:r w:rsidRPr="00BA4F0F">
              <w:rPr>
                <w:szCs w:val="24"/>
                <w:vertAlign w:val="superscript"/>
              </w:rPr>
              <w:t>2</w:t>
            </w:r>
          </w:p>
        </w:tc>
        <w:tc>
          <w:tcPr>
            <w:tcW w:w="1276" w:type="dxa"/>
          </w:tcPr>
          <w:p w14:paraId="67EFD469" w14:textId="77777777" w:rsidR="0034590E" w:rsidRPr="00BA4F0F" w:rsidRDefault="0034590E" w:rsidP="00EC1C67">
            <w:pPr>
              <w:pStyle w:val="afd"/>
              <w:ind w:left="0" w:firstLine="0"/>
              <w:jc w:val="center"/>
              <w:rPr>
                <w:szCs w:val="24"/>
              </w:rPr>
            </w:pPr>
            <w:r w:rsidRPr="00BA4F0F">
              <w:rPr>
                <w:szCs w:val="24"/>
              </w:rPr>
              <w:t>140 мг/м</w:t>
            </w:r>
            <w:r w:rsidRPr="00BA4F0F">
              <w:rPr>
                <w:szCs w:val="24"/>
                <w:vertAlign w:val="superscript"/>
              </w:rPr>
              <w:t>2</w:t>
            </w:r>
          </w:p>
        </w:tc>
        <w:tc>
          <w:tcPr>
            <w:tcW w:w="1275" w:type="dxa"/>
          </w:tcPr>
          <w:p w14:paraId="76B4BF98" w14:textId="77777777" w:rsidR="0034590E" w:rsidRPr="00BA4F0F" w:rsidRDefault="0034590E" w:rsidP="00EC1C67">
            <w:pPr>
              <w:pStyle w:val="afd"/>
              <w:ind w:left="0" w:firstLine="0"/>
              <w:jc w:val="center"/>
              <w:rPr>
                <w:szCs w:val="24"/>
              </w:rPr>
            </w:pPr>
            <w:r w:rsidRPr="00BA4F0F">
              <w:rPr>
                <w:szCs w:val="24"/>
              </w:rPr>
              <w:t>140 мг/м</w:t>
            </w:r>
            <w:r w:rsidRPr="00BA4F0F">
              <w:rPr>
                <w:szCs w:val="24"/>
                <w:vertAlign w:val="superscript"/>
              </w:rPr>
              <w:t>2</w:t>
            </w:r>
          </w:p>
        </w:tc>
        <w:tc>
          <w:tcPr>
            <w:tcW w:w="2659" w:type="dxa"/>
          </w:tcPr>
          <w:p w14:paraId="0F27294D" w14:textId="77777777" w:rsidR="0034590E" w:rsidRPr="00BA4F0F" w:rsidRDefault="0034590E" w:rsidP="00EC1C67">
            <w:pPr>
              <w:pStyle w:val="afd"/>
              <w:ind w:left="0" w:firstLine="0"/>
              <w:rPr>
                <w:szCs w:val="24"/>
              </w:rPr>
            </w:pPr>
            <w:r w:rsidRPr="00BA4F0F">
              <w:rPr>
                <w:szCs w:val="24"/>
              </w:rPr>
              <w:t xml:space="preserve">Вводится в/в в виде инфузии в течение 1ч в 500 мл 0,9% </w:t>
            </w:r>
            <w:r w:rsidRPr="00BA4F0F">
              <w:rPr>
                <w:szCs w:val="24"/>
                <w:lang w:val="en-US"/>
              </w:rPr>
              <w:t>NaCl</w:t>
            </w:r>
          </w:p>
        </w:tc>
      </w:tr>
    </w:tbl>
    <w:p w14:paraId="725A634F" w14:textId="77777777" w:rsidR="0034590E" w:rsidRPr="002E7116" w:rsidRDefault="0034590E" w:rsidP="0034590E">
      <w:pPr>
        <w:ind w:firstLine="426"/>
        <w:rPr>
          <w:szCs w:val="24"/>
        </w:rPr>
      </w:pPr>
      <w:r w:rsidRPr="00BA4F0F">
        <w:rPr>
          <w:szCs w:val="24"/>
        </w:rPr>
        <w:t xml:space="preserve">Для снижения токсичности режима предтрансплантационной подготовки </w:t>
      </w:r>
      <w:r w:rsidRPr="00BA4F0F">
        <w:rPr>
          <w:szCs w:val="24"/>
          <w:lang w:val="en-US"/>
        </w:rPr>
        <w:t>BEAM</w:t>
      </w:r>
      <w:r w:rsidRPr="00BA4F0F">
        <w:rPr>
          <w:szCs w:val="24"/>
        </w:rPr>
        <w:t xml:space="preserve"> </w:t>
      </w:r>
      <w:r w:rsidRPr="002E7116">
        <w:rPr>
          <w:szCs w:val="24"/>
        </w:rPr>
        <w:t>в ряде случаев вместо кармустина используется ломустин (</w:t>
      </w:r>
      <w:r w:rsidRPr="002E7116">
        <w:rPr>
          <w:szCs w:val="24"/>
          <w:lang w:val="en-US"/>
        </w:rPr>
        <w:t>CEAM</w:t>
      </w:r>
      <w:r w:rsidRPr="002E7116">
        <w:rPr>
          <w:szCs w:val="24"/>
        </w:rPr>
        <w:t xml:space="preserve"> / </w:t>
      </w:r>
      <w:r w:rsidRPr="002E7116">
        <w:rPr>
          <w:szCs w:val="24"/>
          <w:lang w:val="en-US"/>
        </w:rPr>
        <w:t>LEAM</w:t>
      </w:r>
      <w:r w:rsidRPr="002E7116">
        <w:rPr>
          <w:szCs w:val="24"/>
        </w:rPr>
        <w:t xml:space="preserve">). Схема введения препаратов и дозы представлены в таблице </w:t>
      </w:r>
      <w:r>
        <w:rPr>
          <w:szCs w:val="24"/>
        </w:rPr>
        <w:t>5</w:t>
      </w:r>
      <w:r w:rsidRPr="002E7116">
        <w:rPr>
          <w:szCs w:val="24"/>
        </w:rPr>
        <w:t>.</w:t>
      </w:r>
    </w:p>
    <w:p w14:paraId="10A0BCD2" w14:textId="77777777" w:rsidR="0034590E" w:rsidRPr="002E7116" w:rsidRDefault="0034590E" w:rsidP="0034590E">
      <w:pPr>
        <w:ind w:firstLine="426"/>
        <w:rPr>
          <w:b/>
          <w:szCs w:val="24"/>
        </w:rPr>
      </w:pPr>
    </w:p>
    <w:p w14:paraId="01788628" w14:textId="1EA88686" w:rsidR="0034590E" w:rsidRPr="004B37C6" w:rsidRDefault="0034590E" w:rsidP="0034590E">
      <w:pPr>
        <w:ind w:firstLine="426"/>
        <w:rPr>
          <w:szCs w:val="24"/>
        </w:rPr>
      </w:pPr>
      <w:r w:rsidRPr="002E7116">
        <w:rPr>
          <w:szCs w:val="24"/>
        </w:rPr>
        <w:t xml:space="preserve">Таблица </w:t>
      </w:r>
      <w:r>
        <w:rPr>
          <w:szCs w:val="24"/>
        </w:rPr>
        <w:t>5</w:t>
      </w:r>
      <w:r w:rsidRPr="002E7116">
        <w:rPr>
          <w:szCs w:val="24"/>
        </w:rPr>
        <w:t xml:space="preserve">. Схема предтрансплантационного кондиционирования </w:t>
      </w:r>
      <w:r w:rsidRPr="002E7116">
        <w:rPr>
          <w:szCs w:val="24"/>
          <w:lang w:val="en-US"/>
        </w:rPr>
        <w:t>CEAM</w:t>
      </w:r>
      <w:r w:rsidRPr="002E7116">
        <w:rPr>
          <w:szCs w:val="24"/>
        </w:rPr>
        <w:t>/</w:t>
      </w:r>
      <w:r w:rsidRPr="002E7116">
        <w:rPr>
          <w:szCs w:val="24"/>
          <w:lang w:val="en-US"/>
        </w:rPr>
        <w:t>LEAM</w:t>
      </w:r>
      <w:r w:rsidRPr="00BA4F0F">
        <w:rPr>
          <w:b/>
          <w:szCs w:val="24"/>
        </w:rPr>
        <w:t xml:space="preserve"> </w:t>
      </w:r>
      <w:r w:rsidRPr="00BA4F0F">
        <w:rPr>
          <w:szCs w:val="24"/>
        </w:rPr>
        <w:fldChar w:fldCharType="begin" w:fldLock="1"/>
      </w:r>
      <w:r w:rsidR="00F44253">
        <w:rPr>
          <w:szCs w:val="24"/>
          <w:lang w:val="en-US"/>
        </w:rPr>
        <w:instrText>ADDIN CSL_CITATION {"citationItems":[{"id":"ITEM-1","itemData":{"DOI":"10.1186/2193-1801-2-489","ISSN":"2193-1801","PMID":"25674395","abstract":"BEAM (BCNU, etoposide, cytrabine, melphalan) is the most widely used high dose chemotherapy regimen for autologous transplant in lymphoid malignancies. We report our early experience with an alternative regimen LEAM where BCNU was replaced with the oral analogue CCNU (lomustine) to tide over the non-availability of BCNU. Fifty one patients of relapsed or refractory lymphoma who received BEAM (n= 34) and LEAM (n= 17) from September 2001 to February 2012 were analyzed. From October 2009 onwards LEAM was used as the conditioning regimen instead of conventional BEAM. Patients in the LEAM group had more chemorefractory disease (35% vs 9%, p = 0.045) and high risk comorbidity score (24% vs 0%, p = 0.019). Grade 3 and 4 oral mucositis (67.6% vs. 64.7%, p = 0.834) and diarrhea (47% vs. 41.1%, p = 0.691) were similar. No difference was noted between the two groups in terms of engraftment, documented infections, antibiotic use, cumulative toxicity risk, length of hospital stay and 100 day transplant related mortality. The estimated 2 year overall survival (61.7% vs. 62.7%, p = 0.928) and event free survival (44.6% vs. 41.1%, p = 0.510) of the regimens BEAM and LEAM respectively were comparable. Thus LEAM appeared equivalent to BEAM in terms of toxicity and efficacy and can be used as an alternative to BEAM.","author":[{"dropping-particle":"","family":"Sharma","given":"Atul","non-dropping-particle":"","parse-names":false,"suffix":""},{"dropping-particle":"","family":"Kayal","given":"Smita","non-dropping-particle":"","parse-names":false,"suffix":""},{"dropping-particle":"","family":"Iqbal","given":"Sobuhi","non-dropping-particle":"","parse-names":false,"suffix":""},{"dropping-particle":"","family":"Malik","given":"Prabhat Singh","non-dropping-particle":"","parse-names":false,"suffix":""},{"dropping-particle":"","family":"Raina","given":"Vinod","non-dropping-particle":"","parse-names":false,"suffix":""}],"container-title":"SpringerPlus","id":"ITEM-1","issued":{"date-parts":[["2013"]]},"page":"489","publisher":"Springerplus","title":"Comparison of BEAM vs. LEAM regimen in autologous transplant for lymphoma at AIIMS.","type":"article-journal","volume":"2"},"uris":["http://www.mendeley.com/documents/?uuid=21a4d437-7f12-381a-b742-56143dfb3da9","http://www.mendeley.com/documents/?uuid=101407b9-4546-4cbb-9ac0-735f0dacc33c"]},{"id":"ITEM-2","itemData":{"DOI":"10.1038/sj.bmt.1705544","ISSN":"0268-3369","PMID":"17115062","abstract":"High-dose chemotherapy followed by autologous stem cell transplantation (ASCT) is a recognized treatment option for patients with relapsed Hodgkin's lymphoma. We have analysed 67 patients who underwent ASCT after LACE (lomustine (CCNU), cytarabine (Ara-C), cyclophosphamide, etoposide) conditioning for relapsed (n=61) or primary refractory (n=6) Hodgkin's lymphoma. The 100-day treatment-related mortality was 3%. With a median follow-up of 67 months (range 3.3-161.0) the probabilities of overall survival (OS) and progression-free survival (PFS) at 5 years were 68 and 64%, respectively. Probabilities for OS and PFS at 5 years for patients with chemosensitive relapse (n=40) were 81 and 78% versus 50 and 35%, respectively, for patients (n=27) with chemoresistant relapse (P=0.012 for OS, P=0.002 for PFS). In multivariate analysis mixed cellularity classical or lymphocyte-depleted classical histology subtype and haemoglobin level of 10 g/dl or less at the time of ASCT were identified as risk factors for worse OS, whereas stage III or IV disease at diagnosis and disease status at ASCT other than complete or partial remission predicted inferior PFS. LACE followed by ASCT is an effective treatment for the majority of patients with chemosensitive relapsed Hodgkin's lymphoma and a proportion of chemorefractory patients also benefit.","author":[{"dropping-particle":"","family":"Perz","given":"J B","non-dropping-particle":"","parse-names":false,"suffix":""},{"dropping-particle":"","family":"Giles","given":"C","non-dropping-particle":"","parse-names":false,"suffix":""},{"dropping-particle":"","family":"Szydlo","given":"R","non-dropping-particle":"","parse-names":false,"suffix":""},{"dropping-particle":"","family":"O'Shea","given":"D","non-dropping-particle":"","parse-names":false,"suffix":""},{"dropping-particle":"","family":"Sanz","given":"J","non-dropping-particle":"","parse-names":false,"suffix":""},{"dropping-particle":"","family":"Chaidos","given":"A","non-dropping-particle":"","parse-names":false,"suffix":""},{"dropping-particle":"","family":"Wagner","given":"S","non-dropping-particle":"","parse-names":false,"suffix":""},{"dropping-particle":"","family":"Davis","given":"J","non-dropping-particle":"","parse-names":false,"suffix":""},{"dropping-particle":"","family":"Loaiza","given":"S","non-dropping-particle":"","parse-names":false,"suffix":""},{"dropping-particle":"","family":"Marin","given":"D","non-dropping-particle":"","parse-names":false,"suffix":""},{"dropping-particle":"","family":"Apperley","given":"J","non-dropping-particle":"","parse-names":false,"suffix":""},{"dropping-particle":"","family":"Olavarria","given":"E","non-dropping-particle":"","parse-names":false,"suffix":""},{"dropping-particle":"","family":"Rahemtulla","given":"A","non-dropping-particle":"","parse-names":false,"suffix":""},{"dropping-particle":"","family":"Lampert","given":"I","non-dropping-particle":"","parse-names":false,"suffix":""},{"dropping-particle":"","family":"Naresh","given":"K","non-dropping-particle":"","parse-names":false,"suffix":""},{"dropping-particle":"","family":"Samson","given":"D","non-dropping-particle":"","parse-names":false,"suffix":""},{"dropping-particle":"","family":"MacDonald","given":"D","non-dropping-particle":"","parse-names":false,"suffix":""},{"dropping-particle":"","family":"Kanfer","given":"E J","non-dropping-particle":"","parse-names":false,"suffix":""}],"container-title":"Bone marrow transplantation","id":"ITEM-2","issue":"1","issued":{"date-parts":[["2007","1"]]},"page":"41-7","publisher":"Bone Marrow Transplant","title":"LACE-conditioned autologous stem cell transplantation for relapsed or refractory Hodgkin's lymphoma: treatment outcome and risk factor analysis in 67 patients from a single centre.","type":"article-journal","volume":"39"},"uris":["http://www.mendeley.com/documents/?uuid=a8c80dd3-9f3f-3bd3-8ad8-c4b068fdf579","http://www.mendeley.com/documents/?uuid=1b0196ad-e3d1-415d-9222-3686ef87b016"]},{"id":"ITEM-3","itemData":{"DOI":"10.6002/ect.2011.0092","ISSN":"2146-8427","PMID":"22432762","abstract":"OBJECTIVES A BEAM regimen including carmustine (BiCNU: bis-chloroethyl nitrosourea), etoposide, cytarabine (cytosine arabinoside), and melphalan is a widely used conditioning regimen for autologous stem cell transplant in patients with Hodgkin lymphoma. We report the results of noncryopreserved autologous stem cell transplant of 45 patients with Hodgkin lymphoma given an alternative regimen, modified BEAM-like regimen (CEAM regimen: lomustine, etoposide, cytarabine, and melphalan), in which carmustine (BiCNU IV) was substituted by oral lomustine (CCNU: 2 chloroethyl cyclohexyl nitrosourea). PATIENTS AND METHODS Forty-five eligible patients with relapsed/refractory Hodgkin lymphoma were consecutively enrolled and underwent conditioning regimen with BEAM-like regimen protocol as follows: Lomustine 200 mg/m(2) on day -3; etoposide 1000 mg/m(2) on day -3 and -2; cytarabine 1000 mg/m(2) on days -3, -2; and Melphalan 140 mg/m(2) on day -1. RESULTS All 45 patients showed engraftment of infused stem cell, and there was no graft failure in the study group. The median mononuclear cell dose was 3.4 × 10(8). The median time to absolute neutrophil count &gt; 0.5 × 10(9)/L was 11 days, and the median time to platelet count &gt; 20 × 10(9) was 14 days. Grade 2 and grade 3 mucositis was seen in 64.5% our patients. Transplant-related mortality at 100 days occurred in 1 patient (2.2%). With a median follow-up of 27 months, median disease-free survival was 20 months, mean overall survival was 27 months, and median overall survival has not yet been reached. CONCLUSIONS These data demonstrate the safety and feasibility of BEAM-like regimen as a new and modified regimen; longer follow-up is required to evaluate fully efficacy and long-term safety of our method.","author":[{"dropping-particle":"","family":"Ramzi","given":"Mani","non-dropping-particle":"","parse-names":false,"suffix":""},{"dropping-particle":"","family":"Mohamadian","given":"Mohsen","non-dropping-particle":"","parse-names":false,"suffix":""},{"dropping-particle":"","family":"Vojdani","given":"Reza","non-dropping-particle":"","parse-names":false,"suffix":""},{"dropping-particle":"","family":"Dehghani","given":"Mehdi","non-dropping-particle":"","parse-names":false,"suffix":""},{"dropping-particle":"","family":"Nourani","given":"Habib","non-dropping-particle":"","parse-names":false,"suffix":""},{"dropping-particle":"","family":"Zakerinia","given":"Maryam","non-dropping-particle":"","parse-names":false,"suffix":""},{"dropping-particle":"","family":"Haghighinejad","given":"Hoorvash","non-dropping-particle":"","parse-names":false,"suffix":""}],"container-title":"Experimental and clinical transplantation : official journal of the Middle East Society for Organ Transplantation","id":"ITEM-3","issue":"2","issued":{"date-parts":[["2012","4"]]},"page":"163-7","publisher":"Exp Clin Transplant","title":"Autologous noncryopreserved hematopoietic stem cell transplant with CEAM as a modified conditioning regimen in patients with Hodgkin lymphoma: a single-center experience with a new protocol.","type":"article-journal","volume":"10"},"uris":["http://www.mendeley.com/documents/?uuid=4fa47866-15e7-323f-bafd-68fc7216a752","http://www.mendeley.com/documents/?uuid=9ca20e06-5e69-4a38-956e-4d81d8214f0a"]},{"id":"ITEM-4","itemData":{"ISSN":"2234-943X","PMID":"31552193","author":[{"dropping-particle":"","family":"Colita","given":"Andrei","non-dropping-particle":"","parse-names":false,"suffix":""},{"dropping-particle":"","family":"Colita","given":"Anca","non-dropping-particle":"","parse-names":false,"suffix":""},{"dropping-particle":"","family":"Bumbea","given":"Horia","non-dropping-particle":"","parse-names":false,"suffix":""},{"dropping-particle":"","family":"Croitoru","given":"Adina","non-dropping-particle":"","parse-names":false,"suffix":""},{"dropping-particle":"","family":"Orban","given":"Carmen","non-dropping-particle":"","parse-names":false,"suffix":""},{"dropping-particle":"","family":"Lipan","given":"Lavinia Eugenia","non-dropping-particle":"","parse-names":false,"suffix":""},{"dropping-particle":"","family":"Craciun","given":"Oana-Gabriela","non-dropping-particle":"","parse-names":false,"suffix":""},{"dropping-particle":"","family":"Soare","given":"Dan","non-dropping-particle":"","parse-names":false,"suffix":""},{"dropping-particle":"","family":"Ghimici","given":"Cecilia","non-dropping-particle":"","parse-names":false,"suffix":""},{"dropping-particle":"","family":"Manolache","given":"Raluca","non-dropping-particle":"","parse-names":false,"suffix":""},{"dropping-particle":"","family":"Gelatu","given":"Ionel","non-dropping-particle":"","parse-names":false,"suffix":""},{"dropping-particle":"","family":"Vladareanu","given":"Ana-Maria","non-dropping-particle":"","parse-names":false,"suffix":""},{"dropping-particle":"","family":"Pasca","given":"Sergiu","non-dropping-particle":"","parse-names":false,"suffix":""},{"dropping-particle":"","family":"Teodorescu","given":"Patric","non-dropping-particle":"","parse-names":false,"suffix":""},{"dropping-particle":"","family":"Dima","given":"Delia","non-dropping-particle":"","parse-names":false,"suffix":""},{"dropping-particle":"","family":"Lupu","given":"Anca","non-dropping-particle":"","parse-names":false,"suffix":""},{"dropping-particle":"","family":"Coriu","given":"Daniel","non-dropping-particle":"","parse-names":false,"suffix":""},{"dropping-particle":"","family":"Tomuleasa","given":"Ciprian","non-dropping-particle":"","parse-names":false,"suffix":""},{"dropping-particle":"","family":"Tanase","given":"Alina","non-dropping-particle":"","parse-names":false,"suffix":""}],"container-title":"Frontiers in oncology","id":"ITEM-4","issued":{"date-parts":[["2019","9","10"]]},"page":"892","publisher":"Front Oncol","title":"LEAM vs. BEAM vs. CLV Conditioning Regimen for Autologous Stem Cell Transplantation in Malignant Lymphomas. Retrospective Comparison of Toxicity and Efficacy on 222 Patients in the First 100 Days After Transplant, On Behalf of the Romanian Society for Bon","type":"article-journal","volume":"9"},"uris":["http://www.mendeley.com/documents/?uuid=c53df651-72c5-4bae-be62-d061ccde0a8e"]},{"id":"ITEM-5","itemData":{"ISBN":"9783030022778","author":[{"dropping-particle":"","family":"Enric Carreras","given":"Dufour Carlo","non-dropping-particle":"","parse-names":false,"suffix":""},{"dropping-particle":"","family":"Mohty Mohamad","given":"Kröger Nicolaus","non-dropping-particle":"","parse-names":false,"suffix":""}],"id":"ITEM-5","issued":{"date-parts":[["2019"]]},"number-of-pages":"702","title":"Hematopoietic Stem Cell Transplantation and Cellular Therapies","type":"book"},"uris":["http://www.mendeley.com/documents/?uuid=b2895edd-cfbd-4cbf-8d9b-e50422d61d71","http://www.mendeley.com/documents/?uuid=891fa663-7797-4301-8893-3b0a5d75b173","http://www.mendeley.com/documents/?uuid=a3640929-94cd-4fb4-896e-6145e0e14c8e"]}],"mendeley":{"formattedCitation":"[124,128–131]","plainTextFormattedCitation":"[124,128–131]","previouslyFormattedCitation":"[124,128–131]"},"properties":{"noteIndex":0},"schema":"https://github.com/citation-style-language/schema/raw/master/csl-citation.json"}</w:instrText>
      </w:r>
      <w:r w:rsidRPr="00BA4F0F">
        <w:rPr>
          <w:szCs w:val="24"/>
        </w:rPr>
        <w:fldChar w:fldCharType="separate"/>
      </w:r>
      <w:r w:rsidR="004D13EB" w:rsidRPr="004D13EB">
        <w:rPr>
          <w:noProof/>
          <w:szCs w:val="24"/>
        </w:rPr>
        <w:t>[124,128–131]</w:t>
      </w:r>
      <w:r w:rsidRPr="00BA4F0F">
        <w:rPr>
          <w:szCs w:val="24"/>
        </w:rPr>
        <w:fldChar w:fldCharType="end"/>
      </w:r>
    </w:p>
    <w:tbl>
      <w:tblPr>
        <w:tblStyle w:val="aff8"/>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34590E" w:rsidRPr="004B37C6" w14:paraId="6F543439" w14:textId="77777777" w:rsidTr="00EC1C67">
        <w:tc>
          <w:tcPr>
            <w:tcW w:w="1418" w:type="dxa"/>
          </w:tcPr>
          <w:p w14:paraId="07BF530C" w14:textId="77777777" w:rsidR="0034590E" w:rsidRPr="004B37C6" w:rsidRDefault="0034590E" w:rsidP="00EC1C67">
            <w:pPr>
              <w:pStyle w:val="afd"/>
              <w:ind w:left="0" w:firstLine="0"/>
              <w:rPr>
                <w:szCs w:val="24"/>
              </w:rPr>
            </w:pPr>
            <w:r w:rsidRPr="00BA4F0F">
              <w:rPr>
                <w:szCs w:val="24"/>
              </w:rPr>
              <w:t>Препарат</w:t>
            </w:r>
          </w:p>
        </w:tc>
        <w:tc>
          <w:tcPr>
            <w:tcW w:w="1701" w:type="dxa"/>
          </w:tcPr>
          <w:p w14:paraId="51E1B4C6" w14:textId="77777777" w:rsidR="0034590E" w:rsidRPr="004B37C6" w:rsidRDefault="0034590E" w:rsidP="00EC1C67">
            <w:pPr>
              <w:pStyle w:val="afd"/>
              <w:ind w:left="0" w:firstLine="0"/>
              <w:rPr>
                <w:szCs w:val="24"/>
              </w:rPr>
            </w:pPr>
            <w:r w:rsidRPr="00BA4F0F">
              <w:rPr>
                <w:szCs w:val="24"/>
              </w:rPr>
              <w:t>Дни</w:t>
            </w:r>
            <w:r w:rsidRPr="004B37C6">
              <w:rPr>
                <w:szCs w:val="24"/>
              </w:rPr>
              <w:t xml:space="preserve"> </w:t>
            </w:r>
            <w:r w:rsidRPr="00BA4F0F">
              <w:rPr>
                <w:szCs w:val="24"/>
              </w:rPr>
              <w:t>введения</w:t>
            </w:r>
            <w:r w:rsidRPr="004B37C6">
              <w:rPr>
                <w:szCs w:val="24"/>
              </w:rPr>
              <w:t xml:space="preserve"> </w:t>
            </w:r>
            <w:r w:rsidRPr="00BA4F0F">
              <w:rPr>
                <w:szCs w:val="24"/>
              </w:rPr>
              <w:t>перед</w:t>
            </w:r>
            <w:r w:rsidRPr="004B37C6">
              <w:rPr>
                <w:szCs w:val="24"/>
              </w:rPr>
              <w:t xml:space="preserve"> </w:t>
            </w:r>
            <w:r w:rsidRPr="00BA4F0F">
              <w:rPr>
                <w:szCs w:val="24"/>
              </w:rPr>
              <w:t>ауто</w:t>
            </w:r>
            <w:r w:rsidRPr="004B37C6">
              <w:rPr>
                <w:szCs w:val="24"/>
              </w:rPr>
              <w:t>-</w:t>
            </w:r>
            <w:r w:rsidRPr="00BA4F0F">
              <w:rPr>
                <w:szCs w:val="24"/>
              </w:rPr>
              <w:t>ТГСК</w:t>
            </w:r>
          </w:p>
        </w:tc>
        <w:tc>
          <w:tcPr>
            <w:tcW w:w="1134" w:type="dxa"/>
          </w:tcPr>
          <w:p w14:paraId="5AE0E4DC" w14:textId="77777777" w:rsidR="0034590E" w:rsidRPr="004B37C6" w:rsidRDefault="0034590E" w:rsidP="00EC1C67">
            <w:pPr>
              <w:pStyle w:val="afd"/>
              <w:ind w:left="0" w:firstLine="0"/>
              <w:rPr>
                <w:szCs w:val="24"/>
              </w:rPr>
            </w:pPr>
            <w:r w:rsidRPr="00BA4F0F">
              <w:rPr>
                <w:szCs w:val="24"/>
              </w:rPr>
              <w:t>Разовая</w:t>
            </w:r>
            <w:r w:rsidRPr="004B37C6">
              <w:rPr>
                <w:szCs w:val="24"/>
              </w:rPr>
              <w:t xml:space="preserve"> </w:t>
            </w:r>
            <w:r w:rsidRPr="00BA4F0F">
              <w:rPr>
                <w:szCs w:val="24"/>
              </w:rPr>
              <w:t>доза</w:t>
            </w:r>
          </w:p>
        </w:tc>
        <w:tc>
          <w:tcPr>
            <w:tcW w:w="1276" w:type="dxa"/>
          </w:tcPr>
          <w:p w14:paraId="00B8B4AD" w14:textId="77777777" w:rsidR="0034590E" w:rsidRPr="004B37C6" w:rsidRDefault="0034590E" w:rsidP="00EC1C67">
            <w:pPr>
              <w:pStyle w:val="afd"/>
              <w:ind w:left="0" w:firstLine="0"/>
              <w:rPr>
                <w:szCs w:val="24"/>
              </w:rPr>
            </w:pPr>
            <w:r w:rsidRPr="00BA4F0F">
              <w:rPr>
                <w:szCs w:val="24"/>
              </w:rPr>
              <w:t>Суточная</w:t>
            </w:r>
            <w:r w:rsidRPr="004B37C6">
              <w:rPr>
                <w:szCs w:val="24"/>
              </w:rPr>
              <w:t xml:space="preserve"> </w:t>
            </w:r>
            <w:r w:rsidRPr="00BA4F0F">
              <w:rPr>
                <w:szCs w:val="24"/>
              </w:rPr>
              <w:t>доза</w:t>
            </w:r>
          </w:p>
        </w:tc>
        <w:tc>
          <w:tcPr>
            <w:tcW w:w="1275" w:type="dxa"/>
          </w:tcPr>
          <w:p w14:paraId="48F801C7" w14:textId="77777777" w:rsidR="0034590E" w:rsidRPr="004B37C6" w:rsidRDefault="0034590E" w:rsidP="00EC1C67">
            <w:pPr>
              <w:pStyle w:val="afd"/>
              <w:ind w:left="0" w:firstLine="0"/>
              <w:rPr>
                <w:szCs w:val="24"/>
              </w:rPr>
            </w:pPr>
            <w:r w:rsidRPr="00BA4F0F">
              <w:rPr>
                <w:szCs w:val="24"/>
              </w:rPr>
              <w:t>Курсовая</w:t>
            </w:r>
            <w:r w:rsidRPr="004B37C6">
              <w:rPr>
                <w:szCs w:val="24"/>
              </w:rPr>
              <w:t xml:space="preserve"> </w:t>
            </w:r>
            <w:r w:rsidRPr="00BA4F0F">
              <w:rPr>
                <w:szCs w:val="24"/>
              </w:rPr>
              <w:t>доза</w:t>
            </w:r>
          </w:p>
        </w:tc>
        <w:tc>
          <w:tcPr>
            <w:tcW w:w="2659" w:type="dxa"/>
          </w:tcPr>
          <w:p w14:paraId="6D68FA38" w14:textId="77777777" w:rsidR="0034590E" w:rsidRPr="004B37C6" w:rsidRDefault="0034590E" w:rsidP="00EC1C67">
            <w:pPr>
              <w:pStyle w:val="afd"/>
              <w:ind w:left="0" w:firstLine="0"/>
              <w:rPr>
                <w:szCs w:val="24"/>
              </w:rPr>
            </w:pPr>
            <w:r w:rsidRPr="00BA4F0F">
              <w:rPr>
                <w:szCs w:val="24"/>
              </w:rPr>
              <w:t>Особенности</w:t>
            </w:r>
            <w:r w:rsidRPr="004B37C6">
              <w:rPr>
                <w:szCs w:val="24"/>
              </w:rPr>
              <w:t xml:space="preserve"> </w:t>
            </w:r>
            <w:r w:rsidRPr="00BA4F0F">
              <w:rPr>
                <w:szCs w:val="24"/>
              </w:rPr>
              <w:t>введения</w:t>
            </w:r>
          </w:p>
        </w:tc>
      </w:tr>
      <w:tr w:rsidR="0034590E" w:rsidRPr="004B37C6" w14:paraId="510D377A" w14:textId="77777777" w:rsidTr="00EC1C67">
        <w:tc>
          <w:tcPr>
            <w:tcW w:w="1418" w:type="dxa"/>
          </w:tcPr>
          <w:p w14:paraId="0C644E8B" w14:textId="77777777" w:rsidR="0034590E" w:rsidRPr="004B37C6" w:rsidRDefault="0034590E" w:rsidP="00EC1C67">
            <w:pPr>
              <w:pStyle w:val="afd"/>
              <w:ind w:left="0" w:firstLine="0"/>
              <w:jc w:val="center"/>
              <w:rPr>
                <w:szCs w:val="24"/>
              </w:rPr>
            </w:pPr>
            <w:r w:rsidRPr="00BA4F0F">
              <w:rPr>
                <w:szCs w:val="24"/>
              </w:rPr>
              <w:t>Ломустин</w:t>
            </w:r>
          </w:p>
        </w:tc>
        <w:tc>
          <w:tcPr>
            <w:tcW w:w="1701" w:type="dxa"/>
          </w:tcPr>
          <w:p w14:paraId="7F25EA42" w14:textId="77777777" w:rsidR="0034590E" w:rsidRPr="004B37C6" w:rsidRDefault="0034590E" w:rsidP="00EC1C67">
            <w:pPr>
              <w:pStyle w:val="afd"/>
              <w:ind w:left="0" w:firstLine="0"/>
              <w:jc w:val="center"/>
              <w:rPr>
                <w:szCs w:val="24"/>
              </w:rPr>
            </w:pPr>
            <w:r w:rsidRPr="004B37C6">
              <w:rPr>
                <w:szCs w:val="24"/>
              </w:rPr>
              <w:t xml:space="preserve">-6 </w:t>
            </w:r>
            <w:r w:rsidRPr="00BA4F0F">
              <w:rPr>
                <w:szCs w:val="24"/>
              </w:rPr>
              <w:t>день</w:t>
            </w:r>
          </w:p>
        </w:tc>
        <w:tc>
          <w:tcPr>
            <w:tcW w:w="1134" w:type="dxa"/>
          </w:tcPr>
          <w:p w14:paraId="6C98D5EB" w14:textId="77777777" w:rsidR="0034590E" w:rsidRPr="004B37C6" w:rsidRDefault="0034590E" w:rsidP="00EC1C67">
            <w:pPr>
              <w:pStyle w:val="afd"/>
              <w:ind w:left="0" w:firstLine="0"/>
              <w:jc w:val="center"/>
              <w:rPr>
                <w:szCs w:val="24"/>
              </w:rPr>
            </w:pPr>
            <w:r w:rsidRPr="004B37C6">
              <w:rPr>
                <w:szCs w:val="24"/>
              </w:rPr>
              <w:t>200</w:t>
            </w:r>
            <w:r w:rsidRPr="00BA4F0F">
              <w:rPr>
                <w:szCs w:val="24"/>
              </w:rPr>
              <w:t>мг</w:t>
            </w:r>
            <w:r w:rsidRPr="004B37C6">
              <w:rPr>
                <w:szCs w:val="24"/>
              </w:rPr>
              <w:t>/</w:t>
            </w:r>
            <w:r w:rsidRPr="00BA4F0F">
              <w:rPr>
                <w:szCs w:val="24"/>
              </w:rPr>
              <w:t>м</w:t>
            </w:r>
            <w:r w:rsidRPr="004B37C6">
              <w:rPr>
                <w:szCs w:val="24"/>
                <w:vertAlign w:val="superscript"/>
              </w:rPr>
              <w:t>2</w:t>
            </w:r>
          </w:p>
        </w:tc>
        <w:tc>
          <w:tcPr>
            <w:tcW w:w="1276" w:type="dxa"/>
          </w:tcPr>
          <w:p w14:paraId="3E538099" w14:textId="77777777" w:rsidR="0034590E" w:rsidRPr="004B37C6" w:rsidRDefault="0034590E" w:rsidP="00EC1C67">
            <w:pPr>
              <w:pStyle w:val="afd"/>
              <w:ind w:left="0" w:firstLine="0"/>
              <w:jc w:val="center"/>
              <w:rPr>
                <w:szCs w:val="24"/>
              </w:rPr>
            </w:pPr>
            <w:r w:rsidRPr="004B37C6">
              <w:rPr>
                <w:szCs w:val="24"/>
              </w:rPr>
              <w:t xml:space="preserve">200 </w:t>
            </w:r>
            <w:r w:rsidRPr="00BA4F0F">
              <w:rPr>
                <w:szCs w:val="24"/>
              </w:rPr>
              <w:t>мг</w:t>
            </w:r>
            <w:r w:rsidRPr="004B37C6">
              <w:rPr>
                <w:szCs w:val="24"/>
              </w:rPr>
              <w:t>/</w:t>
            </w:r>
            <w:r w:rsidRPr="00BA4F0F">
              <w:rPr>
                <w:szCs w:val="24"/>
              </w:rPr>
              <w:t>м</w:t>
            </w:r>
            <w:r w:rsidRPr="004B37C6">
              <w:rPr>
                <w:szCs w:val="24"/>
                <w:vertAlign w:val="superscript"/>
              </w:rPr>
              <w:t>2</w:t>
            </w:r>
          </w:p>
        </w:tc>
        <w:tc>
          <w:tcPr>
            <w:tcW w:w="1275" w:type="dxa"/>
          </w:tcPr>
          <w:p w14:paraId="24793A89" w14:textId="77777777" w:rsidR="0034590E" w:rsidRPr="004B37C6" w:rsidRDefault="0034590E" w:rsidP="00EC1C67">
            <w:pPr>
              <w:pStyle w:val="afd"/>
              <w:ind w:left="0" w:firstLine="0"/>
              <w:jc w:val="center"/>
              <w:rPr>
                <w:szCs w:val="24"/>
              </w:rPr>
            </w:pPr>
            <w:r w:rsidRPr="004B37C6">
              <w:rPr>
                <w:szCs w:val="24"/>
              </w:rPr>
              <w:t xml:space="preserve">200 </w:t>
            </w:r>
            <w:r w:rsidRPr="00BA4F0F">
              <w:rPr>
                <w:szCs w:val="24"/>
              </w:rPr>
              <w:t>мг</w:t>
            </w:r>
            <w:r w:rsidRPr="004B37C6">
              <w:rPr>
                <w:szCs w:val="24"/>
              </w:rPr>
              <w:t>/</w:t>
            </w:r>
            <w:r w:rsidRPr="00BA4F0F">
              <w:rPr>
                <w:szCs w:val="24"/>
              </w:rPr>
              <w:t>м</w:t>
            </w:r>
            <w:r w:rsidRPr="004B37C6">
              <w:rPr>
                <w:szCs w:val="24"/>
                <w:vertAlign w:val="superscript"/>
              </w:rPr>
              <w:t>2</w:t>
            </w:r>
          </w:p>
        </w:tc>
        <w:tc>
          <w:tcPr>
            <w:tcW w:w="2659" w:type="dxa"/>
          </w:tcPr>
          <w:p w14:paraId="59C76226" w14:textId="77777777" w:rsidR="0034590E" w:rsidRPr="004B37C6" w:rsidRDefault="0034590E" w:rsidP="00EC1C67">
            <w:pPr>
              <w:pStyle w:val="afd"/>
              <w:ind w:left="0" w:firstLine="0"/>
              <w:rPr>
                <w:szCs w:val="24"/>
              </w:rPr>
            </w:pPr>
            <w:r w:rsidRPr="00BA4F0F">
              <w:rPr>
                <w:szCs w:val="24"/>
              </w:rPr>
              <w:t>Внутрь</w:t>
            </w:r>
          </w:p>
        </w:tc>
      </w:tr>
      <w:tr w:rsidR="0034590E" w:rsidRPr="004B37C6" w14:paraId="230319EF" w14:textId="77777777" w:rsidTr="00EC1C67">
        <w:tc>
          <w:tcPr>
            <w:tcW w:w="1418" w:type="dxa"/>
          </w:tcPr>
          <w:p w14:paraId="03161DD6" w14:textId="77777777" w:rsidR="0034590E" w:rsidRPr="004B37C6" w:rsidRDefault="0034590E" w:rsidP="00EC1C67">
            <w:pPr>
              <w:pStyle w:val="afd"/>
              <w:ind w:left="0" w:firstLine="0"/>
              <w:jc w:val="center"/>
              <w:rPr>
                <w:szCs w:val="24"/>
              </w:rPr>
            </w:pPr>
            <w:r w:rsidRPr="00BA4F0F">
              <w:rPr>
                <w:szCs w:val="24"/>
              </w:rPr>
              <w:t>Этопозид</w:t>
            </w:r>
          </w:p>
        </w:tc>
        <w:tc>
          <w:tcPr>
            <w:tcW w:w="1701" w:type="dxa"/>
          </w:tcPr>
          <w:p w14:paraId="02835E68" w14:textId="77777777" w:rsidR="0034590E" w:rsidRPr="004B37C6" w:rsidRDefault="0034590E" w:rsidP="00EC1C67">
            <w:pPr>
              <w:pStyle w:val="afd"/>
              <w:ind w:left="0" w:firstLine="0"/>
              <w:jc w:val="center"/>
              <w:rPr>
                <w:szCs w:val="24"/>
              </w:rPr>
            </w:pPr>
            <w:r w:rsidRPr="004B37C6">
              <w:rPr>
                <w:szCs w:val="24"/>
              </w:rPr>
              <w:t xml:space="preserve">-5, -4, -3, -2 </w:t>
            </w:r>
            <w:r w:rsidRPr="00BA4F0F">
              <w:rPr>
                <w:szCs w:val="24"/>
              </w:rPr>
              <w:t>дни</w:t>
            </w:r>
          </w:p>
        </w:tc>
        <w:tc>
          <w:tcPr>
            <w:tcW w:w="1134" w:type="dxa"/>
          </w:tcPr>
          <w:p w14:paraId="04C97016" w14:textId="77777777" w:rsidR="0034590E" w:rsidRPr="004B37C6" w:rsidRDefault="0034590E" w:rsidP="00EC1C67">
            <w:pPr>
              <w:pStyle w:val="afd"/>
              <w:ind w:left="0" w:firstLine="0"/>
              <w:jc w:val="center"/>
              <w:rPr>
                <w:szCs w:val="24"/>
              </w:rPr>
            </w:pPr>
            <w:r w:rsidRPr="004B37C6">
              <w:rPr>
                <w:szCs w:val="24"/>
              </w:rPr>
              <w:t>200</w:t>
            </w:r>
            <w:r w:rsidRPr="00BA4F0F">
              <w:rPr>
                <w:szCs w:val="24"/>
              </w:rPr>
              <w:t>мг</w:t>
            </w:r>
            <w:r w:rsidRPr="004B37C6">
              <w:rPr>
                <w:szCs w:val="24"/>
              </w:rPr>
              <w:t>/</w:t>
            </w:r>
            <w:r w:rsidRPr="00BA4F0F">
              <w:rPr>
                <w:szCs w:val="24"/>
              </w:rPr>
              <w:t>м</w:t>
            </w:r>
            <w:r w:rsidRPr="004B37C6">
              <w:rPr>
                <w:szCs w:val="24"/>
                <w:vertAlign w:val="superscript"/>
              </w:rPr>
              <w:t>2</w:t>
            </w:r>
          </w:p>
        </w:tc>
        <w:tc>
          <w:tcPr>
            <w:tcW w:w="1276" w:type="dxa"/>
          </w:tcPr>
          <w:p w14:paraId="3EDDBE39" w14:textId="77777777" w:rsidR="0034590E" w:rsidRPr="004B37C6" w:rsidRDefault="0034590E" w:rsidP="00EC1C67">
            <w:pPr>
              <w:pStyle w:val="afd"/>
              <w:ind w:left="0" w:firstLine="0"/>
              <w:jc w:val="center"/>
              <w:rPr>
                <w:szCs w:val="24"/>
              </w:rPr>
            </w:pPr>
            <w:r w:rsidRPr="004B37C6">
              <w:rPr>
                <w:szCs w:val="24"/>
              </w:rPr>
              <w:t xml:space="preserve">200 </w:t>
            </w:r>
            <w:r w:rsidRPr="00BA4F0F">
              <w:rPr>
                <w:szCs w:val="24"/>
              </w:rPr>
              <w:t>мг</w:t>
            </w:r>
            <w:r w:rsidRPr="004B37C6">
              <w:rPr>
                <w:szCs w:val="24"/>
              </w:rPr>
              <w:t>/</w:t>
            </w:r>
            <w:r w:rsidRPr="00BA4F0F">
              <w:rPr>
                <w:szCs w:val="24"/>
              </w:rPr>
              <w:t>м</w:t>
            </w:r>
            <w:r w:rsidRPr="004B37C6">
              <w:rPr>
                <w:szCs w:val="24"/>
                <w:vertAlign w:val="superscript"/>
              </w:rPr>
              <w:t>2</w:t>
            </w:r>
          </w:p>
        </w:tc>
        <w:tc>
          <w:tcPr>
            <w:tcW w:w="1275" w:type="dxa"/>
          </w:tcPr>
          <w:p w14:paraId="5BD778CC" w14:textId="77777777" w:rsidR="0034590E" w:rsidRPr="004B37C6" w:rsidRDefault="0034590E" w:rsidP="00EC1C67">
            <w:pPr>
              <w:pStyle w:val="afd"/>
              <w:ind w:left="0" w:firstLine="0"/>
              <w:jc w:val="center"/>
              <w:rPr>
                <w:szCs w:val="24"/>
              </w:rPr>
            </w:pPr>
            <w:r w:rsidRPr="004B37C6">
              <w:rPr>
                <w:szCs w:val="24"/>
              </w:rPr>
              <w:t xml:space="preserve">800 </w:t>
            </w:r>
            <w:r w:rsidRPr="00BA4F0F">
              <w:rPr>
                <w:szCs w:val="24"/>
              </w:rPr>
              <w:t>мг</w:t>
            </w:r>
            <w:r w:rsidRPr="004B37C6">
              <w:rPr>
                <w:szCs w:val="24"/>
              </w:rPr>
              <w:t>/</w:t>
            </w:r>
            <w:r w:rsidRPr="00BA4F0F">
              <w:rPr>
                <w:szCs w:val="24"/>
              </w:rPr>
              <w:t>м</w:t>
            </w:r>
            <w:r w:rsidRPr="004B37C6">
              <w:rPr>
                <w:szCs w:val="24"/>
                <w:vertAlign w:val="superscript"/>
              </w:rPr>
              <w:t>2</w:t>
            </w:r>
          </w:p>
        </w:tc>
        <w:tc>
          <w:tcPr>
            <w:tcW w:w="2659" w:type="dxa"/>
          </w:tcPr>
          <w:p w14:paraId="7441FFE6" w14:textId="77777777" w:rsidR="0034590E" w:rsidRPr="004B37C6" w:rsidRDefault="0034590E" w:rsidP="00EC1C67">
            <w:pPr>
              <w:pStyle w:val="afd"/>
              <w:ind w:left="0" w:firstLine="0"/>
              <w:rPr>
                <w:szCs w:val="24"/>
              </w:rPr>
            </w:pPr>
            <w:r w:rsidRPr="00BA4F0F">
              <w:rPr>
                <w:szCs w:val="24"/>
              </w:rPr>
              <w:t>Вводится</w:t>
            </w:r>
            <w:r w:rsidRPr="004B37C6">
              <w:rPr>
                <w:szCs w:val="24"/>
              </w:rPr>
              <w:t xml:space="preserve"> </w:t>
            </w:r>
            <w:r w:rsidRPr="00BA4F0F">
              <w:rPr>
                <w:szCs w:val="24"/>
              </w:rPr>
              <w:t>в</w:t>
            </w:r>
            <w:r w:rsidRPr="004B37C6">
              <w:rPr>
                <w:szCs w:val="24"/>
              </w:rPr>
              <w:t>/</w:t>
            </w:r>
            <w:r w:rsidRPr="00BA4F0F">
              <w:rPr>
                <w:szCs w:val="24"/>
              </w:rPr>
              <w:t>в</w:t>
            </w:r>
            <w:r w:rsidRPr="004B37C6">
              <w:rPr>
                <w:szCs w:val="24"/>
              </w:rPr>
              <w:t xml:space="preserve"> </w:t>
            </w:r>
            <w:r w:rsidRPr="00BA4F0F">
              <w:rPr>
                <w:szCs w:val="24"/>
              </w:rPr>
              <w:t>в</w:t>
            </w:r>
            <w:r w:rsidRPr="004B37C6">
              <w:rPr>
                <w:szCs w:val="24"/>
              </w:rPr>
              <w:t xml:space="preserve"> </w:t>
            </w:r>
            <w:r w:rsidRPr="00BA4F0F">
              <w:rPr>
                <w:szCs w:val="24"/>
              </w:rPr>
              <w:t>виде</w:t>
            </w:r>
            <w:r w:rsidRPr="004B37C6">
              <w:rPr>
                <w:szCs w:val="24"/>
              </w:rPr>
              <w:t xml:space="preserve"> </w:t>
            </w:r>
            <w:r w:rsidRPr="00BA4F0F">
              <w:rPr>
                <w:szCs w:val="24"/>
              </w:rPr>
              <w:t>инфузии</w:t>
            </w:r>
            <w:r w:rsidRPr="004B37C6">
              <w:rPr>
                <w:szCs w:val="24"/>
              </w:rPr>
              <w:t xml:space="preserve"> </w:t>
            </w:r>
            <w:r w:rsidRPr="00BA4F0F">
              <w:rPr>
                <w:szCs w:val="24"/>
              </w:rPr>
              <w:t>в</w:t>
            </w:r>
            <w:r w:rsidRPr="004B37C6">
              <w:rPr>
                <w:szCs w:val="24"/>
              </w:rPr>
              <w:t xml:space="preserve"> </w:t>
            </w:r>
            <w:r w:rsidRPr="00BA4F0F">
              <w:rPr>
                <w:szCs w:val="24"/>
              </w:rPr>
              <w:t>течение</w:t>
            </w:r>
            <w:r w:rsidRPr="004B37C6">
              <w:rPr>
                <w:szCs w:val="24"/>
              </w:rPr>
              <w:t xml:space="preserve"> 30 </w:t>
            </w:r>
            <w:r w:rsidRPr="00BA4F0F">
              <w:rPr>
                <w:szCs w:val="24"/>
              </w:rPr>
              <w:t>минут</w:t>
            </w:r>
            <w:r w:rsidRPr="004B37C6">
              <w:rPr>
                <w:szCs w:val="24"/>
              </w:rPr>
              <w:t xml:space="preserve"> </w:t>
            </w:r>
            <w:r w:rsidRPr="00BA4F0F">
              <w:rPr>
                <w:szCs w:val="24"/>
              </w:rPr>
              <w:t>в</w:t>
            </w:r>
            <w:r w:rsidRPr="004B37C6">
              <w:rPr>
                <w:szCs w:val="24"/>
              </w:rPr>
              <w:t xml:space="preserve"> 500 </w:t>
            </w:r>
            <w:r w:rsidRPr="00BA4F0F">
              <w:rPr>
                <w:szCs w:val="24"/>
              </w:rPr>
              <w:t>мл</w:t>
            </w:r>
            <w:r w:rsidRPr="004B37C6">
              <w:rPr>
                <w:szCs w:val="24"/>
              </w:rPr>
              <w:t xml:space="preserve"> 0,9% </w:t>
            </w:r>
            <w:r w:rsidRPr="00BA4F0F">
              <w:rPr>
                <w:szCs w:val="24"/>
                <w:lang w:val="en-US"/>
              </w:rPr>
              <w:t>NaCl</w:t>
            </w:r>
          </w:p>
        </w:tc>
      </w:tr>
      <w:tr w:rsidR="0034590E" w:rsidRPr="004B37C6" w14:paraId="67C6CF2A" w14:textId="77777777" w:rsidTr="00EC1C67">
        <w:tc>
          <w:tcPr>
            <w:tcW w:w="1418" w:type="dxa"/>
          </w:tcPr>
          <w:p w14:paraId="4906B792" w14:textId="77777777" w:rsidR="0034590E" w:rsidRPr="004B37C6" w:rsidRDefault="0034590E" w:rsidP="00EC1C67">
            <w:pPr>
              <w:pStyle w:val="afd"/>
              <w:ind w:left="0" w:firstLine="0"/>
              <w:jc w:val="center"/>
              <w:rPr>
                <w:szCs w:val="24"/>
              </w:rPr>
            </w:pPr>
            <w:r w:rsidRPr="00BA4F0F">
              <w:rPr>
                <w:szCs w:val="24"/>
              </w:rPr>
              <w:t>Цитарабин</w:t>
            </w:r>
          </w:p>
        </w:tc>
        <w:tc>
          <w:tcPr>
            <w:tcW w:w="1701" w:type="dxa"/>
          </w:tcPr>
          <w:p w14:paraId="21BD3C66" w14:textId="77777777" w:rsidR="0034590E" w:rsidRPr="004B37C6" w:rsidRDefault="0034590E" w:rsidP="00EC1C67">
            <w:pPr>
              <w:pStyle w:val="afd"/>
              <w:ind w:left="0" w:firstLine="0"/>
              <w:jc w:val="center"/>
              <w:rPr>
                <w:szCs w:val="24"/>
              </w:rPr>
            </w:pPr>
            <w:r w:rsidRPr="004B37C6">
              <w:rPr>
                <w:szCs w:val="24"/>
              </w:rPr>
              <w:t xml:space="preserve">-5, -4, -3, -2 </w:t>
            </w:r>
            <w:r w:rsidRPr="00BA4F0F">
              <w:rPr>
                <w:szCs w:val="24"/>
              </w:rPr>
              <w:t>дни</w:t>
            </w:r>
          </w:p>
        </w:tc>
        <w:tc>
          <w:tcPr>
            <w:tcW w:w="1134" w:type="dxa"/>
          </w:tcPr>
          <w:p w14:paraId="73C2DF28" w14:textId="77777777" w:rsidR="0034590E" w:rsidRPr="004B37C6" w:rsidRDefault="0034590E" w:rsidP="00EC1C67">
            <w:pPr>
              <w:pStyle w:val="afd"/>
              <w:ind w:left="0" w:firstLine="0"/>
              <w:jc w:val="center"/>
              <w:rPr>
                <w:szCs w:val="24"/>
              </w:rPr>
            </w:pPr>
            <w:r w:rsidRPr="004B37C6">
              <w:rPr>
                <w:szCs w:val="24"/>
              </w:rPr>
              <w:t>200</w:t>
            </w:r>
            <w:r w:rsidRPr="00BA4F0F">
              <w:rPr>
                <w:szCs w:val="24"/>
              </w:rPr>
              <w:t>мг</w:t>
            </w:r>
            <w:r w:rsidRPr="004B37C6">
              <w:rPr>
                <w:szCs w:val="24"/>
              </w:rPr>
              <w:t>/</w:t>
            </w:r>
            <w:r w:rsidRPr="00BA4F0F">
              <w:rPr>
                <w:szCs w:val="24"/>
              </w:rPr>
              <w:t>м</w:t>
            </w:r>
            <w:r w:rsidRPr="004B37C6">
              <w:rPr>
                <w:szCs w:val="24"/>
                <w:vertAlign w:val="superscript"/>
              </w:rPr>
              <w:t>2</w:t>
            </w:r>
          </w:p>
        </w:tc>
        <w:tc>
          <w:tcPr>
            <w:tcW w:w="1276" w:type="dxa"/>
          </w:tcPr>
          <w:p w14:paraId="15F7F406" w14:textId="77777777" w:rsidR="0034590E" w:rsidRPr="004B37C6" w:rsidRDefault="0034590E" w:rsidP="00EC1C67">
            <w:pPr>
              <w:pStyle w:val="afd"/>
              <w:ind w:left="0" w:firstLine="0"/>
              <w:jc w:val="center"/>
              <w:rPr>
                <w:szCs w:val="24"/>
              </w:rPr>
            </w:pPr>
            <w:r w:rsidRPr="004B37C6">
              <w:rPr>
                <w:szCs w:val="24"/>
              </w:rPr>
              <w:t xml:space="preserve">400 </w:t>
            </w:r>
            <w:r w:rsidRPr="00BA4F0F">
              <w:rPr>
                <w:szCs w:val="24"/>
              </w:rPr>
              <w:t>мг</w:t>
            </w:r>
            <w:r w:rsidRPr="004B37C6">
              <w:rPr>
                <w:szCs w:val="24"/>
              </w:rPr>
              <w:t xml:space="preserve">/ </w:t>
            </w:r>
            <w:r w:rsidRPr="00BA4F0F">
              <w:rPr>
                <w:szCs w:val="24"/>
              </w:rPr>
              <w:t>м</w:t>
            </w:r>
            <w:r w:rsidRPr="004B37C6">
              <w:rPr>
                <w:szCs w:val="24"/>
                <w:vertAlign w:val="superscript"/>
              </w:rPr>
              <w:t>2</w:t>
            </w:r>
          </w:p>
        </w:tc>
        <w:tc>
          <w:tcPr>
            <w:tcW w:w="1275" w:type="dxa"/>
          </w:tcPr>
          <w:p w14:paraId="645952A2" w14:textId="77777777" w:rsidR="0034590E" w:rsidRPr="004B37C6" w:rsidRDefault="0034590E" w:rsidP="00EC1C67">
            <w:pPr>
              <w:pStyle w:val="afd"/>
              <w:ind w:left="0" w:firstLine="0"/>
              <w:jc w:val="center"/>
              <w:rPr>
                <w:szCs w:val="24"/>
              </w:rPr>
            </w:pPr>
            <w:r w:rsidRPr="004B37C6">
              <w:rPr>
                <w:szCs w:val="24"/>
              </w:rPr>
              <w:t xml:space="preserve">1600 </w:t>
            </w:r>
            <w:r w:rsidRPr="00BA4F0F">
              <w:rPr>
                <w:szCs w:val="24"/>
              </w:rPr>
              <w:t>мг</w:t>
            </w:r>
            <w:r w:rsidRPr="004B37C6">
              <w:rPr>
                <w:szCs w:val="24"/>
              </w:rPr>
              <w:t>/</w:t>
            </w:r>
            <w:r w:rsidRPr="00BA4F0F">
              <w:rPr>
                <w:szCs w:val="24"/>
              </w:rPr>
              <w:t>м</w:t>
            </w:r>
            <w:r w:rsidRPr="004B37C6">
              <w:rPr>
                <w:szCs w:val="24"/>
                <w:vertAlign w:val="superscript"/>
              </w:rPr>
              <w:t>2</w:t>
            </w:r>
          </w:p>
        </w:tc>
        <w:tc>
          <w:tcPr>
            <w:tcW w:w="2659" w:type="dxa"/>
          </w:tcPr>
          <w:p w14:paraId="51C4037E" w14:textId="77777777" w:rsidR="0034590E" w:rsidRPr="004B37C6" w:rsidRDefault="0034590E" w:rsidP="00EC1C67">
            <w:pPr>
              <w:pStyle w:val="afd"/>
              <w:ind w:left="0" w:firstLine="0"/>
              <w:rPr>
                <w:szCs w:val="24"/>
              </w:rPr>
            </w:pPr>
            <w:r w:rsidRPr="00BA4F0F">
              <w:rPr>
                <w:szCs w:val="24"/>
              </w:rPr>
              <w:t>Вводится</w:t>
            </w:r>
            <w:r w:rsidRPr="004B37C6">
              <w:rPr>
                <w:szCs w:val="24"/>
              </w:rPr>
              <w:t xml:space="preserve"> </w:t>
            </w:r>
            <w:r w:rsidRPr="00BA4F0F">
              <w:rPr>
                <w:szCs w:val="24"/>
              </w:rPr>
              <w:t>в</w:t>
            </w:r>
            <w:r w:rsidRPr="004B37C6">
              <w:rPr>
                <w:szCs w:val="24"/>
              </w:rPr>
              <w:t>/</w:t>
            </w:r>
            <w:r w:rsidRPr="00BA4F0F">
              <w:rPr>
                <w:szCs w:val="24"/>
              </w:rPr>
              <w:t>в</w:t>
            </w:r>
            <w:r w:rsidRPr="004B37C6">
              <w:rPr>
                <w:szCs w:val="24"/>
              </w:rPr>
              <w:t xml:space="preserve"> </w:t>
            </w:r>
            <w:r w:rsidRPr="00BA4F0F">
              <w:rPr>
                <w:szCs w:val="24"/>
              </w:rPr>
              <w:t>в</w:t>
            </w:r>
            <w:r w:rsidRPr="004B37C6">
              <w:rPr>
                <w:szCs w:val="24"/>
              </w:rPr>
              <w:t xml:space="preserve"> </w:t>
            </w:r>
            <w:r w:rsidRPr="00BA4F0F">
              <w:rPr>
                <w:szCs w:val="24"/>
              </w:rPr>
              <w:t>виде</w:t>
            </w:r>
            <w:r w:rsidRPr="004B37C6">
              <w:rPr>
                <w:szCs w:val="24"/>
              </w:rPr>
              <w:t xml:space="preserve"> </w:t>
            </w:r>
            <w:r w:rsidRPr="00BA4F0F">
              <w:rPr>
                <w:szCs w:val="24"/>
              </w:rPr>
              <w:t>инфузии</w:t>
            </w:r>
            <w:r w:rsidRPr="004B37C6">
              <w:rPr>
                <w:szCs w:val="24"/>
              </w:rPr>
              <w:t xml:space="preserve"> </w:t>
            </w:r>
            <w:r w:rsidRPr="00BA4F0F">
              <w:rPr>
                <w:szCs w:val="24"/>
              </w:rPr>
              <w:t>в</w:t>
            </w:r>
            <w:r w:rsidRPr="004B37C6">
              <w:rPr>
                <w:szCs w:val="24"/>
              </w:rPr>
              <w:t xml:space="preserve"> </w:t>
            </w:r>
            <w:r w:rsidRPr="00BA4F0F">
              <w:rPr>
                <w:szCs w:val="24"/>
              </w:rPr>
              <w:t>течение</w:t>
            </w:r>
            <w:r w:rsidRPr="004B37C6">
              <w:rPr>
                <w:szCs w:val="24"/>
              </w:rPr>
              <w:t xml:space="preserve"> 30 </w:t>
            </w:r>
            <w:r w:rsidRPr="00BA4F0F">
              <w:rPr>
                <w:szCs w:val="24"/>
              </w:rPr>
              <w:lastRenderedPageBreak/>
              <w:t>минут</w:t>
            </w:r>
            <w:r w:rsidRPr="004B37C6">
              <w:rPr>
                <w:szCs w:val="24"/>
              </w:rPr>
              <w:t xml:space="preserve"> </w:t>
            </w:r>
            <w:r w:rsidRPr="00BA4F0F">
              <w:rPr>
                <w:szCs w:val="24"/>
              </w:rPr>
              <w:t>в</w:t>
            </w:r>
            <w:r w:rsidRPr="004B37C6">
              <w:rPr>
                <w:szCs w:val="24"/>
              </w:rPr>
              <w:t xml:space="preserve"> 500 </w:t>
            </w:r>
            <w:r w:rsidRPr="00BA4F0F">
              <w:rPr>
                <w:szCs w:val="24"/>
              </w:rPr>
              <w:t>мл</w:t>
            </w:r>
            <w:r w:rsidRPr="004B37C6">
              <w:rPr>
                <w:szCs w:val="24"/>
              </w:rPr>
              <w:t xml:space="preserve"> 0,9% </w:t>
            </w:r>
            <w:r w:rsidRPr="00BA4F0F">
              <w:rPr>
                <w:szCs w:val="24"/>
                <w:lang w:val="en-US"/>
              </w:rPr>
              <w:t>NaCl</w:t>
            </w:r>
          </w:p>
        </w:tc>
      </w:tr>
      <w:tr w:rsidR="0034590E" w:rsidRPr="004B37C6" w14:paraId="358580D8" w14:textId="77777777" w:rsidTr="00EC1C67">
        <w:tc>
          <w:tcPr>
            <w:tcW w:w="1418" w:type="dxa"/>
          </w:tcPr>
          <w:p w14:paraId="510668A8" w14:textId="77777777" w:rsidR="0034590E" w:rsidRPr="004B37C6" w:rsidRDefault="0034590E" w:rsidP="00EC1C67">
            <w:pPr>
              <w:pStyle w:val="afd"/>
              <w:ind w:left="0" w:firstLine="0"/>
              <w:jc w:val="center"/>
              <w:rPr>
                <w:szCs w:val="24"/>
              </w:rPr>
            </w:pPr>
            <w:r w:rsidRPr="00BA4F0F">
              <w:rPr>
                <w:szCs w:val="24"/>
              </w:rPr>
              <w:lastRenderedPageBreak/>
              <w:t>Мелфалан</w:t>
            </w:r>
          </w:p>
        </w:tc>
        <w:tc>
          <w:tcPr>
            <w:tcW w:w="1701" w:type="dxa"/>
          </w:tcPr>
          <w:p w14:paraId="7DE9CC2B" w14:textId="77777777" w:rsidR="0034590E" w:rsidRPr="004B37C6" w:rsidRDefault="0034590E" w:rsidP="00EC1C67">
            <w:pPr>
              <w:pStyle w:val="afd"/>
              <w:ind w:left="0" w:firstLine="0"/>
              <w:jc w:val="center"/>
              <w:rPr>
                <w:szCs w:val="24"/>
              </w:rPr>
            </w:pPr>
            <w:r w:rsidRPr="004B37C6">
              <w:rPr>
                <w:szCs w:val="24"/>
              </w:rPr>
              <w:t xml:space="preserve">- 1 </w:t>
            </w:r>
            <w:r w:rsidRPr="00BA4F0F">
              <w:rPr>
                <w:szCs w:val="24"/>
              </w:rPr>
              <w:t>день</w:t>
            </w:r>
          </w:p>
        </w:tc>
        <w:tc>
          <w:tcPr>
            <w:tcW w:w="1134" w:type="dxa"/>
          </w:tcPr>
          <w:p w14:paraId="0D4A9758" w14:textId="77777777" w:rsidR="0034590E" w:rsidRPr="004B37C6" w:rsidRDefault="0034590E" w:rsidP="00EC1C67">
            <w:pPr>
              <w:pStyle w:val="afd"/>
              <w:ind w:left="0" w:firstLine="0"/>
              <w:jc w:val="center"/>
              <w:rPr>
                <w:szCs w:val="24"/>
              </w:rPr>
            </w:pPr>
            <w:r w:rsidRPr="004B37C6">
              <w:rPr>
                <w:szCs w:val="24"/>
              </w:rPr>
              <w:t>140</w:t>
            </w:r>
            <w:r w:rsidRPr="00BA4F0F">
              <w:rPr>
                <w:szCs w:val="24"/>
              </w:rPr>
              <w:t>мг</w:t>
            </w:r>
            <w:r w:rsidRPr="004B37C6">
              <w:rPr>
                <w:szCs w:val="24"/>
              </w:rPr>
              <w:t>/</w:t>
            </w:r>
            <w:r w:rsidRPr="00BA4F0F">
              <w:rPr>
                <w:szCs w:val="24"/>
              </w:rPr>
              <w:t>м</w:t>
            </w:r>
            <w:r w:rsidRPr="004B37C6">
              <w:rPr>
                <w:szCs w:val="24"/>
                <w:vertAlign w:val="superscript"/>
              </w:rPr>
              <w:t>2</w:t>
            </w:r>
          </w:p>
        </w:tc>
        <w:tc>
          <w:tcPr>
            <w:tcW w:w="1276" w:type="dxa"/>
          </w:tcPr>
          <w:p w14:paraId="019CB90E" w14:textId="77777777" w:rsidR="0034590E" w:rsidRPr="004B37C6" w:rsidRDefault="0034590E" w:rsidP="00EC1C67">
            <w:pPr>
              <w:pStyle w:val="afd"/>
              <w:ind w:left="0" w:firstLine="0"/>
              <w:jc w:val="center"/>
              <w:rPr>
                <w:szCs w:val="24"/>
              </w:rPr>
            </w:pPr>
            <w:r w:rsidRPr="004B37C6">
              <w:rPr>
                <w:szCs w:val="24"/>
              </w:rPr>
              <w:t xml:space="preserve">140 </w:t>
            </w:r>
            <w:r w:rsidRPr="00BA4F0F">
              <w:rPr>
                <w:szCs w:val="24"/>
              </w:rPr>
              <w:t>мг</w:t>
            </w:r>
            <w:r w:rsidRPr="004B37C6">
              <w:rPr>
                <w:szCs w:val="24"/>
              </w:rPr>
              <w:t>/</w:t>
            </w:r>
            <w:r w:rsidRPr="00BA4F0F">
              <w:rPr>
                <w:szCs w:val="24"/>
              </w:rPr>
              <w:t>м</w:t>
            </w:r>
            <w:r w:rsidRPr="004B37C6">
              <w:rPr>
                <w:szCs w:val="24"/>
                <w:vertAlign w:val="superscript"/>
              </w:rPr>
              <w:t>2</w:t>
            </w:r>
          </w:p>
        </w:tc>
        <w:tc>
          <w:tcPr>
            <w:tcW w:w="1275" w:type="dxa"/>
          </w:tcPr>
          <w:p w14:paraId="7473F665" w14:textId="77777777" w:rsidR="0034590E" w:rsidRPr="004B37C6" w:rsidRDefault="0034590E" w:rsidP="00EC1C67">
            <w:pPr>
              <w:pStyle w:val="afd"/>
              <w:ind w:left="0" w:firstLine="0"/>
              <w:jc w:val="center"/>
              <w:rPr>
                <w:szCs w:val="24"/>
              </w:rPr>
            </w:pPr>
            <w:r w:rsidRPr="004B37C6">
              <w:rPr>
                <w:szCs w:val="24"/>
              </w:rPr>
              <w:t xml:space="preserve">140 </w:t>
            </w:r>
            <w:r w:rsidRPr="00BA4F0F">
              <w:rPr>
                <w:szCs w:val="24"/>
              </w:rPr>
              <w:t>мг</w:t>
            </w:r>
            <w:r w:rsidRPr="004B37C6">
              <w:rPr>
                <w:szCs w:val="24"/>
              </w:rPr>
              <w:t>/</w:t>
            </w:r>
            <w:r w:rsidRPr="00BA4F0F">
              <w:rPr>
                <w:szCs w:val="24"/>
              </w:rPr>
              <w:t>м</w:t>
            </w:r>
            <w:r w:rsidRPr="004B37C6">
              <w:rPr>
                <w:szCs w:val="24"/>
                <w:vertAlign w:val="superscript"/>
              </w:rPr>
              <w:t>2</w:t>
            </w:r>
          </w:p>
        </w:tc>
        <w:tc>
          <w:tcPr>
            <w:tcW w:w="2659" w:type="dxa"/>
          </w:tcPr>
          <w:p w14:paraId="1FC07642" w14:textId="77777777" w:rsidR="0034590E" w:rsidRPr="004B37C6" w:rsidRDefault="0034590E" w:rsidP="00EC1C67">
            <w:pPr>
              <w:pStyle w:val="afd"/>
              <w:ind w:left="0" w:firstLine="0"/>
              <w:rPr>
                <w:szCs w:val="24"/>
              </w:rPr>
            </w:pPr>
            <w:r w:rsidRPr="00BA4F0F">
              <w:rPr>
                <w:szCs w:val="24"/>
              </w:rPr>
              <w:t>Вводится</w:t>
            </w:r>
            <w:r w:rsidRPr="004B37C6">
              <w:rPr>
                <w:szCs w:val="24"/>
              </w:rPr>
              <w:t xml:space="preserve"> </w:t>
            </w:r>
            <w:r w:rsidRPr="00BA4F0F">
              <w:rPr>
                <w:szCs w:val="24"/>
              </w:rPr>
              <w:t>в</w:t>
            </w:r>
            <w:r w:rsidRPr="004B37C6">
              <w:rPr>
                <w:szCs w:val="24"/>
              </w:rPr>
              <w:t>/</w:t>
            </w:r>
            <w:r w:rsidRPr="00BA4F0F">
              <w:rPr>
                <w:szCs w:val="24"/>
              </w:rPr>
              <w:t>в</w:t>
            </w:r>
            <w:r w:rsidRPr="004B37C6">
              <w:rPr>
                <w:szCs w:val="24"/>
              </w:rPr>
              <w:t xml:space="preserve"> </w:t>
            </w:r>
            <w:r w:rsidRPr="00BA4F0F">
              <w:rPr>
                <w:szCs w:val="24"/>
              </w:rPr>
              <w:t>в</w:t>
            </w:r>
            <w:r w:rsidRPr="004B37C6">
              <w:rPr>
                <w:szCs w:val="24"/>
              </w:rPr>
              <w:t xml:space="preserve"> </w:t>
            </w:r>
            <w:r w:rsidRPr="00BA4F0F">
              <w:rPr>
                <w:szCs w:val="24"/>
              </w:rPr>
              <w:t>виде</w:t>
            </w:r>
            <w:r w:rsidRPr="004B37C6">
              <w:rPr>
                <w:szCs w:val="24"/>
              </w:rPr>
              <w:t xml:space="preserve"> </w:t>
            </w:r>
            <w:r w:rsidRPr="00BA4F0F">
              <w:rPr>
                <w:szCs w:val="24"/>
              </w:rPr>
              <w:t>инфузии</w:t>
            </w:r>
            <w:r w:rsidRPr="004B37C6">
              <w:rPr>
                <w:szCs w:val="24"/>
              </w:rPr>
              <w:t xml:space="preserve"> </w:t>
            </w:r>
            <w:r w:rsidRPr="00BA4F0F">
              <w:rPr>
                <w:szCs w:val="24"/>
              </w:rPr>
              <w:t>в</w:t>
            </w:r>
            <w:r w:rsidRPr="004B37C6">
              <w:rPr>
                <w:szCs w:val="24"/>
              </w:rPr>
              <w:t xml:space="preserve"> </w:t>
            </w:r>
            <w:r w:rsidRPr="00BA4F0F">
              <w:rPr>
                <w:szCs w:val="24"/>
              </w:rPr>
              <w:t>течение</w:t>
            </w:r>
            <w:r w:rsidRPr="004B37C6">
              <w:rPr>
                <w:szCs w:val="24"/>
              </w:rPr>
              <w:t xml:space="preserve"> 1</w:t>
            </w:r>
            <w:r w:rsidRPr="00BA4F0F">
              <w:rPr>
                <w:szCs w:val="24"/>
              </w:rPr>
              <w:t>ч</w:t>
            </w:r>
            <w:r w:rsidRPr="004B37C6">
              <w:rPr>
                <w:szCs w:val="24"/>
              </w:rPr>
              <w:t xml:space="preserve"> </w:t>
            </w:r>
            <w:r w:rsidRPr="00BA4F0F">
              <w:rPr>
                <w:szCs w:val="24"/>
              </w:rPr>
              <w:t>в</w:t>
            </w:r>
            <w:r w:rsidRPr="004B37C6">
              <w:rPr>
                <w:szCs w:val="24"/>
              </w:rPr>
              <w:t xml:space="preserve"> 500 </w:t>
            </w:r>
            <w:r w:rsidRPr="00BA4F0F">
              <w:rPr>
                <w:szCs w:val="24"/>
              </w:rPr>
              <w:t>мл</w:t>
            </w:r>
            <w:r w:rsidRPr="004B37C6">
              <w:rPr>
                <w:szCs w:val="24"/>
              </w:rPr>
              <w:t xml:space="preserve"> 0,9% </w:t>
            </w:r>
            <w:r w:rsidRPr="00BA4F0F">
              <w:rPr>
                <w:szCs w:val="24"/>
                <w:lang w:val="en-US"/>
              </w:rPr>
              <w:t>NaCl</w:t>
            </w:r>
          </w:p>
        </w:tc>
      </w:tr>
    </w:tbl>
    <w:p w14:paraId="5DACA127" w14:textId="77777777" w:rsidR="0034590E" w:rsidRPr="004B37C6" w:rsidRDefault="0034590E" w:rsidP="0034590E">
      <w:pPr>
        <w:ind w:firstLine="426"/>
        <w:rPr>
          <w:szCs w:val="24"/>
        </w:rPr>
      </w:pPr>
    </w:p>
    <w:p w14:paraId="42AF4855" w14:textId="77777777" w:rsidR="0034590E" w:rsidRPr="004B37C6" w:rsidRDefault="0034590E" w:rsidP="0034590E">
      <w:pPr>
        <w:ind w:firstLine="426"/>
        <w:rPr>
          <w:szCs w:val="24"/>
        </w:rPr>
      </w:pPr>
      <w:r w:rsidRPr="00BA4F0F">
        <w:rPr>
          <w:szCs w:val="24"/>
        </w:rPr>
        <w:t>В</w:t>
      </w:r>
      <w:r w:rsidRPr="004B37C6">
        <w:rPr>
          <w:szCs w:val="24"/>
        </w:rPr>
        <w:t xml:space="preserve"> </w:t>
      </w:r>
      <w:r w:rsidRPr="00BA4F0F">
        <w:rPr>
          <w:szCs w:val="24"/>
        </w:rPr>
        <w:t>ряде</w:t>
      </w:r>
      <w:r w:rsidRPr="004B37C6">
        <w:rPr>
          <w:szCs w:val="24"/>
        </w:rPr>
        <w:t xml:space="preserve"> </w:t>
      </w:r>
      <w:r w:rsidRPr="00BA4F0F">
        <w:rPr>
          <w:szCs w:val="24"/>
        </w:rPr>
        <w:t>клинических</w:t>
      </w:r>
      <w:r w:rsidRPr="004B37C6">
        <w:rPr>
          <w:szCs w:val="24"/>
        </w:rPr>
        <w:t xml:space="preserve"> </w:t>
      </w:r>
      <w:r w:rsidRPr="00BA4F0F">
        <w:rPr>
          <w:szCs w:val="24"/>
        </w:rPr>
        <w:t>исследований</w:t>
      </w:r>
      <w:r w:rsidRPr="004B37C6">
        <w:rPr>
          <w:szCs w:val="24"/>
        </w:rPr>
        <w:t xml:space="preserve"> </w:t>
      </w:r>
      <w:r w:rsidRPr="00BA4F0F">
        <w:rPr>
          <w:szCs w:val="24"/>
        </w:rPr>
        <w:t>была</w:t>
      </w:r>
      <w:r w:rsidRPr="004B37C6">
        <w:rPr>
          <w:szCs w:val="24"/>
        </w:rPr>
        <w:t xml:space="preserve"> </w:t>
      </w:r>
      <w:r w:rsidRPr="00BA4F0F">
        <w:rPr>
          <w:szCs w:val="24"/>
        </w:rPr>
        <w:t>подтверждена</w:t>
      </w:r>
      <w:r w:rsidRPr="004B37C6">
        <w:rPr>
          <w:szCs w:val="24"/>
        </w:rPr>
        <w:t xml:space="preserve"> </w:t>
      </w:r>
      <w:r w:rsidRPr="00BA4F0F">
        <w:rPr>
          <w:szCs w:val="24"/>
        </w:rPr>
        <w:t>эффективность</w:t>
      </w:r>
      <w:r w:rsidRPr="004B37C6">
        <w:rPr>
          <w:szCs w:val="24"/>
        </w:rPr>
        <w:t xml:space="preserve"> </w:t>
      </w:r>
      <w:r w:rsidRPr="00BA4F0F">
        <w:rPr>
          <w:szCs w:val="24"/>
        </w:rPr>
        <w:t>режима</w:t>
      </w:r>
      <w:r w:rsidRPr="004B37C6">
        <w:rPr>
          <w:szCs w:val="24"/>
        </w:rPr>
        <w:t xml:space="preserve"> </w:t>
      </w:r>
      <w:r w:rsidRPr="00BA4F0F">
        <w:rPr>
          <w:szCs w:val="24"/>
        </w:rPr>
        <w:t>предтрансплантационного</w:t>
      </w:r>
      <w:r w:rsidRPr="004B37C6">
        <w:rPr>
          <w:szCs w:val="24"/>
        </w:rPr>
        <w:t xml:space="preserve"> </w:t>
      </w:r>
      <w:r w:rsidRPr="00BA4F0F">
        <w:rPr>
          <w:szCs w:val="24"/>
        </w:rPr>
        <w:t>кондиционирования</w:t>
      </w:r>
      <w:r w:rsidRPr="004B37C6">
        <w:rPr>
          <w:szCs w:val="24"/>
        </w:rPr>
        <w:t xml:space="preserve"> </w:t>
      </w:r>
      <w:r w:rsidRPr="00BA4F0F">
        <w:rPr>
          <w:szCs w:val="24"/>
          <w:lang w:val="en-US"/>
        </w:rPr>
        <w:t>Benda</w:t>
      </w:r>
      <w:r w:rsidRPr="004B37C6">
        <w:rPr>
          <w:szCs w:val="24"/>
        </w:rPr>
        <w:t>-</w:t>
      </w:r>
      <w:r w:rsidRPr="00BA4F0F">
        <w:rPr>
          <w:szCs w:val="24"/>
          <w:lang w:val="en-US"/>
        </w:rPr>
        <w:t>EAM</w:t>
      </w:r>
      <w:r w:rsidRPr="004B37C6">
        <w:rPr>
          <w:szCs w:val="24"/>
        </w:rPr>
        <w:t xml:space="preserve"> </w:t>
      </w:r>
      <w:r w:rsidRPr="00BA4F0F">
        <w:rPr>
          <w:szCs w:val="24"/>
        </w:rPr>
        <w:t>при</w:t>
      </w:r>
      <w:r w:rsidRPr="004B37C6">
        <w:rPr>
          <w:szCs w:val="24"/>
        </w:rPr>
        <w:t xml:space="preserve"> </w:t>
      </w:r>
      <w:r w:rsidRPr="00BA4F0F">
        <w:rPr>
          <w:szCs w:val="24"/>
        </w:rPr>
        <w:t>лимфопролиферативных</w:t>
      </w:r>
      <w:r w:rsidRPr="004B37C6">
        <w:rPr>
          <w:szCs w:val="24"/>
        </w:rPr>
        <w:t xml:space="preserve"> </w:t>
      </w:r>
      <w:r w:rsidRPr="00BA4F0F">
        <w:rPr>
          <w:szCs w:val="24"/>
        </w:rPr>
        <w:t>заболеваниях</w:t>
      </w:r>
      <w:r w:rsidRPr="004B37C6">
        <w:rPr>
          <w:szCs w:val="24"/>
        </w:rPr>
        <w:t xml:space="preserve">. </w:t>
      </w:r>
      <w:r w:rsidRPr="00BA4F0F">
        <w:rPr>
          <w:szCs w:val="24"/>
        </w:rPr>
        <w:t>Схема</w:t>
      </w:r>
      <w:r w:rsidRPr="004B37C6">
        <w:rPr>
          <w:szCs w:val="24"/>
        </w:rPr>
        <w:t xml:space="preserve"> </w:t>
      </w:r>
      <w:r w:rsidRPr="00BA4F0F">
        <w:rPr>
          <w:szCs w:val="24"/>
        </w:rPr>
        <w:t>введения</w:t>
      </w:r>
      <w:r w:rsidRPr="004B37C6">
        <w:rPr>
          <w:szCs w:val="24"/>
        </w:rPr>
        <w:t xml:space="preserve"> </w:t>
      </w:r>
      <w:r w:rsidRPr="00BA4F0F">
        <w:rPr>
          <w:szCs w:val="24"/>
        </w:rPr>
        <w:t>препаратов</w:t>
      </w:r>
      <w:r w:rsidRPr="004B37C6">
        <w:rPr>
          <w:szCs w:val="24"/>
        </w:rPr>
        <w:t xml:space="preserve"> </w:t>
      </w:r>
      <w:r w:rsidRPr="00BA4F0F">
        <w:rPr>
          <w:szCs w:val="24"/>
        </w:rPr>
        <w:t>и</w:t>
      </w:r>
      <w:r w:rsidRPr="004B37C6">
        <w:rPr>
          <w:szCs w:val="24"/>
        </w:rPr>
        <w:t xml:space="preserve"> </w:t>
      </w:r>
      <w:r w:rsidRPr="00BA4F0F">
        <w:rPr>
          <w:szCs w:val="24"/>
        </w:rPr>
        <w:t>дозы</w:t>
      </w:r>
      <w:r w:rsidRPr="004B37C6">
        <w:rPr>
          <w:szCs w:val="24"/>
        </w:rPr>
        <w:t xml:space="preserve"> </w:t>
      </w:r>
      <w:r w:rsidRPr="002E7116">
        <w:rPr>
          <w:szCs w:val="24"/>
        </w:rPr>
        <w:t>представлены</w:t>
      </w:r>
      <w:r w:rsidRPr="004B37C6">
        <w:rPr>
          <w:szCs w:val="24"/>
        </w:rPr>
        <w:t xml:space="preserve"> </w:t>
      </w:r>
      <w:r w:rsidRPr="002E7116">
        <w:rPr>
          <w:szCs w:val="24"/>
        </w:rPr>
        <w:t>в</w:t>
      </w:r>
      <w:r w:rsidRPr="004B37C6">
        <w:rPr>
          <w:szCs w:val="24"/>
        </w:rPr>
        <w:t xml:space="preserve"> </w:t>
      </w:r>
      <w:r w:rsidRPr="002E7116">
        <w:rPr>
          <w:szCs w:val="24"/>
        </w:rPr>
        <w:t>таблице</w:t>
      </w:r>
      <w:r w:rsidRPr="004B37C6">
        <w:rPr>
          <w:szCs w:val="24"/>
        </w:rPr>
        <w:t xml:space="preserve"> </w:t>
      </w:r>
      <w:r>
        <w:rPr>
          <w:szCs w:val="24"/>
        </w:rPr>
        <w:t>6</w:t>
      </w:r>
      <w:r w:rsidRPr="004B37C6">
        <w:rPr>
          <w:szCs w:val="24"/>
        </w:rPr>
        <w:t>.</w:t>
      </w:r>
    </w:p>
    <w:p w14:paraId="5976C5AF" w14:textId="77777777" w:rsidR="0034590E" w:rsidRPr="004B37C6" w:rsidRDefault="0034590E" w:rsidP="0034590E">
      <w:pPr>
        <w:ind w:firstLine="426"/>
        <w:rPr>
          <w:b/>
          <w:szCs w:val="24"/>
        </w:rPr>
      </w:pPr>
    </w:p>
    <w:p w14:paraId="3C8ABE7D" w14:textId="7D400EA0" w:rsidR="0034590E" w:rsidRPr="00BA4F0F" w:rsidRDefault="0034590E" w:rsidP="0034590E">
      <w:pPr>
        <w:ind w:firstLine="426"/>
        <w:rPr>
          <w:szCs w:val="24"/>
        </w:rPr>
      </w:pPr>
      <w:r w:rsidRPr="002E7116">
        <w:rPr>
          <w:szCs w:val="24"/>
        </w:rPr>
        <w:t>Таблица</w:t>
      </w:r>
      <w:r w:rsidRPr="004B37C6">
        <w:rPr>
          <w:szCs w:val="24"/>
        </w:rPr>
        <w:t xml:space="preserve"> </w:t>
      </w:r>
      <w:r>
        <w:rPr>
          <w:szCs w:val="24"/>
        </w:rPr>
        <w:t>6</w:t>
      </w:r>
      <w:r w:rsidRPr="004B37C6">
        <w:rPr>
          <w:szCs w:val="24"/>
        </w:rPr>
        <w:t xml:space="preserve">. </w:t>
      </w:r>
      <w:r w:rsidRPr="002E7116">
        <w:rPr>
          <w:szCs w:val="24"/>
        </w:rPr>
        <w:t>Схема</w:t>
      </w:r>
      <w:r w:rsidRPr="004B37C6">
        <w:rPr>
          <w:szCs w:val="24"/>
        </w:rPr>
        <w:t xml:space="preserve"> </w:t>
      </w:r>
      <w:r w:rsidRPr="002E7116">
        <w:rPr>
          <w:szCs w:val="24"/>
        </w:rPr>
        <w:t>предтрансплантационного кондиционирования Benda-EAM</w:t>
      </w:r>
      <w:r w:rsidRPr="00BA4F0F">
        <w:rPr>
          <w:szCs w:val="24"/>
        </w:rPr>
        <w:t xml:space="preserve"> </w:t>
      </w:r>
      <w:r w:rsidRPr="00BA4F0F">
        <w:rPr>
          <w:szCs w:val="24"/>
        </w:rPr>
        <w:fldChar w:fldCharType="begin" w:fldLock="1"/>
      </w:r>
      <w:r w:rsidR="00F44253">
        <w:rPr>
          <w:szCs w:val="24"/>
        </w:rPr>
        <w:instrText>ADDIN CSL_CITATION {"citationItems":[{"id":"ITEM-1","itemData":{"DOI":"10.1038/s41409-019-0572-7","ISSN":"0268-3369","author":[{"dropping-particle":"","family":"Visani","given":"Giuseppe","non-dropping-particle":"","parse-names":false,"suffix":""},{"dropping-particle":"","family":"Loscocco","given":"Federica","non-dropping-particle":"","parse-names":false,"suffix":""},{"dropping-particle":"","family":"Bagaloni","given":"Irene","non-dropping-particle":"","parse-names":false,"suffix":""},{"dropping-particle":"","family":"Ruzzo","given":"Annamaria","non-dropping-particle":"","parse-names":false,"suffix":""},{"dropping-particle":"","family":"Fuligni","given":"Fabio","non-dropping-particle":"","parse-names":false,"suffix":""},{"dropping-particle":"","family":"Graziano","given":"Francesco","non-dropping-particle":"","parse-names":false,"suffix":""},{"dropping-particle":"","family":"Magnani","given":"Mauro","non-dropping-particle":"","parse-names":false,"suffix":""},{"dropping-particle":"","family":"Isidori","given":"Alessandro","non-dropping-particle":"","parse-names":false,"suffix":""}],"container-title":"Bone Marrow Transplantation","id":"ITEM-1","issue":"4","issued":{"date-parts":[["2020","4"]]},"page":"818-820","publisher":"Nature Publishing Group","title":"XRCC1 399GG genotype predicts significantly longer overall survival in resistant lymphoma patients treated with Benda-EAM and ASCT","type":"article-journal","volume":"55"},"uris":["http://www.mendeley.com/documents/?uuid=91fbd7c4-108e-3fa6-a12d-7807a539235e","http://www.mendeley.com/documents/?uuid=e90b652d-5001-4921-8b90-45d74510ea4a"]},{"id":"ITEM-2","itemData":{"DOI":"10.1182/blood-2011-04-351924","ISSN":"1528-0020","PMID":"21816830","abstract":"We designed a phase 1-2 study to evaluate the safety and the efficacy of increasing doses of bendamustine (160 mg/m², 180 mg/m², and 200 mg/m² given on days -7 and -6) coupled with fixed doses of etoposide, cytarabine, and melphalan (BeEAM regimen) as the conditioning regimen to autologous stem cell transplantation for resistant/relapsed lymphoma patients. Forty-three patients (median age, 47 years) with non-Hodgkin (n = 28) or Hodgkin (n = 15) lymphoma were consecutively treated. Nine patients entered the phase 1 study; no patients experienced a dose-limiting toxicity. Thirty-four additional patients were then treated in the phase 2. A median number of 6 × 10⁶ CD34(+) cells/kg (range, 2.4-15.5) were reinfused. All patients engrafted, with a median time to absolute neutrophil count &gt; 0.5 × 10⁹/L of 10 days. The 100-day transplantation-related mortality was 0%. After a median follow-up of 18 months, 35 of 43 patients (81%) are in complete remission, whereas 6 of 43 relapsed and 2 of 43 did not respond. Disease type (non-Hodgkin lymphomas vs Hodgkin disease) and disease status at transplantation (chemosensitive vs chemoresistant) significantly influenced DFS (P = .01; P = .007). Remarkably, 4 of 43 (9%) patients achieved the first complete remission after receiving the high-dose therapy with autologous stem cell transplantation. In conclusion, the new BeEAM regimen is safe and effective for heavily pretreated lymphoma patients. The study was registered at European Medicines Agency (EudraCT number 2008-002736-15).","author":[{"dropping-particle":"","family":"Visani","given":"Giuseppe","non-dropping-particle":"","parse-names":false,"suffix":""},{"dropping-particle":"","family":"Malerba","given":"Lara","non-dropping-particle":"","parse-names":false,"suffix":""},{"dropping-particle":"","family":"Stefani","given":"Pietro Maria","non-dropping-particle":"","parse-names":false,"suffix":""},{"dropping-particle":"","family":"Capria","given":"Saveria","non-dropping-particle":"","parse-names":false,"suffix":""},{"dropping-particle":"","family":"Galieni","given":"Piero","non-dropping-particle":"","parse-names":false,"suffix":""},{"dropping-particle":"","family":"Gaudio","given":"Francesco","non-dropping-particle":"","parse-names":false,"suffix":""},{"dropping-particle":"","family":"Specchia","given":"Giorgina","non-dropping-particle":"","parse-names":false,"suffix":""},{"dropping-particle":"","family":"Meloni","given":"Giovanna","non-dropping-particle":"","parse-names":false,"suffix":""},{"dropping-particle":"","family":"Gherlinzoni","given":"Filippo","non-dropping-particle":"","parse-names":false,"suffix":""},{"dropping-particle":"","family":"Giardini","given":"Claudio","non-dropping-particle":"","parse-names":false,"suffix":""},{"dropping-particle":"","family":"Falcioni","given":"Sadia","non-dropping-particle":"","parse-names":false,"suffix":""},{"dropping-particle":"","family":"Cuberli","given":"Francesca","non-dropping-particle":"","parse-names":false,"suffix":""},{"dropping-particle":"","family":"Gobbi","given":"Marco","non-dropping-particle":"","parse-names":false,"suffix":""},{"dropping-particle":"","family":"Sarina","given":"Barbara","non-dropping-particle":"","parse-names":false,"suffix":""},{"dropping-particle":"","family":"Santoro","given":"Armando","non-dropping-particle":"","parse-names":false,"suffix":""},{"dropping-particle":"","family":"Ferrara","given":"Felicetto","non-dropping-particle":"","parse-names":false,"suffix":""},{"dropping-particle":"","family":"Rocchi","given":"Marco","non-dropping-particle":"","parse-names":false,"suffix":""},{"dropping-particle":"","family":"Ocio","given":"Enrique M","non-dropping-particle":"","parse-names":false,"suffix":""},{"dropping-particle":"","family":"Caballero","given":"Maria Dolores","non-dropping-particle":"","parse-names":false,"suffix":""},{"dropping-particle":"","family":"Isidori","given":"Alessandro","non-dropping-particle":"","parse-names":false,"suffix":""}],"container-title":"Blood","id":"ITEM-2","issue":"12","issued":{"date-parts":[["2011","9","22"]]},"page":"3419-25","title":"BeEAM (bendamustine, etoposide, cytarabine, melphalan) before autologous stem cell transplantation is safe and effective for resistant/relapsed lymphoma patients.","type":"article-journal","volume":"118"},"uris":["http://www.mendeley.com/documents/?uuid=ab79b1d2-22d1-3d69-b3cc-3774a11bbd10"]}],"mendeley":{"formattedCitation":"[132,133]","plainTextFormattedCitation":"[132,133]","previouslyFormattedCitation":"[132,133]"},"properties":{"noteIndex":0},"schema":"https://github.com/citation-style-language/schema/raw/master/csl-citation.json"}</w:instrText>
      </w:r>
      <w:r w:rsidRPr="00BA4F0F">
        <w:rPr>
          <w:szCs w:val="24"/>
        </w:rPr>
        <w:fldChar w:fldCharType="separate"/>
      </w:r>
      <w:r w:rsidR="004D13EB" w:rsidRPr="004D13EB">
        <w:rPr>
          <w:noProof/>
          <w:szCs w:val="24"/>
        </w:rPr>
        <w:t>[132,133]</w:t>
      </w:r>
      <w:r w:rsidRPr="00BA4F0F">
        <w:rPr>
          <w:szCs w:val="24"/>
        </w:rPr>
        <w:fldChar w:fldCharType="end"/>
      </w:r>
    </w:p>
    <w:tbl>
      <w:tblPr>
        <w:tblStyle w:val="aff8"/>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34590E" w:rsidRPr="00BA4F0F" w14:paraId="525B7157" w14:textId="77777777" w:rsidTr="00EC1C67">
        <w:tc>
          <w:tcPr>
            <w:tcW w:w="1418" w:type="dxa"/>
          </w:tcPr>
          <w:p w14:paraId="31BA9B2D" w14:textId="77777777" w:rsidR="0034590E" w:rsidRPr="00BA4F0F" w:rsidRDefault="0034590E" w:rsidP="00EC1C67">
            <w:pPr>
              <w:pStyle w:val="afd"/>
              <w:ind w:left="0" w:firstLine="0"/>
              <w:rPr>
                <w:szCs w:val="24"/>
              </w:rPr>
            </w:pPr>
            <w:r w:rsidRPr="00BA4F0F">
              <w:rPr>
                <w:szCs w:val="24"/>
              </w:rPr>
              <w:t>Препарат</w:t>
            </w:r>
          </w:p>
        </w:tc>
        <w:tc>
          <w:tcPr>
            <w:tcW w:w="1701" w:type="dxa"/>
          </w:tcPr>
          <w:p w14:paraId="5EDFD80D" w14:textId="77777777" w:rsidR="0034590E" w:rsidRPr="00BA4F0F" w:rsidRDefault="0034590E" w:rsidP="00EC1C67">
            <w:pPr>
              <w:pStyle w:val="afd"/>
              <w:ind w:left="0" w:firstLine="0"/>
              <w:rPr>
                <w:szCs w:val="24"/>
              </w:rPr>
            </w:pPr>
            <w:r w:rsidRPr="00BA4F0F">
              <w:rPr>
                <w:szCs w:val="24"/>
              </w:rPr>
              <w:t>Дни введения перед ауто-ТГСК</w:t>
            </w:r>
          </w:p>
        </w:tc>
        <w:tc>
          <w:tcPr>
            <w:tcW w:w="1134" w:type="dxa"/>
          </w:tcPr>
          <w:p w14:paraId="4C70483C" w14:textId="77777777" w:rsidR="0034590E" w:rsidRPr="00BA4F0F" w:rsidRDefault="0034590E" w:rsidP="00EC1C67">
            <w:pPr>
              <w:pStyle w:val="afd"/>
              <w:ind w:left="0" w:firstLine="0"/>
              <w:rPr>
                <w:szCs w:val="24"/>
              </w:rPr>
            </w:pPr>
            <w:r w:rsidRPr="00BA4F0F">
              <w:rPr>
                <w:szCs w:val="24"/>
              </w:rPr>
              <w:t>Разовая доза</w:t>
            </w:r>
          </w:p>
        </w:tc>
        <w:tc>
          <w:tcPr>
            <w:tcW w:w="1276" w:type="dxa"/>
          </w:tcPr>
          <w:p w14:paraId="0A8FF3A7" w14:textId="77777777" w:rsidR="0034590E" w:rsidRPr="00BA4F0F" w:rsidRDefault="0034590E" w:rsidP="00EC1C67">
            <w:pPr>
              <w:pStyle w:val="afd"/>
              <w:ind w:left="0" w:firstLine="0"/>
              <w:rPr>
                <w:szCs w:val="24"/>
              </w:rPr>
            </w:pPr>
            <w:r w:rsidRPr="00BA4F0F">
              <w:rPr>
                <w:szCs w:val="24"/>
              </w:rPr>
              <w:t>Суточная доза</w:t>
            </w:r>
          </w:p>
        </w:tc>
        <w:tc>
          <w:tcPr>
            <w:tcW w:w="1275" w:type="dxa"/>
          </w:tcPr>
          <w:p w14:paraId="4F82F694" w14:textId="77777777" w:rsidR="0034590E" w:rsidRPr="00BA4F0F" w:rsidRDefault="0034590E" w:rsidP="00EC1C67">
            <w:pPr>
              <w:pStyle w:val="afd"/>
              <w:ind w:left="0" w:firstLine="0"/>
              <w:rPr>
                <w:szCs w:val="24"/>
              </w:rPr>
            </w:pPr>
            <w:r w:rsidRPr="00BA4F0F">
              <w:rPr>
                <w:szCs w:val="24"/>
              </w:rPr>
              <w:t>Курсовая доза</w:t>
            </w:r>
          </w:p>
        </w:tc>
        <w:tc>
          <w:tcPr>
            <w:tcW w:w="2659" w:type="dxa"/>
          </w:tcPr>
          <w:p w14:paraId="6E3A6C58" w14:textId="77777777" w:rsidR="0034590E" w:rsidRPr="00BA4F0F" w:rsidRDefault="0034590E" w:rsidP="00EC1C67">
            <w:pPr>
              <w:pStyle w:val="afd"/>
              <w:ind w:left="0" w:firstLine="0"/>
              <w:rPr>
                <w:szCs w:val="24"/>
              </w:rPr>
            </w:pPr>
            <w:r w:rsidRPr="00BA4F0F">
              <w:rPr>
                <w:szCs w:val="24"/>
              </w:rPr>
              <w:t>Особенности введения</w:t>
            </w:r>
          </w:p>
        </w:tc>
      </w:tr>
      <w:tr w:rsidR="0034590E" w:rsidRPr="00BA4F0F" w14:paraId="2F0B3CDC" w14:textId="77777777" w:rsidTr="00EC1C67">
        <w:tc>
          <w:tcPr>
            <w:tcW w:w="1418" w:type="dxa"/>
          </w:tcPr>
          <w:p w14:paraId="1917FCBC" w14:textId="77777777" w:rsidR="0034590E" w:rsidRPr="00BA4F0F" w:rsidRDefault="0034590E" w:rsidP="00EC1C67">
            <w:pPr>
              <w:pStyle w:val="afd"/>
              <w:ind w:left="0" w:firstLine="0"/>
              <w:jc w:val="center"/>
              <w:rPr>
                <w:szCs w:val="24"/>
              </w:rPr>
            </w:pPr>
            <w:r w:rsidRPr="00BA4F0F">
              <w:rPr>
                <w:szCs w:val="24"/>
              </w:rPr>
              <w:t>Бендамустин</w:t>
            </w:r>
          </w:p>
        </w:tc>
        <w:tc>
          <w:tcPr>
            <w:tcW w:w="1701" w:type="dxa"/>
          </w:tcPr>
          <w:p w14:paraId="484781E0" w14:textId="77777777" w:rsidR="0034590E" w:rsidRPr="00BA4F0F" w:rsidRDefault="0034590E" w:rsidP="00EC1C67">
            <w:pPr>
              <w:pStyle w:val="afd"/>
              <w:ind w:left="0" w:firstLine="0"/>
              <w:jc w:val="center"/>
              <w:rPr>
                <w:szCs w:val="24"/>
              </w:rPr>
            </w:pPr>
            <w:r w:rsidRPr="00BA4F0F">
              <w:rPr>
                <w:szCs w:val="24"/>
              </w:rPr>
              <w:t>-7, -6 день</w:t>
            </w:r>
          </w:p>
        </w:tc>
        <w:tc>
          <w:tcPr>
            <w:tcW w:w="1134" w:type="dxa"/>
          </w:tcPr>
          <w:p w14:paraId="7A4E5672" w14:textId="77777777" w:rsidR="0034590E" w:rsidRPr="00BA4F0F" w:rsidRDefault="0034590E" w:rsidP="00EC1C67">
            <w:pPr>
              <w:pStyle w:val="afd"/>
              <w:ind w:left="0" w:firstLine="0"/>
              <w:jc w:val="center"/>
              <w:rPr>
                <w:szCs w:val="24"/>
              </w:rPr>
            </w:pPr>
            <w:r w:rsidRPr="00BA4F0F">
              <w:rPr>
                <w:szCs w:val="24"/>
              </w:rPr>
              <w:t>200мг/м</w:t>
            </w:r>
            <w:r w:rsidRPr="00BA4F0F">
              <w:rPr>
                <w:szCs w:val="24"/>
                <w:vertAlign w:val="superscript"/>
              </w:rPr>
              <w:t>2</w:t>
            </w:r>
          </w:p>
        </w:tc>
        <w:tc>
          <w:tcPr>
            <w:tcW w:w="1276" w:type="dxa"/>
          </w:tcPr>
          <w:p w14:paraId="2A575F15" w14:textId="77777777" w:rsidR="0034590E" w:rsidRPr="00BA4F0F" w:rsidRDefault="0034590E" w:rsidP="00EC1C67">
            <w:pPr>
              <w:pStyle w:val="afd"/>
              <w:ind w:left="0" w:firstLine="0"/>
              <w:jc w:val="center"/>
              <w:rPr>
                <w:szCs w:val="24"/>
              </w:rPr>
            </w:pPr>
            <w:r w:rsidRPr="00BA4F0F">
              <w:rPr>
                <w:szCs w:val="24"/>
              </w:rPr>
              <w:t>200 мг/м</w:t>
            </w:r>
            <w:r w:rsidRPr="00BA4F0F">
              <w:rPr>
                <w:szCs w:val="24"/>
                <w:vertAlign w:val="superscript"/>
              </w:rPr>
              <w:t>2</w:t>
            </w:r>
          </w:p>
        </w:tc>
        <w:tc>
          <w:tcPr>
            <w:tcW w:w="1275" w:type="dxa"/>
          </w:tcPr>
          <w:p w14:paraId="74E77248" w14:textId="77777777" w:rsidR="0034590E" w:rsidRPr="00BA4F0F" w:rsidRDefault="0034590E" w:rsidP="00EC1C67">
            <w:pPr>
              <w:pStyle w:val="afd"/>
              <w:ind w:left="0" w:firstLine="0"/>
              <w:jc w:val="center"/>
              <w:rPr>
                <w:szCs w:val="24"/>
              </w:rPr>
            </w:pPr>
            <w:r w:rsidRPr="00BA4F0F">
              <w:rPr>
                <w:szCs w:val="24"/>
              </w:rPr>
              <w:t>400 мг/м</w:t>
            </w:r>
            <w:r w:rsidRPr="00BA4F0F">
              <w:rPr>
                <w:szCs w:val="24"/>
                <w:vertAlign w:val="superscript"/>
              </w:rPr>
              <w:t>2</w:t>
            </w:r>
          </w:p>
        </w:tc>
        <w:tc>
          <w:tcPr>
            <w:tcW w:w="2659" w:type="dxa"/>
          </w:tcPr>
          <w:p w14:paraId="6E182333" w14:textId="77777777" w:rsidR="0034590E" w:rsidRPr="00BA4F0F" w:rsidRDefault="0034590E" w:rsidP="00EC1C67">
            <w:pPr>
              <w:pStyle w:val="afd"/>
              <w:ind w:left="0" w:firstLine="0"/>
              <w:rPr>
                <w:szCs w:val="24"/>
              </w:rPr>
            </w:pPr>
            <w:r w:rsidRPr="00BA4F0F">
              <w:rPr>
                <w:szCs w:val="24"/>
              </w:rPr>
              <w:t xml:space="preserve">Вводится в/в в виде инфузии в течение 30-60 минут в 500 мл 0,9% </w:t>
            </w:r>
            <w:r w:rsidRPr="00BA4F0F">
              <w:rPr>
                <w:szCs w:val="24"/>
                <w:lang w:val="en-US"/>
              </w:rPr>
              <w:t>NaCl</w:t>
            </w:r>
          </w:p>
        </w:tc>
      </w:tr>
      <w:tr w:rsidR="0034590E" w:rsidRPr="00BA4F0F" w14:paraId="3587DC95" w14:textId="77777777" w:rsidTr="00EC1C67">
        <w:tc>
          <w:tcPr>
            <w:tcW w:w="1418" w:type="dxa"/>
          </w:tcPr>
          <w:p w14:paraId="5D2A9BF6" w14:textId="77777777" w:rsidR="0034590E" w:rsidRPr="00BA4F0F" w:rsidRDefault="0034590E" w:rsidP="00EC1C67">
            <w:pPr>
              <w:pStyle w:val="afd"/>
              <w:ind w:left="0" w:firstLine="0"/>
              <w:jc w:val="center"/>
              <w:rPr>
                <w:szCs w:val="24"/>
              </w:rPr>
            </w:pPr>
            <w:r w:rsidRPr="00BA4F0F">
              <w:rPr>
                <w:szCs w:val="24"/>
              </w:rPr>
              <w:t>Этопозид</w:t>
            </w:r>
          </w:p>
        </w:tc>
        <w:tc>
          <w:tcPr>
            <w:tcW w:w="1701" w:type="dxa"/>
          </w:tcPr>
          <w:p w14:paraId="46AE169E" w14:textId="77777777" w:rsidR="0034590E" w:rsidRPr="00BA4F0F" w:rsidRDefault="0034590E" w:rsidP="00EC1C67">
            <w:pPr>
              <w:pStyle w:val="afd"/>
              <w:ind w:left="0" w:firstLine="0"/>
              <w:jc w:val="center"/>
              <w:rPr>
                <w:szCs w:val="24"/>
              </w:rPr>
            </w:pPr>
            <w:r w:rsidRPr="00BA4F0F">
              <w:rPr>
                <w:szCs w:val="24"/>
              </w:rPr>
              <w:t>-5, -4, -3, -2 дни</w:t>
            </w:r>
          </w:p>
        </w:tc>
        <w:tc>
          <w:tcPr>
            <w:tcW w:w="1134" w:type="dxa"/>
          </w:tcPr>
          <w:p w14:paraId="1FA6749B" w14:textId="77777777" w:rsidR="0034590E" w:rsidRPr="00BA4F0F" w:rsidRDefault="0034590E" w:rsidP="00EC1C67">
            <w:pPr>
              <w:pStyle w:val="afd"/>
              <w:ind w:left="0" w:firstLine="0"/>
              <w:jc w:val="center"/>
              <w:rPr>
                <w:szCs w:val="24"/>
              </w:rPr>
            </w:pPr>
            <w:r w:rsidRPr="00BA4F0F">
              <w:rPr>
                <w:szCs w:val="24"/>
              </w:rPr>
              <w:t>200мг/м</w:t>
            </w:r>
            <w:r w:rsidRPr="00BA4F0F">
              <w:rPr>
                <w:szCs w:val="24"/>
                <w:vertAlign w:val="superscript"/>
              </w:rPr>
              <w:t>2</w:t>
            </w:r>
          </w:p>
        </w:tc>
        <w:tc>
          <w:tcPr>
            <w:tcW w:w="1276" w:type="dxa"/>
          </w:tcPr>
          <w:p w14:paraId="4FD4238B" w14:textId="77777777" w:rsidR="0034590E" w:rsidRPr="00BA4F0F" w:rsidRDefault="0034590E" w:rsidP="00EC1C67">
            <w:pPr>
              <w:pStyle w:val="afd"/>
              <w:ind w:left="0" w:firstLine="0"/>
              <w:jc w:val="center"/>
              <w:rPr>
                <w:szCs w:val="24"/>
              </w:rPr>
            </w:pPr>
            <w:r w:rsidRPr="00BA4F0F">
              <w:rPr>
                <w:szCs w:val="24"/>
              </w:rPr>
              <w:t>200 мг/м</w:t>
            </w:r>
            <w:r w:rsidRPr="00BA4F0F">
              <w:rPr>
                <w:szCs w:val="24"/>
                <w:vertAlign w:val="superscript"/>
              </w:rPr>
              <w:t>2</w:t>
            </w:r>
          </w:p>
        </w:tc>
        <w:tc>
          <w:tcPr>
            <w:tcW w:w="1275" w:type="dxa"/>
          </w:tcPr>
          <w:p w14:paraId="18645F0B" w14:textId="77777777" w:rsidR="0034590E" w:rsidRPr="00BA4F0F" w:rsidRDefault="0034590E" w:rsidP="00EC1C67">
            <w:pPr>
              <w:pStyle w:val="afd"/>
              <w:ind w:left="0" w:firstLine="0"/>
              <w:jc w:val="center"/>
              <w:rPr>
                <w:szCs w:val="24"/>
              </w:rPr>
            </w:pPr>
            <w:r w:rsidRPr="00BA4F0F">
              <w:rPr>
                <w:szCs w:val="24"/>
              </w:rPr>
              <w:t>800 мг/м</w:t>
            </w:r>
            <w:r w:rsidRPr="00BA4F0F">
              <w:rPr>
                <w:szCs w:val="24"/>
                <w:vertAlign w:val="superscript"/>
              </w:rPr>
              <w:t>2</w:t>
            </w:r>
          </w:p>
        </w:tc>
        <w:tc>
          <w:tcPr>
            <w:tcW w:w="2659" w:type="dxa"/>
          </w:tcPr>
          <w:p w14:paraId="5D9EF0C7" w14:textId="77777777" w:rsidR="0034590E" w:rsidRPr="00BA4F0F" w:rsidRDefault="0034590E" w:rsidP="00EC1C67">
            <w:pPr>
              <w:pStyle w:val="afd"/>
              <w:ind w:left="0" w:firstLine="0"/>
              <w:rPr>
                <w:szCs w:val="24"/>
              </w:rPr>
            </w:pPr>
            <w:r w:rsidRPr="00BA4F0F">
              <w:rPr>
                <w:szCs w:val="24"/>
              </w:rPr>
              <w:t xml:space="preserve">Вводится в/в в виде инфузии в течение 30 минут в 500 мл 0,9% </w:t>
            </w:r>
            <w:r w:rsidRPr="00BA4F0F">
              <w:rPr>
                <w:szCs w:val="24"/>
                <w:lang w:val="en-US"/>
              </w:rPr>
              <w:t>NaCl</w:t>
            </w:r>
          </w:p>
        </w:tc>
      </w:tr>
      <w:tr w:rsidR="0034590E" w:rsidRPr="00BA4F0F" w14:paraId="7061C7BB" w14:textId="77777777" w:rsidTr="00EC1C67">
        <w:tc>
          <w:tcPr>
            <w:tcW w:w="1418" w:type="dxa"/>
          </w:tcPr>
          <w:p w14:paraId="38261540" w14:textId="77777777" w:rsidR="0034590E" w:rsidRPr="00BA4F0F" w:rsidRDefault="0034590E" w:rsidP="00EC1C67">
            <w:pPr>
              <w:pStyle w:val="afd"/>
              <w:ind w:left="0" w:firstLine="0"/>
              <w:jc w:val="center"/>
              <w:rPr>
                <w:szCs w:val="24"/>
              </w:rPr>
            </w:pPr>
            <w:r w:rsidRPr="00BA4F0F">
              <w:rPr>
                <w:szCs w:val="24"/>
              </w:rPr>
              <w:t>Цитарабин</w:t>
            </w:r>
          </w:p>
        </w:tc>
        <w:tc>
          <w:tcPr>
            <w:tcW w:w="1701" w:type="dxa"/>
          </w:tcPr>
          <w:p w14:paraId="2809F8EA" w14:textId="77777777" w:rsidR="0034590E" w:rsidRPr="00BA4F0F" w:rsidRDefault="0034590E" w:rsidP="00EC1C67">
            <w:pPr>
              <w:pStyle w:val="afd"/>
              <w:ind w:left="0" w:firstLine="0"/>
              <w:jc w:val="center"/>
              <w:rPr>
                <w:szCs w:val="24"/>
              </w:rPr>
            </w:pPr>
            <w:r w:rsidRPr="00BA4F0F">
              <w:rPr>
                <w:szCs w:val="24"/>
              </w:rPr>
              <w:t>-5, -4, -3, -2 дни</w:t>
            </w:r>
          </w:p>
        </w:tc>
        <w:tc>
          <w:tcPr>
            <w:tcW w:w="1134" w:type="dxa"/>
          </w:tcPr>
          <w:p w14:paraId="219EF97C" w14:textId="77777777" w:rsidR="0034590E" w:rsidRPr="00BA4F0F" w:rsidRDefault="0034590E" w:rsidP="00EC1C67">
            <w:pPr>
              <w:pStyle w:val="afd"/>
              <w:ind w:left="0" w:firstLine="0"/>
              <w:jc w:val="center"/>
              <w:rPr>
                <w:szCs w:val="24"/>
              </w:rPr>
            </w:pPr>
            <w:r w:rsidRPr="00BA4F0F">
              <w:rPr>
                <w:szCs w:val="24"/>
              </w:rPr>
              <w:t>200мг/м</w:t>
            </w:r>
            <w:r w:rsidRPr="00BA4F0F">
              <w:rPr>
                <w:szCs w:val="24"/>
                <w:vertAlign w:val="superscript"/>
              </w:rPr>
              <w:t>2</w:t>
            </w:r>
          </w:p>
        </w:tc>
        <w:tc>
          <w:tcPr>
            <w:tcW w:w="1276" w:type="dxa"/>
          </w:tcPr>
          <w:p w14:paraId="6AD5C0AB" w14:textId="77777777" w:rsidR="0034590E" w:rsidRPr="00BA4F0F" w:rsidRDefault="0034590E" w:rsidP="00EC1C67">
            <w:pPr>
              <w:pStyle w:val="afd"/>
              <w:ind w:left="0" w:firstLine="0"/>
              <w:jc w:val="center"/>
              <w:rPr>
                <w:szCs w:val="24"/>
              </w:rPr>
            </w:pPr>
            <w:r w:rsidRPr="00BA4F0F">
              <w:rPr>
                <w:szCs w:val="24"/>
              </w:rPr>
              <w:t>400 мг/ м</w:t>
            </w:r>
            <w:r w:rsidRPr="00BA4F0F">
              <w:rPr>
                <w:szCs w:val="24"/>
                <w:vertAlign w:val="superscript"/>
              </w:rPr>
              <w:t>2</w:t>
            </w:r>
          </w:p>
        </w:tc>
        <w:tc>
          <w:tcPr>
            <w:tcW w:w="1275" w:type="dxa"/>
          </w:tcPr>
          <w:p w14:paraId="254D49EC" w14:textId="77777777" w:rsidR="0034590E" w:rsidRPr="00BA4F0F" w:rsidRDefault="0034590E" w:rsidP="00EC1C67">
            <w:pPr>
              <w:pStyle w:val="afd"/>
              <w:ind w:left="0" w:firstLine="0"/>
              <w:jc w:val="center"/>
              <w:rPr>
                <w:szCs w:val="24"/>
              </w:rPr>
            </w:pPr>
            <w:r w:rsidRPr="00BA4F0F">
              <w:rPr>
                <w:szCs w:val="24"/>
              </w:rPr>
              <w:t>1600 мг/м</w:t>
            </w:r>
            <w:r w:rsidRPr="00BA4F0F">
              <w:rPr>
                <w:szCs w:val="24"/>
                <w:vertAlign w:val="superscript"/>
              </w:rPr>
              <w:t>2</w:t>
            </w:r>
          </w:p>
        </w:tc>
        <w:tc>
          <w:tcPr>
            <w:tcW w:w="2659" w:type="dxa"/>
          </w:tcPr>
          <w:p w14:paraId="2119A87F" w14:textId="77777777" w:rsidR="0034590E" w:rsidRPr="00BA4F0F" w:rsidRDefault="0034590E" w:rsidP="00EC1C67">
            <w:pPr>
              <w:pStyle w:val="afd"/>
              <w:ind w:left="0" w:firstLine="0"/>
              <w:rPr>
                <w:szCs w:val="24"/>
              </w:rPr>
            </w:pPr>
            <w:r w:rsidRPr="00BA4F0F">
              <w:rPr>
                <w:szCs w:val="24"/>
              </w:rPr>
              <w:t xml:space="preserve">Вводится в/в в виде инфузии в течение 30 минут в 500 мл 0,9% </w:t>
            </w:r>
            <w:r w:rsidRPr="00BA4F0F">
              <w:rPr>
                <w:szCs w:val="24"/>
                <w:lang w:val="en-US"/>
              </w:rPr>
              <w:t>NaCl</w:t>
            </w:r>
          </w:p>
        </w:tc>
      </w:tr>
      <w:tr w:rsidR="0034590E" w:rsidRPr="00BA4F0F" w14:paraId="23843D89" w14:textId="77777777" w:rsidTr="00EC1C67">
        <w:tc>
          <w:tcPr>
            <w:tcW w:w="1418" w:type="dxa"/>
          </w:tcPr>
          <w:p w14:paraId="72384897" w14:textId="77777777" w:rsidR="0034590E" w:rsidRPr="00BA4F0F" w:rsidRDefault="0034590E" w:rsidP="00EC1C67">
            <w:pPr>
              <w:pStyle w:val="afd"/>
              <w:ind w:left="0" w:firstLine="0"/>
              <w:jc w:val="center"/>
              <w:rPr>
                <w:szCs w:val="24"/>
              </w:rPr>
            </w:pPr>
            <w:r w:rsidRPr="00BA4F0F">
              <w:rPr>
                <w:szCs w:val="24"/>
              </w:rPr>
              <w:t>Мелфалан</w:t>
            </w:r>
          </w:p>
        </w:tc>
        <w:tc>
          <w:tcPr>
            <w:tcW w:w="1701" w:type="dxa"/>
          </w:tcPr>
          <w:p w14:paraId="7445CC34" w14:textId="77777777" w:rsidR="0034590E" w:rsidRPr="00BA4F0F" w:rsidRDefault="0034590E" w:rsidP="00EC1C67">
            <w:pPr>
              <w:pStyle w:val="afd"/>
              <w:ind w:left="0" w:firstLine="0"/>
              <w:jc w:val="center"/>
              <w:rPr>
                <w:szCs w:val="24"/>
              </w:rPr>
            </w:pPr>
            <w:r w:rsidRPr="00BA4F0F">
              <w:rPr>
                <w:szCs w:val="24"/>
              </w:rPr>
              <w:t>- 1 день</w:t>
            </w:r>
          </w:p>
        </w:tc>
        <w:tc>
          <w:tcPr>
            <w:tcW w:w="1134" w:type="dxa"/>
          </w:tcPr>
          <w:p w14:paraId="34B7D0C4" w14:textId="77777777" w:rsidR="0034590E" w:rsidRPr="00BA4F0F" w:rsidRDefault="0034590E" w:rsidP="00EC1C67">
            <w:pPr>
              <w:pStyle w:val="afd"/>
              <w:ind w:left="0" w:firstLine="0"/>
              <w:jc w:val="center"/>
              <w:rPr>
                <w:szCs w:val="24"/>
              </w:rPr>
            </w:pPr>
            <w:r w:rsidRPr="00BA4F0F">
              <w:rPr>
                <w:szCs w:val="24"/>
              </w:rPr>
              <w:t>140мг/м</w:t>
            </w:r>
            <w:r w:rsidRPr="00BA4F0F">
              <w:rPr>
                <w:szCs w:val="24"/>
                <w:vertAlign w:val="superscript"/>
              </w:rPr>
              <w:t>2</w:t>
            </w:r>
          </w:p>
        </w:tc>
        <w:tc>
          <w:tcPr>
            <w:tcW w:w="1276" w:type="dxa"/>
          </w:tcPr>
          <w:p w14:paraId="0AD0BC02" w14:textId="77777777" w:rsidR="0034590E" w:rsidRPr="00BA4F0F" w:rsidRDefault="0034590E" w:rsidP="00EC1C67">
            <w:pPr>
              <w:pStyle w:val="afd"/>
              <w:ind w:left="0" w:firstLine="0"/>
              <w:jc w:val="center"/>
              <w:rPr>
                <w:szCs w:val="24"/>
              </w:rPr>
            </w:pPr>
            <w:r w:rsidRPr="00BA4F0F">
              <w:rPr>
                <w:szCs w:val="24"/>
              </w:rPr>
              <w:t>140 мг/м</w:t>
            </w:r>
            <w:r w:rsidRPr="00BA4F0F">
              <w:rPr>
                <w:szCs w:val="24"/>
                <w:vertAlign w:val="superscript"/>
              </w:rPr>
              <w:t>2</w:t>
            </w:r>
          </w:p>
        </w:tc>
        <w:tc>
          <w:tcPr>
            <w:tcW w:w="1275" w:type="dxa"/>
          </w:tcPr>
          <w:p w14:paraId="04C9532D" w14:textId="77777777" w:rsidR="0034590E" w:rsidRPr="00BA4F0F" w:rsidRDefault="0034590E" w:rsidP="00EC1C67">
            <w:pPr>
              <w:pStyle w:val="afd"/>
              <w:ind w:left="0" w:firstLine="0"/>
              <w:jc w:val="center"/>
              <w:rPr>
                <w:szCs w:val="24"/>
              </w:rPr>
            </w:pPr>
            <w:r w:rsidRPr="00BA4F0F">
              <w:rPr>
                <w:szCs w:val="24"/>
              </w:rPr>
              <w:t>140 мг/м</w:t>
            </w:r>
            <w:r w:rsidRPr="00BA4F0F">
              <w:rPr>
                <w:szCs w:val="24"/>
                <w:vertAlign w:val="superscript"/>
              </w:rPr>
              <w:t>2</w:t>
            </w:r>
          </w:p>
        </w:tc>
        <w:tc>
          <w:tcPr>
            <w:tcW w:w="2659" w:type="dxa"/>
          </w:tcPr>
          <w:p w14:paraId="3A888C89" w14:textId="77777777" w:rsidR="0034590E" w:rsidRPr="00BA4F0F" w:rsidRDefault="0034590E" w:rsidP="00EC1C67">
            <w:pPr>
              <w:pStyle w:val="afd"/>
              <w:ind w:left="0" w:firstLine="0"/>
              <w:rPr>
                <w:szCs w:val="24"/>
              </w:rPr>
            </w:pPr>
            <w:r w:rsidRPr="00BA4F0F">
              <w:rPr>
                <w:szCs w:val="24"/>
              </w:rPr>
              <w:t xml:space="preserve">Вводится в/в в виде инфузии в течение 1ч в 500 мл 0,9% </w:t>
            </w:r>
            <w:r w:rsidRPr="00BA4F0F">
              <w:rPr>
                <w:szCs w:val="24"/>
                <w:lang w:val="en-US"/>
              </w:rPr>
              <w:t>NaCl</w:t>
            </w:r>
          </w:p>
        </w:tc>
      </w:tr>
    </w:tbl>
    <w:p w14:paraId="23397B7A" w14:textId="77777777" w:rsidR="0034590E" w:rsidRPr="00BA4F0F" w:rsidRDefault="0034590E" w:rsidP="0034590E">
      <w:pPr>
        <w:pStyle w:val="afd"/>
        <w:ind w:left="0"/>
        <w:rPr>
          <w:szCs w:val="24"/>
          <w:u w:val="single"/>
        </w:rPr>
      </w:pPr>
      <w:bookmarkStart w:id="150" w:name="_Toc44926630"/>
    </w:p>
    <w:p w14:paraId="6F42AE77" w14:textId="77777777" w:rsidR="0034590E" w:rsidRPr="00BA4F0F" w:rsidRDefault="0034590E" w:rsidP="0034590E">
      <w:pPr>
        <w:rPr>
          <w:b/>
          <w:szCs w:val="24"/>
        </w:rPr>
      </w:pPr>
      <w:bookmarkStart w:id="151" w:name="_Toc44926632"/>
      <w:bookmarkEnd w:id="150"/>
      <w:r w:rsidRPr="00BA4F0F">
        <w:rPr>
          <w:b/>
          <w:szCs w:val="24"/>
        </w:rPr>
        <w:t>Инфузия аутологичных гемопоэтических стволовых клеток.</w:t>
      </w:r>
      <w:bookmarkEnd w:id="151"/>
    </w:p>
    <w:p w14:paraId="6C2BFF71" w14:textId="77777777" w:rsidR="0034590E" w:rsidRPr="00BA4F0F" w:rsidRDefault="0034590E" w:rsidP="0034590E">
      <w:pPr>
        <w:rPr>
          <w:szCs w:val="24"/>
        </w:rPr>
      </w:pPr>
      <w:r w:rsidRPr="00BA4F0F">
        <w:rPr>
          <w:szCs w:val="24"/>
        </w:rPr>
        <w:t>Инфузия гемопоэтических стволовых клеток осуществляется в центральный венозный катетер с соблюдением принципов асептики и антисептики.</w:t>
      </w:r>
    </w:p>
    <w:p w14:paraId="6EF387C3" w14:textId="77777777" w:rsidR="0034590E" w:rsidRPr="00BA4F0F" w:rsidRDefault="0034590E" w:rsidP="0034590E">
      <w:pPr>
        <w:rPr>
          <w:szCs w:val="24"/>
        </w:rPr>
      </w:pPr>
      <w:r w:rsidRPr="00BA4F0F">
        <w:rPr>
          <w:szCs w:val="24"/>
        </w:rPr>
        <w:t>Временной интервал после оканчание химиотерапии до инфузии ГСК не менее 24</w:t>
      </w:r>
      <w:r>
        <w:rPr>
          <w:szCs w:val="24"/>
        </w:rPr>
        <w:t xml:space="preserve"> </w:t>
      </w:r>
      <w:r w:rsidRPr="00BA4F0F">
        <w:rPr>
          <w:szCs w:val="24"/>
        </w:rPr>
        <w:t>ч.</w:t>
      </w:r>
    </w:p>
    <w:p w14:paraId="0FAC2B78" w14:textId="77777777" w:rsidR="0034590E" w:rsidRPr="00BA4F0F" w:rsidRDefault="0034590E" w:rsidP="0034590E">
      <w:pPr>
        <w:rPr>
          <w:szCs w:val="24"/>
        </w:rPr>
      </w:pPr>
      <w:r w:rsidRPr="00BA4F0F">
        <w:rPr>
          <w:szCs w:val="24"/>
        </w:rPr>
        <w:lastRenderedPageBreak/>
        <w:t>Перед началом процедуры трансплантации врач обязан осмотреть криоконсервированные мешки, содержащие ГСК, убедиться в целостности упаковки и отсутствии повреждений, сравнить идентификационные данные, указанные на упаковке с данными пациента.</w:t>
      </w:r>
    </w:p>
    <w:p w14:paraId="5B0C5629" w14:textId="77777777" w:rsidR="0034590E" w:rsidRPr="00BA4F0F" w:rsidRDefault="0034590E" w:rsidP="0034590E">
      <w:pPr>
        <w:rPr>
          <w:szCs w:val="24"/>
        </w:rPr>
      </w:pPr>
      <w:r w:rsidRPr="00BA4F0F">
        <w:rPr>
          <w:szCs w:val="24"/>
        </w:rPr>
        <w:t>Для первого введения выбирают мешок с максимальной клеточностью. При манипуляциях с мешком запрещается использовать металлические предметы (зажимы, пинцеты и т.д.). При наличии нескольких пакетов криоконсервированных ГСК между инфузиями целесообразно делать перерывы. В ряде случаев допустимо введение ГСК в течение 2 дней (пожилые, ослабленные пациенты).</w:t>
      </w:r>
    </w:p>
    <w:p w14:paraId="03524C3F" w14:textId="77777777" w:rsidR="0034590E" w:rsidRPr="00BA4F0F" w:rsidRDefault="0034590E" w:rsidP="0034590E">
      <w:pPr>
        <w:rPr>
          <w:szCs w:val="24"/>
        </w:rPr>
      </w:pPr>
      <w:r w:rsidRPr="00BA4F0F">
        <w:rPr>
          <w:szCs w:val="24"/>
        </w:rPr>
        <w:t>Криоконсервированные ГСК размораживают на водяной бане или программном размораживателе при температуре 37</w:t>
      </w:r>
      <w:r w:rsidRPr="00BA4F0F">
        <w:rPr>
          <w:szCs w:val="24"/>
          <w:vertAlign w:val="superscript"/>
        </w:rPr>
        <w:t>о</w:t>
      </w:r>
      <w:r w:rsidRPr="00BA4F0F">
        <w:rPr>
          <w:szCs w:val="24"/>
        </w:rPr>
        <w:t>С. После разморозки врач должен убедиться в том, что в мешке отсутствуют фрагменты льда или сгустки. После этого врач присоединяет мешок к системе для инфузии.</w:t>
      </w:r>
    </w:p>
    <w:p w14:paraId="0743CF34" w14:textId="77777777" w:rsidR="0034590E" w:rsidRPr="00BA4F0F" w:rsidRDefault="0034590E" w:rsidP="0034590E">
      <w:pPr>
        <w:rPr>
          <w:szCs w:val="24"/>
        </w:rPr>
      </w:pPr>
      <w:r w:rsidRPr="00BA4F0F">
        <w:rPr>
          <w:szCs w:val="24"/>
        </w:rPr>
        <w:t>В ряде случаев перед введением лейкоконцентрата в центральный венозный катетер проводится премедикация, для которой используется промедол в стандартной дозировке.</w:t>
      </w:r>
    </w:p>
    <w:p w14:paraId="4F70A7DA" w14:textId="77777777" w:rsidR="0034590E" w:rsidRPr="00BA4F0F" w:rsidRDefault="0034590E" w:rsidP="0034590E">
      <w:pPr>
        <w:rPr>
          <w:szCs w:val="24"/>
        </w:rPr>
      </w:pPr>
      <w:r w:rsidRPr="00BA4F0F">
        <w:rPr>
          <w:szCs w:val="24"/>
        </w:rPr>
        <w:t xml:space="preserve">Начальная скорость введения ГСК составляет 3-5 мл/мин (4-5 минут), после чего скорость можно увеличить до максимально возможной. Во время и после инфузий ГСК осуществляется мониторинг жизненно-важных показателей: АД, ЧСС, ЧД. </w:t>
      </w:r>
    </w:p>
    <w:p w14:paraId="2FE43C3D" w14:textId="77777777" w:rsidR="0034590E" w:rsidRPr="00BA4F0F" w:rsidRDefault="0034590E" w:rsidP="0034590E">
      <w:pPr>
        <w:rPr>
          <w:szCs w:val="24"/>
        </w:rPr>
      </w:pPr>
      <w:r w:rsidRPr="00BA4F0F">
        <w:rPr>
          <w:szCs w:val="24"/>
        </w:rPr>
        <w:t xml:space="preserve">В случае развития гемолиза, инфузия следующего мешка приостанавливается до купирования осложнений. </w:t>
      </w:r>
    </w:p>
    <w:p w14:paraId="61E7C9D9" w14:textId="77777777" w:rsidR="0034590E" w:rsidRPr="00BA4F0F" w:rsidRDefault="0034590E" w:rsidP="0034590E">
      <w:pPr>
        <w:rPr>
          <w:szCs w:val="24"/>
        </w:rPr>
      </w:pPr>
      <w:r w:rsidRPr="00BA4F0F">
        <w:rPr>
          <w:szCs w:val="24"/>
        </w:rPr>
        <w:t xml:space="preserve">После завершения инфузии ход ЦВК промывают физиологическим раствором. </w:t>
      </w:r>
    </w:p>
    <w:p w14:paraId="143773EF" w14:textId="77777777" w:rsidR="0034590E" w:rsidRPr="00BA4F0F" w:rsidRDefault="0034590E" w:rsidP="0034590E">
      <w:pPr>
        <w:rPr>
          <w:szCs w:val="24"/>
        </w:rPr>
      </w:pPr>
      <w:r w:rsidRPr="00BA4F0F">
        <w:rPr>
          <w:szCs w:val="24"/>
        </w:rPr>
        <w:t>Через 2 часа после завершения инфузии выполняют биохимическое исследование крови (оценка электролитов), оценивают цвет мочи для исключения гемолиза.</w:t>
      </w:r>
    </w:p>
    <w:p w14:paraId="2E675318" w14:textId="77777777" w:rsidR="0034590E" w:rsidRPr="00BA4F0F" w:rsidRDefault="0034590E" w:rsidP="0034590E">
      <w:pPr>
        <w:rPr>
          <w:szCs w:val="24"/>
        </w:rPr>
      </w:pPr>
      <w:r w:rsidRPr="00BA4F0F">
        <w:rPr>
          <w:szCs w:val="24"/>
        </w:rPr>
        <w:t xml:space="preserve">В истории болезни оформляется протокол операции, с указанием этапов введения ГСК, временных интервалов и состояния пациента. </w:t>
      </w:r>
    </w:p>
    <w:p w14:paraId="4CEB8D32" w14:textId="77777777" w:rsidR="0034590E" w:rsidRPr="00BA4F0F" w:rsidRDefault="0034590E" w:rsidP="0034590E">
      <w:pPr>
        <w:rPr>
          <w:szCs w:val="24"/>
        </w:rPr>
      </w:pPr>
      <w:r w:rsidRPr="00BA4F0F">
        <w:rPr>
          <w:szCs w:val="24"/>
        </w:rPr>
        <w:t xml:space="preserve">На следующий день выполняется общий анализ мочи. </w:t>
      </w:r>
    </w:p>
    <w:p w14:paraId="039489F7" w14:textId="77777777" w:rsidR="0034590E" w:rsidRPr="00BA4F0F" w:rsidRDefault="0034590E" w:rsidP="0034590E">
      <w:pPr>
        <w:rPr>
          <w:rFonts w:eastAsiaTheme="majorEastAsia"/>
          <w:b/>
          <w:bCs/>
          <w:szCs w:val="24"/>
        </w:rPr>
      </w:pPr>
      <w:bookmarkStart w:id="152" w:name="_Toc44926633"/>
    </w:p>
    <w:p w14:paraId="747D7130" w14:textId="77777777" w:rsidR="0034590E" w:rsidRPr="00BA4F0F" w:rsidRDefault="0034590E" w:rsidP="0034590E">
      <w:pPr>
        <w:rPr>
          <w:i/>
          <w:szCs w:val="24"/>
          <w:u w:val="single"/>
        </w:rPr>
      </w:pPr>
      <w:r w:rsidRPr="00BA4F0F">
        <w:rPr>
          <w:i/>
          <w:szCs w:val="24"/>
          <w:u w:val="single"/>
        </w:rPr>
        <w:t>Сопроводительная терапия при ауто-ТГСК.</w:t>
      </w:r>
      <w:bookmarkEnd w:id="152"/>
    </w:p>
    <w:p w14:paraId="0B6C41F1" w14:textId="77777777" w:rsidR="0034590E" w:rsidRPr="00BA4F0F" w:rsidRDefault="0034590E" w:rsidP="0034590E">
      <w:pPr>
        <w:rPr>
          <w:b/>
          <w:szCs w:val="24"/>
        </w:rPr>
      </w:pPr>
      <w:bookmarkStart w:id="153" w:name="_Toc44926634"/>
      <w:r w:rsidRPr="00BA4F0F">
        <w:rPr>
          <w:b/>
          <w:szCs w:val="24"/>
        </w:rPr>
        <w:t>Инфузионная терапия</w:t>
      </w:r>
      <w:bookmarkEnd w:id="153"/>
    </w:p>
    <w:p w14:paraId="532A65A2" w14:textId="77777777" w:rsidR="0034590E" w:rsidRPr="00BA4F0F" w:rsidRDefault="0034590E" w:rsidP="0034590E">
      <w:pPr>
        <w:pStyle w:val="afd"/>
        <w:ind w:left="0" w:firstLine="567"/>
        <w:rPr>
          <w:szCs w:val="24"/>
        </w:rPr>
      </w:pPr>
      <w:r w:rsidRPr="00BA4F0F">
        <w:rPr>
          <w:szCs w:val="24"/>
        </w:rPr>
        <w:t>С целью уменьшения токсичности кондиционирования и профилактики синдрома лизиса опухоли всем пациентам проводится инфузионная терапия.</w:t>
      </w:r>
    </w:p>
    <w:p w14:paraId="1C89E2B4" w14:textId="77777777" w:rsidR="0034590E" w:rsidRPr="00BA4F0F" w:rsidRDefault="0034590E" w:rsidP="0034590E">
      <w:pPr>
        <w:pStyle w:val="afd"/>
        <w:ind w:left="0" w:firstLine="567"/>
        <w:rPr>
          <w:szCs w:val="24"/>
        </w:rPr>
      </w:pPr>
      <w:r w:rsidRPr="00BA4F0F">
        <w:rPr>
          <w:szCs w:val="24"/>
        </w:rPr>
        <w:t>Основные принципы инфузионной терапии во время ауто-ТГСК:</w:t>
      </w:r>
    </w:p>
    <w:p w14:paraId="70CAC79D" w14:textId="77777777" w:rsidR="0034590E" w:rsidRPr="00BA4F0F" w:rsidRDefault="0034590E" w:rsidP="00A72B1B">
      <w:pPr>
        <w:pStyle w:val="afd"/>
        <w:numPr>
          <w:ilvl w:val="0"/>
          <w:numId w:val="59"/>
        </w:numPr>
        <w:ind w:left="0" w:firstLine="0"/>
        <w:rPr>
          <w:szCs w:val="24"/>
        </w:rPr>
      </w:pPr>
      <w:r w:rsidRPr="00BA4F0F">
        <w:rPr>
          <w:szCs w:val="24"/>
        </w:rPr>
        <w:t>Все инфузии проводятся в центральный венозный катетер</w:t>
      </w:r>
    </w:p>
    <w:p w14:paraId="2E58C307" w14:textId="77777777" w:rsidR="0034590E" w:rsidRPr="00BA4F0F" w:rsidRDefault="0034590E" w:rsidP="00A72B1B">
      <w:pPr>
        <w:pStyle w:val="afd"/>
        <w:numPr>
          <w:ilvl w:val="0"/>
          <w:numId w:val="59"/>
        </w:numPr>
        <w:ind w:left="0" w:firstLine="0"/>
        <w:rPr>
          <w:szCs w:val="24"/>
        </w:rPr>
      </w:pPr>
      <w:r w:rsidRPr="00BA4F0F">
        <w:rPr>
          <w:szCs w:val="24"/>
        </w:rPr>
        <w:lastRenderedPageBreak/>
        <w:t xml:space="preserve">На этапе предтрансплантационного кондиционирования объем инфузионной терапии составляет 2-3 литра в сутки, после трансплантации объем инфузий должен составлять не менее 1,5 литров в сутки, водная нагрузка распределяется равномерно в течение суток. Чаще всего применяются кристаллоидные растворы: изотонический раствор хлорида натрия (0,9% </w:t>
      </w:r>
      <w:r w:rsidRPr="00BA4F0F">
        <w:rPr>
          <w:szCs w:val="24"/>
          <w:lang w:val="en-US"/>
        </w:rPr>
        <w:t>NaCl</w:t>
      </w:r>
      <w:r w:rsidRPr="00BA4F0F">
        <w:rPr>
          <w:szCs w:val="24"/>
        </w:rPr>
        <w:t>), раствор 5% глюкозы, раствор Рингера, калия и магния аспарагинат. Для коррекции ацидоза используют 5% раствор натрия гидрокарбоната. В случае выраженной гипоальбумиемии, отечного синдрома безбелкового генеза применяются коллоидные растворы (5-20% растворы альбумина человеческого).</w:t>
      </w:r>
    </w:p>
    <w:p w14:paraId="1E3EBA16" w14:textId="77777777" w:rsidR="0034590E" w:rsidRPr="00BA4F0F" w:rsidRDefault="0034590E" w:rsidP="00A72B1B">
      <w:pPr>
        <w:pStyle w:val="afd"/>
        <w:numPr>
          <w:ilvl w:val="0"/>
          <w:numId w:val="59"/>
        </w:numPr>
        <w:ind w:left="0" w:firstLine="0"/>
        <w:rPr>
          <w:szCs w:val="24"/>
        </w:rPr>
      </w:pPr>
      <w:r w:rsidRPr="00BA4F0F">
        <w:rPr>
          <w:szCs w:val="24"/>
        </w:rPr>
        <w:t>В состав солевого раствора, как правило, входят раствор 5% глюкозы и 4% хлорида калия (</w:t>
      </w:r>
      <w:r w:rsidRPr="00BA4F0F">
        <w:rPr>
          <w:szCs w:val="24"/>
          <w:lang w:val="en-US"/>
        </w:rPr>
        <w:t>KCl</w:t>
      </w:r>
      <w:r w:rsidRPr="00BA4F0F">
        <w:rPr>
          <w:szCs w:val="24"/>
        </w:rPr>
        <w:t xml:space="preserve">). На этапе предтрансплантационного кондиционирования суточное количество 4% </w:t>
      </w:r>
      <w:r w:rsidRPr="00BA4F0F">
        <w:rPr>
          <w:szCs w:val="24"/>
          <w:lang w:val="en-US"/>
        </w:rPr>
        <w:t>KCl</w:t>
      </w:r>
      <w:r w:rsidRPr="00BA4F0F">
        <w:rPr>
          <w:szCs w:val="24"/>
        </w:rPr>
        <w:t xml:space="preserve"> составляет 120-150 мл, в дальнейшем доза титруется в зависимости от концентрации калия в крови. При значительной гипокалиемии, которая может быть обусловлена выраженной диарей, рвотой, применяется круглосуточное введение 4% раствора </w:t>
      </w:r>
      <w:r w:rsidRPr="00BA4F0F">
        <w:rPr>
          <w:szCs w:val="24"/>
          <w:lang w:val="en-US"/>
        </w:rPr>
        <w:t>KCl</w:t>
      </w:r>
      <w:r w:rsidRPr="00BA4F0F">
        <w:rPr>
          <w:szCs w:val="24"/>
        </w:rPr>
        <w:t>, скорость инфузии корректируется с учетом данных биохимического анализа крови.</w:t>
      </w:r>
    </w:p>
    <w:p w14:paraId="6775AFF6" w14:textId="77777777" w:rsidR="0034590E" w:rsidRPr="00BA4F0F" w:rsidRDefault="0034590E" w:rsidP="00A72B1B">
      <w:pPr>
        <w:pStyle w:val="afd"/>
        <w:numPr>
          <w:ilvl w:val="0"/>
          <w:numId w:val="59"/>
        </w:numPr>
        <w:ind w:left="0" w:firstLine="0"/>
        <w:rPr>
          <w:szCs w:val="24"/>
        </w:rPr>
      </w:pPr>
      <w:r w:rsidRPr="00BA4F0F">
        <w:rPr>
          <w:szCs w:val="24"/>
        </w:rPr>
        <w:t>У пациентов на гемодиализе объем солевых растворов не должен превышать 1 литр в сутки, при этом хлорид калия назначается только при развитии гипокалиемии.</w:t>
      </w:r>
    </w:p>
    <w:p w14:paraId="28EC65A2" w14:textId="77777777" w:rsidR="0034590E" w:rsidRPr="00BA4F0F" w:rsidRDefault="0034590E" w:rsidP="00A72B1B">
      <w:pPr>
        <w:pStyle w:val="afd"/>
        <w:numPr>
          <w:ilvl w:val="0"/>
          <w:numId w:val="59"/>
        </w:numPr>
        <w:ind w:left="0" w:firstLine="0"/>
        <w:rPr>
          <w:szCs w:val="24"/>
        </w:rPr>
      </w:pPr>
      <w:r w:rsidRPr="00BA4F0F">
        <w:rPr>
          <w:szCs w:val="24"/>
        </w:rPr>
        <w:t>Для оценки состояния водного баланса, предотвращения объемной перегрузки следует ежедневно взвешивать пациента, контролировать центральное венозное давление, артериальное давление, диурез и баланс жидкости.</w:t>
      </w:r>
    </w:p>
    <w:p w14:paraId="1003B599" w14:textId="77777777" w:rsidR="0034590E" w:rsidRPr="00BA4F0F" w:rsidRDefault="0034590E" w:rsidP="00A72B1B">
      <w:pPr>
        <w:pStyle w:val="afd"/>
        <w:numPr>
          <w:ilvl w:val="0"/>
          <w:numId w:val="59"/>
        </w:numPr>
        <w:ind w:left="0" w:firstLine="0"/>
        <w:rPr>
          <w:szCs w:val="24"/>
        </w:rPr>
      </w:pPr>
      <w:r w:rsidRPr="00BA4F0F">
        <w:rPr>
          <w:szCs w:val="24"/>
        </w:rPr>
        <w:t>При развитии фебрильной лихорадки объем инфузионной терапии должен быть увеличен до 3-4 литров в сутки под контролем водного баланса.</w:t>
      </w:r>
    </w:p>
    <w:p w14:paraId="795A5577" w14:textId="77777777" w:rsidR="0034590E" w:rsidRPr="00BA4F0F" w:rsidRDefault="0034590E" w:rsidP="00A72B1B">
      <w:pPr>
        <w:pStyle w:val="afd"/>
        <w:numPr>
          <w:ilvl w:val="0"/>
          <w:numId w:val="59"/>
        </w:numPr>
        <w:ind w:left="0" w:firstLine="0"/>
        <w:rPr>
          <w:szCs w:val="24"/>
        </w:rPr>
      </w:pPr>
      <w:r w:rsidRPr="00BA4F0F">
        <w:rPr>
          <w:szCs w:val="24"/>
        </w:rPr>
        <w:t>Регулярный контроль электролитов (калия, натрия, кальция, хлора, магния) необходим для коррекции инфузионной терапии, при выраженной гипокальциемии, гипомагниемии назначается внутривенное введение препаратов кальция, магния.</w:t>
      </w:r>
    </w:p>
    <w:p w14:paraId="198DC0DA" w14:textId="77777777" w:rsidR="0034590E" w:rsidRPr="00BA4F0F" w:rsidRDefault="0034590E" w:rsidP="00A72B1B">
      <w:pPr>
        <w:pStyle w:val="afd"/>
        <w:numPr>
          <w:ilvl w:val="0"/>
          <w:numId w:val="59"/>
        </w:numPr>
        <w:ind w:left="0" w:firstLine="0"/>
        <w:rPr>
          <w:szCs w:val="24"/>
        </w:rPr>
      </w:pPr>
      <w:r w:rsidRPr="00BA4F0F">
        <w:rPr>
          <w:szCs w:val="24"/>
        </w:rPr>
        <w:t>Во время предтрансплантационного кондиционирования проводится гипоурикемическая терапия аллопуринолом в суточной дозе 200 мг/м</w:t>
      </w:r>
      <w:r w:rsidRPr="00BA4F0F">
        <w:rPr>
          <w:szCs w:val="24"/>
          <w:vertAlign w:val="superscript"/>
        </w:rPr>
        <w:t>2</w:t>
      </w:r>
      <w:r w:rsidRPr="00BA4F0F">
        <w:rPr>
          <w:szCs w:val="24"/>
        </w:rPr>
        <w:t xml:space="preserve"> .</w:t>
      </w:r>
    </w:p>
    <w:p w14:paraId="6E2C202B" w14:textId="77777777" w:rsidR="0034590E" w:rsidRPr="00BA4F0F" w:rsidRDefault="0034590E" w:rsidP="00A72B1B">
      <w:pPr>
        <w:pStyle w:val="afd"/>
        <w:numPr>
          <w:ilvl w:val="0"/>
          <w:numId w:val="59"/>
        </w:numPr>
        <w:ind w:left="0" w:firstLine="0"/>
        <w:rPr>
          <w:szCs w:val="24"/>
        </w:rPr>
      </w:pPr>
      <w:r w:rsidRPr="00BA4F0F">
        <w:rPr>
          <w:szCs w:val="24"/>
        </w:rPr>
        <w:t>Во время предтрансплантационного кондиционирования рекомендуется назначение мочегонных средств для форсированного диуреза (фуросемид 20-60 мг/сут).</w:t>
      </w:r>
    </w:p>
    <w:p w14:paraId="2DDAFB92" w14:textId="77777777" w:rsidR="0034590E" w:rsidRPr="00BA4F0F" w:rsidRDefault="0034590E" w:rsidP="0034590E">
      <w:pPr>
        <w:rPr>
          <w:b/>
          <w:szCs w:val="24"/>
        </w:rPr>
      </w:pPr>
      <w:bookmarkStart w:id="154" w:name="_Toc44926635"/>
    </w:p>
    <w:p w14:paraId="44F1E3E2" w14:textId="77777777" w:rsidR="0034590E" w:rsidRPr="00BA4F0F" w:rsidRDefault="0034590E" w:rsidP="0034590E">
      <w:pPr>
        <w:rPr>
          <w:b/>
          <w:szCs w:val="24"/>
        </w:rPr>
      </w:pPr>
      <w:bookmarkStart w:id="155" w:name="_Toc44926637"/>
      <w:bookmarkEnd w:id="154"/>
      <w:r w:rsidRPr="00BA4F0F">
        <w:rPr>
          <w:b/>
          <w:szCs w:val="24"/>
        </w:rPr>
        <w:t>Антисекреторная терапия</w:t>
      </w:r>
      <w:bookmarkEnd w:id="155"/>
    </w:p>
    <w:p w14:paraId="0EC038C2" w14:textId="0EC37DFF" w:rsidR="0034590E" w:rsidRPr="00BA4F0F" w:rsidRDefault="0034590E" w:rsidP="0034590E">
      <w:pPr>
        <w:shd w:val="clear" w:color="auto" w:fill="FFFFFF"/>
        <w:tabs>
          <w:tab w:val="left" w:pos="0"/>
          <w:tab w:val="left" w:pos="394"/>
        </w:tabs>
        <w:rPr>
          <w:rFonts w:eastAsia="Arial Unicode MS"/>
          <w:color w:val="000000"/>
          <w:spacing w:val="4"/>
          <w:szCs w:val="24"/>
          <w:u w:color="000000"/>
          <w:lang w:eastAsia="ru-RU"/>
        </w:rPr>
      </w:pPr>
      <w:r w:rsidRPr="00BA4F0F">
        <w:rPr>
          <w:rFonts w:eastAsia="Arial Unicode MS"/>
          <w:color w:val="000000"/>
          <w:spacing w:val="4"/>
          <w:szCs w:val="24"/>
          <w:u w:color="000000"/>
          <w:shd w:val="clear" w:color="auto" w:fill="FFFFFF"/>
          <w:lang w:eastAsia="ru-RU"/>
        </w:rPr>
        <w:t>В настоящее время с антисекреторной целью применяются два класса п</w:t>
      </w:r>
      <w:r w:rsidRPr="00BA4F0F">
        <w:rPr>
          <w:rFonts w:eastAsia="Arial Unicode MS"/>
          <w:color w:val="000000"/>
          <w:spacing w:val="4"/>
          <w:szCs w:val="24"/>
          <w:u w:color="000000"/>
          <w:lang w:eastAsia="ru-RU"/>
        </w:rPr>
        <w:t xml:space="preserve">репаратов: ингибиторы протонной помпы и блокаторы Н2-гистаминовых рецепторов </w:t>
      </w:r>
      <w:r w:rsidRPr="00BA4F0F">
        <w:rPr>
          <w:rFonts w:eastAsia="Arial Unicode MS"/>
          <w:color w:val="000000"/>
          <w:spacing w:val="4"/>
          <w:szCs w:val="24"/>
          <w:u w:color="000000"/>
          <w:lang w:eastAsia="ru-RU"/>
        </w:rPr>
        <w:fldChar w:fldCharType="begin" w:fldLock="1"/>
      </w:r>
      <w:r w:rsidR="00F44253">
        <w:rPr>
          <w:rFonts w:eastAsia="Arial Unicode MS"/>
          <w:color w:val="000000"/>
          <w:spacing w:val="4"/>
          <w:szCs w:val="24"/>
          <w:u w:color="000000"/>
          <w:lang w:eastAsia="ru-RU"/>
        </w:rPr>
        <w:instrText>ADDIN CSL_CITATION {"citationItems":[{"id":"ITEM-1","itemData":{"PMID":"24833682","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Open","id":"ITEM-1","issue":"5","issued":{"date-parts":[["2014","5","1"]]},"page":"e004587","title":"Corticosteroids and risk of gastrointestinal bleeding: A systematic review and meta-analysis","type":"article-journal","volume":"4"},"uris":["http://www.mendeley.com/documents/?uuid=926ef8e8-8aa3-4855-829a-14142b61de3e"]},{"id":"ITEM-2","itemData":{"DOI":"10.1111/j.1365-2796.1994.tb00855.x","ISSN":"0954-6820","PMID":"7989897","abstract":"OBJECTIVES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medicine","id":"ITEM-2","issue":"6","issued":{"date-parts":[["1994","12"]]},"page":"619-32","publisher":"J Intern Med","title":"Corticosteroids and peptic ulcer: meta-analysis of adverse events during steroid therapy.","type":"article-journal","volume":"236"},"uris":["http://www.mendeley.com/documents/?uuid=84af1729-7cf0-45a4-828e-6c0ee9132476"]}],"mendeley":{"formattedCitation":"[47,68]","plainTextFormattedCitation":"[47,68]","previouslyFormattedCitation":"[47,68]"},"properties":{"noteIndex":0},"schema":"https://github.com/citation-style-language/schema/raw/master/csl-citation.json"}</w:instrText>
      </w:r>
      <w:r w:rsidRPr="00BA4F0F">
        <w:rPr>
          <w:rFonts w:eastAsia="Arial Unicode MS"/>
          <w:color w:val="000000"/>
          <w:spacing w:val="4"/>
          <w:szCs w:val="24"/>
          <w:u w:color="000000"/>
          <w:lang w:eastAsia="ru-RU"/>
        </w:rPr>
        <w:fldChar w:fldCharType="separate"/>
      </w:r>
      <w:r w:rsidR="004D13EB" w:rsidRPr="004D13EB">
        <w:rPr>
          <w:rFonts w:eastAsia="Arial Unicode MS"/>
          <w:noProof/>
          <w:color w:val="000000"/>
          <w:spacing w:val="4"/>
          <w:szCs w:val="24"/>
          <w:u w:color="000000"/>
          <w:lang w:eastAsia="ru-RU"/>
        </w:rPr>
        <w:t>[47,68]</w:t>
      </w:r>
      <w:r w:rsidRPr="00BA4F0F">
        <w:rPr>
          <w:rFonts w:eastAsia="Arial Unicode MS"/>
          <w:color w:val="000000"/>
          <w:spacing w:val="4"/>
          <w:szCs w:val="24"/>
          <w:u w:color="000000"/>
          <w:lang w:eastAsia="ru-RU"/>
        </w:rPr>
        <w:fldChar w:fldCharType="end"/>
      </w:r>
      <w:r w:rsidRPr="00BA4F0F">
        <w:rPr>
          <w:rFonts w:eastAsia="Arial Unicode MS"/>
          <w:color w:val="000000"/>
          <w:spacing w:val="4"/>
          <w:szCs w:val="24"/>
          <w:u w:color="000000"/>
          <w:lang w:eastAsia="ru-RU"/>
        </w:rPr>
        <w:t>.</w:t>
      </w:r>
    </w:p>
    <w:p w14:paraId="7F4E3447" w14:textId="77777777" w:rsidR="0034590E" w:rsidRPr="00BA4F0F" w:rsidRDefault="0034590E" w:rsidP="0034590E">
      <w:pPr>
        <w:pStyle w:val="afd"/>
        <w:ind w:left="0"/>
        <w:rPr>
          <w:szCs w:val="24"/>
          <w:u w:val="single"/>
        </w:rPr>
      </w:pPr>
    </w:p>
    <w:p w14:paraId="763884C5" w14:textId="77777777" w:rsidR="0034590E" w:rsidRPr="00BA4F0F" w:rsidRDefault="0034590E" w:rsidP="0034590E">
      <w:pPr>
        <w:pStyle w:val="afd"/>
        <w:ind w:left="0"/>
        <w:rPr>
          <w:szCs w:val="24"/>
          <w:u w:val="single"/>
        </w:rPr>
      </w:pPr>
      <w:r w:rsidRPr="00BA4F0F">
        <w:rPr>
          <w:szCs w:val="24"/>
          <w:u w:val="single"/>
        </w:rPr>
        <w:lastRenderedPageBreak/>
        <w:t>Ингибиторы протонной помпы (ИПП)</w:t>
      </w:r>
    </w:p>
    <w:p w14:paraId="714A78DE" w14:textId="77777777" w:rsidR="0034590E" w:rsidRPr="00BA4F0F" w:rsidRDefault="0034590E" w:rsidP="0034590E">
      <w:pPr>
        <w:shd w:val="clear" w:color="auto" w:fill="FFFFFF"/>
        <w:tabs>
          <w:tab w:val="left" w:pos="0"/>
          <w:tab w:val="left" w:pos="394"/>
        </w:tabs>
        <w:rPr>
          <w:rFonts w:eastAsia="Arial Unicode MS"/>
          <w:b/>
          <w:color w:val="000000"/>
          <w:spacing w:val="4"/>
          <w:szCs w:val="24"/>
          <w:u w:color="000000"/>
          <w:lang w:eastAsia="ru-RU"/>
        </w:rPr>
      </w:pPr>
      <w:r w:rsidRPr="00BA4F0F">
        <w:rPr>
          <w:rFonts w:eastAsia="Arial Unicode MS"/>
          <w:b/>
          <w:color w:val="000000"/>
          <w:spacing w:val="4"/>
          <w:szCs w:val="24"/>
          <w:u w:color="000000"/>
          <w:shd w:val="clear" w:color="auto" w:fill="FFFFFF"/>
          <w:lang w:eastAsia="ru-RU"/>
        </w:rPr>
        <w:t>Режим дозирования</w:t>
      </w:r>
    </w:p>
    <w:p w14:paraId="510BCDDD" w14:textId="77777777" w:rsidR="0034590E" w:rsidRPr="00BA4F0F" w:rsidRDefault="0034590E" w:rsidP="0034590E">
      <w:pPr>
        <w:shd w:val="clear" w:color="auto" w:fill="FFFFFF"/>
        <w:tabs>
          <w:tab w:val="left" w:pos="0"/>
          <w:tab w:val="left" w:pos="394"/>
        </w:tabs>
        <w:rPr>
          <w:rFonts w:eastAsia="Arial Unicode MS"/>
          <w:color w:val="000000"/>
          <w:spacing w:val="4"/>
          <w:szCs w:val="24"/>
          <w:u w:color="000000"/>
          <w:lang w:eastAsia="ru-RU"/>
        </w:rPr>
      </w:pPr>
      <w:r w:rsidRPr="00BA4F0F">
        <w:rPr>
          <w:rFonts w:eastAsia="Arial Unicode MS"/>
          <w:color w:val="000000"/>
          <w:spacing w:val="4"/>
          <w:szCs w:val="24"/>
          <w:u w:color="000000"/>
          <w:lang w:eastAsia="ru-RU"/>
        </w:rPr>
        <w:t xml:space="preserve">Пациентам во время проведения курсов специфической противоопухолевой терапии, рекомендован прием ИПП в указанных в таблице </w:t>
      </w:r>
      <w:r>
        <w:rPr>
          <w:rFonts w:eastAsia="Arial Unicode MS"/>
          <w:color w:val="000000"/>
          <w:spacing w:val="4"/>
          <w:szCs w:val="24"/>
          <w:u w:color="000000"/>
          <w:lang w:eastAsia="ru-RU"/>
        </w:rPr>
        <w:t>7</w:t>
      </w:r>
      <w:r w:rsidRPr="00BA4F0F">
        <w:rPr>
          <w:rFonts w:eastAsia="Arial Unicode MS"/>
          <w:color w:val="000000"/>
          <w:spacing w:val="4"/>
          <w:szCs w:val="24"/>
          <w:u w:color="000000"/>
          <w:lang w:eastAsia="ru-RU"/>
        </w:rPr>
        <w:t xml:space="preserve"> дозах. </w:t>
      </w:r>
    </w:p>
    <w:p w14:paraId="4CE582CF" w14:textId="77777777" w:rsidR="0034590E" w:rsidRPr="00BA4F0F" w:rsidRDefault="0034590E" w:rsidP="0034590E">
      <w:pPr>
        <w:shd w:val="clear" w:color="auto" w:fill="FFFFFF"/>
        <w:tabs>
          <w:tab w:val="left" w:pos="0"/>
          <w:tab w:val="left" w:pos="394"/>
        </w:tabs>
        <w:rPr>
          <w:rFonts w:eastAsia="Arial Unicode MS"/>
          <w:color w:val="000000"/>
          <w:spacing w:val="4"/>
          <w:szCs w:val="24"/>
          <w:u w:color="000000"/>
          <w:lang w:eastAsia="ru-RU"/>
        </w:rPr>
      </w:pPr>
    </w:p>
    <w:p w14:paraId="1BD80BC7" w14:textId="77777777" w:rsidR="0034590E" w:rsidRPr="00BA4F0F" w:rsidRDefault="0034590E" w:rsidP="0034590E">
      <w:pPr>
        <w:shd w:val="clear" w:color="auto" w:fill="FFFFFF"/>
        <w:tabs>
          <w:tab w:val="left" w:pos="0"/>
          <w:tab w:val="left" w:pos="394"/>
        </w:tabs>
        <w:rPr>
          <w:rFonts w:eastAsia="Arial Unicode MS"/>
          <w:color w:val="000000"/>
          <w:spacing w:val="4"/>
          <w:szCs w:val="24"/>
          <w:u w:color="000000"/>
          <w:lang w:eastAsia="ru-RU"/>
        </w:rPr>
      </w:pPr>
      <w:r w:rsidRPr="009578F5">
        <w:rPr>
          <w:rFonts w:eastAsia="Arial Unicode MS"/>
          <w:color w:val="000000"/>
          <w:spacing w:val="4"/>
          <w:szCs w:val="24"/>
          <w:u w:color="000000"/>
          <w:lang w:eastAsia="ru-RU"/>
        </w:rPr>
        <w:t xml:space="preserve">Таблица </w:t>
      </w:r>
      <w:r>
        <w:rPr>
          <w:rFonts w:eastAsia="Arial Unicode MS"/>
          <w:color w:val="000000"/>
          <w:spacing w:val="4"/>
          <w:szCs w:val="24"/>
          <w:u w:color="000000"/>
          <w:lang w:eastAsia="ru-RU"/>
        </w:rPr>
        <w:t>7</w:t>
      </w:r>
      <w:r w:rsidRPr="009578F5">
        <w:rPr>
          <w:rFonts w:eastAsia="Arial Unicode MS"/>
          <w:color w:val="000000"/>
          <w:spacing w:val="4"/>
          <w:szCs w:val="24"/>
          <w:u w:color="000000"/>
          <w:lang w:eastAsia="ru-RU"/>
        </w:rPr>
        <w:t>. Режим дозирования ИПП с профилактической целью</w:t>
      </w:r>
    </w:p>
    <w:tbl>
      <w:tblPr>
        <w:tblStyle w:val="31"/>
        <w:tblW w:w="0" w:type="auto"/>
        <w:jc w:val="center"/>
        <w:tblLook w:val="04A0" w:firstRow="1" w:lastRow="0" w:firstColumn="1" w:lastColumn="0" w:noHBand="0" w:noVBand="1"/>
      </w:tblPr>
      <w:tblGrid>
        <w:gridCol w:w="2220"/>
        <w:gridCol w:w="1857"/>
        <w:gridCol w:w="4200"/>
      </w:tblGrid>
      <w:tr w:rsidR="0034590E" w:rsidRPr="00BA4F0F" w14:paraId="4EDEDD8D" w14:textId="77777777" w:rsidTr="00EC1C67">
        <w:trPr>
          <w:jc w:val="center"/>
        </w:trPr>
        <w:tc>
          <w:tcPr>
            <w:tcW w:w="2220" w:type="dxa"/>
          </w:tcPr>
          <w:p w14:paraId="4A489D32" w14:textId="77777777" w:rsidR="0034590E" w:rsidRPr="00BA4F0F" w:rsidRDefault="0034590E" w:rsidP="00EC1C67">
            <w:pPr>
              <w:tabs>
                <w:tab w:val="left" w:pos="0"/>
              </w:tabs>
              <w:ind w:firstLine="0"/>
              <w:jc w:val="center"/>
              <w:rPr>
                <w:b/>
                <w:lang w:eastAsia="ru-RU"/>
              </w:rPr>
            </w:pPr>
            <w:r w:rsidRPr="00BA4F0F">
              <w:rPr>
                <w:b/>
                <w:lang w:eastAsia="ru-RU"/>
              </w:rPr>
              <w:t>Препарат</w:t>
            </w:r>
          </w:p>
        </w:tc>
        <w:tc>
          <w:tcPr>
            <w:tcW w:w="1857" w:type="dxa"/>
          </w:tcPr>
          <w:p w14:paraId="5EC36114" w14:textId="77777777" w:rsidR="0034590E" w:rsidRPr="00BA4F0F" w:rsidRDefault="0034590E" w:rsidP="00EC1C67">
            <w:pPr>
              <w:tabs>
                <w:tab w:val="left" w:pos="0"/>
              </w:tabs>
              <w:ind w:firstLine="0"/>
              <w:jc w:val="center"/>
              <w:rPr>
                <w:b/>
                <w:lang w:eastAsia="ru-RU"/>
              </w:rPr>
            </w:pPr>
            <w:r w:rsidRPr="00BA4F0F">
              <w:rPr>
                <w:b/>
                <w:lang w:eastAsia="ru-RU"/>
              </w:rPr>
              <w:t>Суточная доза, мг</w:t>
            </w:r>
          </w:p>
        </w:tc>
        <w:tc>
          <w:tcPr>
            <w:tcW w:w="4200" w:type="dxa"/>
          </w:tcPr>
          <w:p w14:paraId="087014E9" w14:textId="77777777" w:rsidR="0034590E" w:rsidRPr="00BA4F0F" w:rsidRDefault="0034590E" w:rsidP="00EC1C67">
            <w:pPr>
              <w:tabs>
                <w:tab w:val="left" w:pos="0"/>
              </w:tabs>
              <w:ind w:firstLine="0"/>
              <w:jc w:val="center"/>
              <w:rPr>
                <w:b/>
                <w:lang w:eastAsia="ru-RU"/>
              </w:rPr>
            </w:pPr>
            <w:r w:rsidRPr="00BA4F0F">
              <w:rPr>
                <w:b/>
                <w:lang w:eastAsia="ru-RU"/>
              </w:rPr>
              <w:t>Режим дозирования</w:t>
            </w:r>
          </w:p>
        </w:tc>
      </w:tr>
      <w:tr w:rsidR="0034590E" w:rsidRPr="00BA4F0F" w14:paraId="517983DA" w14:textId="77777777" w:rsidTr="00EC1C67">
        <w:trPr>
          <w:jc w:val="center"/>
        </w:trPr>
        <w:tc>
          <w:tcPr>
            <w:tcW w:w="2220" w:type="dxa"/>
          </w:tcPr>
          <w:p w14:paraId="56E638D2" w14:textId="77777777" w:rsidR="0034590E" w:rsidRPr="00BA4F0F" w:rsidRDefault="0034590E" w:rsidP="00EC1C67">
            <w:pPr>
              <w:tabs>
                <w:tab w:val="left" w:pos="0"/>
              </w:tabs>
              <w:ind w:firstLine="0"/>
              <w:rPr>
                <w:lang w:eastAsia="ru-RU"/>
              </w:rPr>
            </w:pPr>
            <w:r w:rsidRPr="00BA4F0F">
              <w:rPr>
                <w:lang w:eastAsia="ru-RU"/>
              </w:rPr>
              <w:t>Омепразол</w:t>
            </w:r>
          </w:p>
        </w:tc>
        <w:tc>
          <w:tcPr>
            <w:tcW w:w="1857" w:type="dxa"/>
          </w:tcPr>
          <w:p w14:paraId="591EBEE2" w14:textId="77777777" w:rsidR="0034590E" w:rsidRPr="00BA4F0F" w:rsidRDefault="0034590E" w:rsidP="00EC1C67">
            <w:pPr>
              <w:tabs>
                <w:tab w:val="left" w:pos="0"/>
              </w:tabs>
              <w:ind w:firstLine="0"/>
              <w:rPr>
                <w:lang w:eastAsia="ru-RU"/>
              </w:rPr>
            </w:pPr>
            <w:r w:rsidRPr="00BA4F0F">
              <w:rPr>
                <w:lang w:eastAsia="ru-RU"/>
              </w:rPr>
              <w:t xml:space="preserve">20 </w:t>
            </w:r>
          </w:p>
          <w:p w14:paraId="0B8DC1D7" w14:textId="77777777" w:rsidR="0034590E" w:rsidRPr="00BA4F0F" w:rsidRDefault="0034590E" w:rsidP="00EC1C67">
            <w:pPr>
              <w:tabs>
                <w:tab w:val="left" w:pos="0"/>
              </w:tabs>
              <w:ind w:firstLine="0"/>
              <w:rPr>
                <w:lang w:eastAsia="ru-RU"/>
              </w:rPr>
            </w:pPr>
            <w:r w:rsidRPr="00BA4F0F">
              <w:rPr>
                <w:lang w:eastAsia="ru-RU"/>
              </w:rPr>
              <w:t>40</w:t>
            </w:r>
          </w:p>
        </w:tc>
        <w:tc>
          <w:tcPr>
            <w:tcW w:w="4200" w:type="dxa"/>
          </w:tcPr>
          <w:p w14:paraId="5852117F" w14:textId="77777777" w:rsidR="0034590E" w:rsidRPr="00BA4F0F" w:rsidRDefault="0034590E" w:rsidP="00EC1C67">
            <w:pPr>
              <w:tabs>
                <w:tab w:val="left" w:pos="0"/>
              </w:tabs>
              <w:ind w:firstLine="0"/>
              <w:rPr>
                <w:lang w:eastAsia="ru-RU"/>
              </w:rPr>
            </w:pPr>
            <w:r w:rsidRPr="00BA4F0F">
              <w:rPr>
                <w:lang w:eastAsia="ru-RU"/>
              </w:rPr>
              <w:t>Внутрь, 1 раз в сутки;</w:t>
            </w:r>
          </w:p>
          <w:p w14:paraId="5F761E69" w14:textId="77777777" w:rsidR="0034590E" w:rsidRPr="00BA4F0F" w:rsidRDefault="0034590E" w:rsidP="00EC1C67">
            <w:pPr>
              <w:tabs>
                <w:tab w:val="left" w:pos="0"/>
              </w:tabs>
              <w:ind w:firstLine="0"/>
              <w:rPr>
                <w:lang w:eastAsia="ru-RU"/>
              </w:rPr>
            </w:pPr>
            <w:r w:rsidRPr="00BA4F0F">
              <w:rPr>
                <w:lang w:eastAsia="ru-RU"/>
              </w:rPr>
              <w:t xml:space="preserve"> в/в, 1 раз в сутки</w:t>
            </w:r>
          </w:p>
        </w:tc>
      </w:tr>
      <w:tr w:rsidR="0034590E" w:rsidRPr="00BA4F0F" w14:paraId="5ADD412D" w14:textId="77777777" w:rsidTr="00EC1C67">
        <w:trPr>
          <w:jc w:val="center"/>
        </w:trPr>
        <w:tc>
          <w:tcPr>
            <w:tcW w:w="2220" w:type="dxa"/>
          </w:tcPr>
          <w:p w14:paraId="3DC416A4" w14:textId="77777777" w:rsidR="0034590E" w:rsidRPr="00BA4F0F" w:rsidRDefault="0034590E" w:rsidP="00EC1C67">
            <w:pPr>
              <w:tabs>
                <w:tab w:val="left" w:pos="0"/>
              </w:tabs>
              <w:ind w:firstLine="0"/>
              <w:rPr>
                <w:lang w:eastAsia="ru-RU"/>
              </w:rPr>
            </w:pPr>
            <w:r w:rsidRPr="00BA4F0F">
              <w:rPr>
                <w:lang w:eastAsia="ru-RU"/>
              </w:rPr>
              <w:t>Лансопразол</w:t>
            </w:r>
          </w:p>
        </w:tc>
        <w:tc>
          <w:tcPr>
            <w:tcW w:w="1857" w:type="dxa"/>
          </w:tcPr>
          <w:p w14:paraId="26A56041" w14:textId="77777777" w:rsidR="0034590E" w:rsidRPr="00BA4F0F" w:rsidRDefault="0034590E" w:rsidP="00EC1C67">
            <w:pPr>
              <w:tabs>
                <w:tab w:val="left" w:pos="0"/>
              </w:tabs>
              <w:ind w:firstLine="0"/>
              <w:rPr>
                <w:lang w:eastAsia="ru-RU"/>
              </w:rPr>
            </w:pPr>
            <w:r w:rsidRPr="00BA4F0F">
              <w:rPr>
                <w:lang w:eastAsia="ru-RU"/>
              </w:rPr>
              <w:t xml:space="preserve">30 </w:t>
            </w:r>
          </w:p>
        </w:tc>
        <w:tc>
          <w:tcPr>
            <w:tcW w:w="4200" w:type="dxa"/>
          </w:tcPr>
          <w:p w14:paraId="316A6CD0" w14:textId="77777777" w:rsidR="0034590E" w:rsidRPr="00BA4F0F" w:rsidRDefault="0034590E" w:rsidP="00EC1C67">
            <w:pPr>
              <w:ind w:firstLine="0"/>
            </w:pPr>
            <w:r w:rsidRPr="00BA4F0F">
              <w:rPr>
                <w:lang w:eastAsia="ru-RU"/>
              </w:rPr>
              <w:t>Внутрь, 1 раз в сутки</w:t>
            </w:r>
          </w:p>
        </w:tc>
      </w:tr>
      <w:tr w:rsidR="0034590E" w:rsidRPr="00BA4F0F" w14:paraId="48CA5E6C" w14:textId="77777777" w:rsidTr="00EC1C67">
        <w:trPr>
          <w:jc w:val="center"/>
        </w:trPr>
        <w:tc>
          <w:tcPr>
            <w:tcW w:w="2220" w:type="dxa"/>
          </w:tcPr>
          <w:p w14:paraId="751A3E7A" w14:textId="77777777" w:rsidR="0034590E" w:rsidRPr="00BA4F0F" w:rsidRDefault="0034590E" w:rsidP="00EC1C67">
            <w:pPr>
              <w:tabs>
                <w:tab w:val="left" w:pos="0"/>
              </w:tabs>
              <w:ind w:firstLine="0"/>
              <w:rPr>
                <w:lang w:eastAsia="ru-RU"/>
              </w:rPr>
            </w:pPr>
            <w:r w:rsidRPr="00BA4F0F">
              <w:rPr>
                <w:lang w:eastAsia="ru-RU"/>
              </w:rPr>
              <w:t>Пантопразол</w:t>
            </w:r>
          </w:p>
        </w:tc>
        <w:tc>
          <w:tcPr>
            <w:tcW w:w="1857" w:type="dxa"/>
          </w:tcPr>
          <w:p w14:paraId="0ADBB414" w14:textId="77777777" w:rsidR="0034590E" w:rsidRPr="00BA4F0F" w:rsidRDefault="0034590E" w:rsidP="00EC1C67">
            <w:pPr>
              <w:tabs>
                <w:tab w:val="left" w:pos="0"/>
              </w:tabs>
              <w:ind w:firstLine="0"/>
              <w:rPr>
                <w:lang w:eastAsia="ru-RU"/>
              </w:rPr>
            </w:pPr>
            <w:r w:rsidRPr="00BA4F0F">
              <w:rPr>
                <w:lang w:eastAsia="ru-RU"/>
              </w:rPr>
              <w:t xml:space="preserve">40 </w:t>
            </w:r>
          </w:p>
        </w:tc>
        <w:tc>
          <w:tcPr>
            <w:tcW w:w="4200" w:type="dxa"/>
          </w:tcPr>
          <w:p w14:paraId="29980A28" w14:textId="77777777" w:rsidR="0034590E" w:rsidRPr="00BA4F0F" w:rsidRDefault="0034590E" w:rsidP="00EC1C67">
            <w:pPr>
              <w:ind w:firstLine="0"/>
            </w:pPr>
            <w:r w:rsidRPr="00BA4F0F">
              <w:rPr>
                <w:lang w:eastAsia="ru-RU"/>
              </w:rPr>
              <w:t>Внутрь, 1 раз в сутки</w:t>
            </w:r>
          </w:p>
        </w:tc>
      </w:tr>
      <w:tr w:rsidR="0034590E" w:rsidRPr="00BA4F0F" w14:paraId="3FE4A2B2" w14:textId="77777777" w:rsidTr="00EC1C67">
        <w:trPr>
          <w:jc w:val="center"/>
        </w:trPr>
        <w:tc>
          <w:tcPr>
            <w:tcW w:w="2220" w:type="dxa"/>
          </w:tcPr>
          <w:p w14:paraId="1695306D" w14:textId="77777777" w:rsidR="0034590E" w:rsidRPr="00BA4F0F" w:rsidRDefault="0034590E" w:rsidP="00EC1C67">
            <w:pPr>
              <w:tabs>
                <w:tab w:val="left" w:pos="0"/>
              </w:tabs>
              <w:ind w:firstLine="0"/>
              <w:rPr>
                <w:lang w:eastAsia="ru-RU"/>
              </w:rPr>
            </w:pPr>
            <w:r w:rsidRPr="00BA4F0F">
              <w:t>Рабепразол</w:t>
            </w:r>
          </w:p>
        </w:tc>
        <w:tc>
          <w:tcPr>
            <w:tcW w:w="1857" w:type="dxa"/>
          </w:tcPr>
          <w:p w14:paraId="746F7B3E" w14:textId="77777777" w:rsidR="0034590E" w:rsidRPr="00BA4F0F" w:rsidRDefault="0034590E" w:rsidP="00EC1C67">
            <w:pPr>
              <w:tabs>
                <w:tab w:val="left" w:pos="0"/>
              </w:tabs>
              <w:ind w:firstLine="0"/>
              <w:rPr>
                <w:lang w:eastAsia="ru-RU"/>
              </w:rPr>
            </w:pPr>
            <w:r w:rsidRPr="00BA4F0F">
              <w:rPr>
                <w:lang w:eastAsia="ru-RU"/>
              </w:rPr>
              <w:t>20</w:t>
            </w:r>
          </w:p>
        </w:tc>
        <w:tc>
          <w:tcPr>
            <w:tcW w:w="4200" w:type="dxa"/>
          </w:tcPr>
          <w:p w14:paraId="73D7FBD2" w14:textId="77777777" w:rsidR="0034590E" w:rsidRPr="00BA4F0F" w:rsidRDefault="0034590E" w:rsidP="00EC1C67">
            <w:pPr>
              <w:ind w:firstLine="0"/>
            </w:pPr>
            <w:r w:rsidRPr="00BA4F0F">
              <w:rPr>
                <w:lang w:eastAsia="ru-RU"/>
              </w:rPr>
              <w:t>Внутрь, 1 раз в сутки</w:t>
            </w:r>
          </w:p>
        </w:tc>
      </w:tr>
      <w:tr w:rsidR="0034590E" w:rsidRPr="00BA4F0F" w14:paraId="233B3727" w14:textId="77777777" w:rsidTr="00EC1C67">
        <w:trPr>
          <w:jc w:val="center"/>
        </w:trPr>
        <w:tc>
          <w:tcPr>
            <w:tcW w:w="2220" w:type="dxa"/>
          </w:tcPr>
          <w:p w14:paraId="414266CC" w14:textId="77777777" w:rsidR="0034590E" w:rsidRPr="00BA4F0F" w:rsidRDefault="0034590E" w:rsidP="00EC1C67">
            <w:pPr>
              <w:tabs>
                <w:tab w:val="left" w:pos="0"/>
              </w:tabs>
              <w:ind w:firstLine="0"/>
            </w:pPr>
            <w:r w:rsidRPr="00BA4F0F">
              <w:t>Эзомепразол</w:t>
            </w:r>
          </w:p>
        </w:tc>
        <w:tc>
          <w:tcPr>
            <w:tcW w:w="1857" w:type="dxa"/>
          </w:tcPr>
          <w:p w14:paraId="2B6E7BAC" w14:textId="77777777" w:rsidR="0034590E" w:rsidRPr="00BA4F0F" w:rsidRDefault="0034590E" w:rsidP="00EC1C67">
            <w:pPr>
              <w:tabs>
                <w:tab w:val="left" w:pos="0"/>
              </w:tabs>
              <w:ind w:firstLine="0"/>
              <w:rPr>
                <w:lang w:eastAsia="ru-RU"/>
              </w:rPr>
            </w:pPr>
            <w:r w:rsidRPr="00BA4F0F">
              <w:rPr>
                <w:lang w:eastAsia="ru-RU"/>
              </w:rPr>
              <w:t>20</w:t>
            </w:r>
          </w:p>
        </w:tc>
        <w:tc>
          <w:tcPr>
            <w:tcW w:w="4200" w:type="dxa"/>
          </w:tcPr>
          <w:p w14:paraId="488B4DF9" w14:textId="77777777" w:rsidR="0034590E" w:rsidRPr="00BA4F0F" w:rsidRDefault="0034590E" w:rsidP="00EC1C67">
            <w:pPr>
              <w:ind w:firstLine="0"/>
            </w:pPr>
            <w:r w:rsidRPr="00BA4F0F">
              <w:rPr>
                <w:lang w:eastAsia="ru-RU"/>
              </w:rPr>
              <w:t>Внутрь или в/в, 1 раз в сутки</w:t>
            </w:r>
          </w:p>
        </w:tc>
      </w:tr>
    </w:tbl>
    <w:p w14:paraId="31BFAA03" w14:textId="77777777" w:rsidR="0034590E" w:rsidRPr="00BA4F0F" w:rsidRDefault="0034590E" w:rsidP="0034590E">
      <w:pPr>
        <w:shd w:val="clear" w:color="auto" w:fill="FFFFFF"/>
        <w:tabs>
          <w:tab w:val="left" w:pos="0"/>
          <w:tab w:val="left" w:pos="394"/>
        </w:tabs>
        <w:rPr>
          <w:rFonts w:eastAsia="Arial Unicode MS"/>
          <w:color w:val="000000"/>
          <w:spacing w:val="4"/>
          <w:szCs w:val="24"/>
          <w:u w:color="000000"/>
          <w:lang w:eastAsia="ru-RU"/>
        </w:rPr>
      </w:pPr>
    </w:p>
    <w:p w14:paraId="20E9FC93" w14:textId="77777777" w:rsidR="0034590E" w:rsidRPr="00BA4F0F" w:rsidRDefault="0034590E" w:rsidP="0034590E">
      <w:pPr>
        <w:shd w:val="clear" w:color="auto" w:fill="FFFFFF"/>
        <w:tabs>
          <w:tab w:val="left" w:pos="0"/>
          <w:tab w:val="left" w:pos="394"/>
        </w:tabs>
        <w:rPr>
          <w:rFonts w:eastAsia="Arial Unicode MS"/>
          <w:color w:val="000000"/>
          <w:spacing w:val="4"/>
          <w:szCs w:val="24"/>
          <w:u w:color="000000"/>
          <w:lang w:eastAsia="ru-RU"/>
        </w:rPr>
      </w:pPr>
      <w:r w:rsidRPr="00BA4F0F">
        <w:rPr>
          <w:rFonts w:eastAsia="Arial Unicode MS"/>
          <w:color w:val="000000"/>
          <w:spacing w:val="4"/>
          <w:szCs w:val="24"/>
          <w:u w:color="000000"/>
          <w:lang w:eastAsia="ru-RU"/>
        </w:rPr>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p>
    <w:p w14:paraId="4B8B51D1" w14:textId="37C9E226" w:rsidR="0034590E" w:rsidRPr="00BA4F0F" w:rsidRDefault="0034590E" w:rsidP="0034590E">
      <w:pPr>
        <w:rPr>
          <w:szCs w:val="24"/>
          <w:lang w:eastAsia="ru-RU"/>
        </w:rPr>
      </w:pPr>
      <w:r w:rsidRPr="00BA4F0F">
        <w:rPr>
          <w:szCs w:val="24"/>
          <w:lang w:eastAsia="ru-RU"/>
        </w:rPr>
        <w:t xml:space="preserve">В настоящее время ИПП являются средством базисной терапии. Результаты рандомизированных сравнительных исследований свидетельствуют о высокой эффективности ИПП по сравнению с Н2-блокаторами </w:t>
      </w:r>
      <w:r w:rsidRPr="00BA4F0F">
        <w:rPr>
          <w:szCs w:val="24"/>
          <w:lang w:eastAsia="ru-RU"/>
        </w:rPr>
        <w:fldChar w:fldCharType="begin" w:fldLock="1"/>
      </w:r>
      <w:r w:rsidR="00F44253">
        <w:rPr>
          <w:szCs w:val="24"/>
          <w:lang w:eastAsia="ru-RU"/>
        </w:rPr>
        <w:instrText>ADDIN CSL_CITATION {"citationItems":[{"id":"ITEM-1","itemData":{"DOI":"10.4103/1319-3767.199117","ISSN":"1319-3767","abstract":"Background/Aim: To compare the efficacy and tolerance of different proton pump inhibitors (PPIs) in different doses for patients with duodenal ulcers. Materials and Methods: An electronic database was searched to collect all randomized clinical trials (RCTs), and a pairwise and network meta-analysis were performed. Results: A total of 24 RCTs involving 6188 patients were included. The network meta-analysis showed that there were no significant differences for the 4-week healing rate of duodenal ulcer treated with different PPI regimens except pantoprazle 40 mg/d versus lansoprazole 15 mg/d [Relative risk (RR) = 3.57; 95% confidence interval (CI) = 1.36-10.31)] and lansoprazole 30 mg/d versus lansoprazole 15 mg/d (RR = 2.45; 95% CI = 1.01-6.14). In comparison with H2receptor antagonists (H2RA), pantoprazole 40 mg/d and lansoprazole 30 mg/d significantly increase the healing rate (RR = 2.96; 95% CI = 1.78-5.14 and RR = 2.04; 95% CI = 1.13-3.53, respectively). There was no significant difference for the rate of adverse events between different regimens, including H2RA for a duration of 4-week of follow up. Conclusion: There was no significant difference for the efficacy and tolerance between the ordinary doses of different PPIs with the exception of lansoprazle 15 mg/d.","author":[{"dropping-particle":"","family":"Hu","given":"Zhan-Hong","non-dropping-particle":"","parse-names":false,"suffix":""},{"dropping-particle":"","family":"Shi","given":"Ai-Ming","non-dropping-particle":"","parse-names":false,"suffix":""},{"dropping-particle":"","family":"Hu","given":"Duan-Min","non-dropping-particle":"","parse-names":false,"suffix":""},{"dropping-particle":"","family":"Bao","given":"Jun-Jie","non-dropping-particle":"","parse-names":false,"suffix":""}],"container-title":"Saudi Journal of Gastroenterology","id":"ITEM-1","issue":"1","issued":{"date-parts":[["2017","1","1"]]},"page":"11","publisher":"Medknow Publications","title":"Efficacy of proton pump inhibitors for patients with duodenal ulcers: A pairwise and network meta-analysis of randomized controlled trials","type":"article-journal","volume":"23"},"uris":["http://www.mendeley.com/documents/?uuid=d523d0fc-026a-365d-b2ac-773ed8aed036"]}],"mendeley":{"formattedCitation":"[72]","plainTextFormattedCitation":"[72]","previouslyFormattedCitation":"[72]"},"properties":{"noteIndex":0},"schema":"https://github.com/citation-style-language/schema/raw/master/csl-citation.json"}</w:instrText>
      </w:r>
      <w:r w:rsidRPr="00BA4F0F">
        <w:rPr>
          <w:szCs w:val="24"/>
          <w:lang w:eastAsia="ru-RU"/>
        </w:rPr>
        <w:fldChar w:fldCharType="separate"/>
      </w:r>
      <w:r w:rsidR="004D13EB" w:rsidRPr="004D13EB">
        <w:rPr>
          <w:noProof/>
          <w:szCs w:val="24"/>
          <w:lang w:eastAsia="ru-RU"/>
        </w:rPr>
        <w:t>[72]</w:t>
      </w:r>
      <w:r w:rsidRPr="00BA4F0F">
        <w:rPr>
          <w:szCs w:val="24"/>
          <w:lang w:eastAsia="ru-RU"/>
        </w:rPr>
        <w:fldChar w:fldCharType="end"/>
      </w:r>
      <w:r w:rsidRPr="00BA4F0F">
        <w:rPr>
          <w:szCs w:val="24"/>
          <w:lang w:eastAsia="ru-RU"/>
        </w:rPr>
        <w:t>. ИПП практически в 1,5 раза эффективнее Н2-блокаторов в отношении эпителизации язвенного дефекта</w:t>
      </w:r>
      <w:r>
        <w:rPr>
          <w:szCs w:val="24"/>
          <w:lang w:eastAsia="ru-RU"/>
        </w:rPr>
        <w:t xml:space="preserve"> </w:t>
      </w:r>
      <w:r w:rsidRPr="00BA4F0F">
        <w:rPr>
          <w:szCs w:val="24"/>
          <w:lang w:eastAsia="ru-RU"/>
        </w:rPr>
        <w:fldChar w:fldCharType="begin" w:fldLock="1"/>
      </w:r>
      <w:r w:rsidR="00F44253">
        <w:rPr>
          <w:szCs w:val="24"/>
          <w:lang w:eastAsia="ru-RU"/>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[71]","plainTextFormattedCitation":"[71]","previouslyFormattedCitation":"[71]"},"properties":{"noteIndex":0},"schema":"https://github.com/citation-style-language/schema/raw/master/csl-citation.json"}</w:instrText>
      </w:r>
      <w:r w:rsidRPr="00BA4F0F">
        <w:rPr>
          <w:szCs w:val="24"/>
          <w:lang w:eastAsia="ru-RU"/>
        </w:rPr>
        <w:fldChar w:fldCharType="separate"/>
      </w:r>
      <w:r w:rsidR="004D13EB" w:rsidRPr="004D13EB">
        <w:rPr>
          <w:noProof/>
          <w:szCs w:val="24"/>
          <w:lang w:eastAsia="ru-RU"/>
        </w:rPr>
        <w:t>[71]</w:t>
      </w:r>
      <w:r w:rsidRPr="00BA4F0F">
        <w:rPr>
          <w:szCs w:val="24"/>
          <w:lang w:eastAsia="ru-RU"/>
        </w:rPr>
        <w:fldChar w:fldCharType="end"/>
      </w:r>
      <w:r w:rsidRPr="00BA4F0F">
        <w:rPr>
          <w:szCs w:val="24"/>
          <w:lang w:eastAsia="ru-RU"/>
        </w:rPr>
        <w:t>.</w:t>
      </w:r>
    </w:p>
    <w:p w14:paraId="3ACEA487" w14:textId="77777777" w:rsidR="0034590E" w:rsidRPr="00BA4F0F" w:rsidRDefault="0034590E" w:rsidP="0034590E">
      <w:pPr>
        <w:tabs>
          <w:tab w:val="left" w:pos="0"/>
        </w:tabs>
        <w:rPr>
          <w:b/>
          <w:szCs w:val="24"/>
        </w:rPr>
      </w:pPr>
    </w:p>
    <w:p w14:paraId="248AB493" w14:textId="77777777" w:rsidR="0034590E" w:rsidRPr="00BA4F0F" w:rsidRDefault="0034590E" w:rsidP="0034590E">
      <w:pPr>
        <w:pStyle w:val="afd"/>
        <w:ind w:left="0"/>
        <w:rPr>
          <w:szCs w:val="24"/>
          <w:u w:val="single"/>
        </w:rPr>
      </w:pPr>
      <w:r w:rsidRPr="00BA4F0F">
        <w:rPr>
          <w:szCs w:val="24"/>
          <w:u w:val="single"/>
        </w:rPr>
        <w:t xml:space="preserve">Блокаторы Н2-гистаминовых рецепторов </w:t>
      </w:r>
    </w:p>
    <w:p w14:paraId="783E2398" w14:textId="77777777" w:rsidR="0034590E" w:rsidRPr="00BA4F0F" w:rsidRDefault="0034590E" w:rsidP="0034590E">
      <w:pPr>
        <w:tabs>
          <w:tab w:val="left" w:pos="0"/>
        </w:tabs>
        <w:rPr>
          <w:b/>
          <w:szCs w:val="24"/>
        </w:rPr>
      </w:pPr>
      <w:r w:rsidRPr="00BA4F0F">
        <w:rPr>
          <w:b/>
          <w:szCs w:val="24"/>
        </w:rPr>
        <w:t>Показания</w:t>
      </w:r>
    </w:p>
    <w:p w14:paraId="02E88744" w14:textId="77777777" w:rsidR="0034590E" w:rsidRPr="00BA4F0F" w:rsidRDefault="0034590E" w:rsidP="0034590E">
      <w:pPr>
        <w:tabs>
          <w:tab w:val="left" w:pos="0"/>
        </w:tabs>
        <w:contextualSpacing/>
        <w:rPr>
          <w:szCs w:val="24"/>
        </w:rPr>
      </w:pPr>
      <w:r w:rsidRPr="00BA4F0F">
        <w:rPr>
          <w:szCs w:val="24"/>
        </w:rPr>
        <w:t>Профилактика/лечение язвенной болезни желудка и двенадцатиперстной кишки, в том числе на фоне высокодозной химиотерапии</w:t>
      </w:r>
    </w:p>
    <w:p w14:paraId="2D99F7B9" w14:textId="77777777" w:rsidR="0034590E" w:rsidRPr="00BA4F0F" w:rsidRDefault="0034590E" w:rsidP="0034590E">
      <w:pPr>
        <w:tabs>
          <w:tab w:val="left" w:pos="0"/>
        </w:tabs>
        <w:rPr>
          <w:b/>
          <w:szCs w:val="24"/>
        </w:rPr>
      </w:pPr>
      <w:r w:rsidRPr="00BA4F0F">
        <w:rPr>
          <w:b/>
          <w:szCs w:val="24"/>
        </w:rPr>
        <w:t>Режим дозирования</w:t>
      </w:r>
    </w:p>
    <w:p w14:paraId="06C13AA5" w14:textId="77777777" w:rsidR="0034590E" w:rsidRPr="00BA4F0F" w:rsidRDefault="0034590E" w:rsidP="0034590E">
      <w:pPr>
        <w:tabs>
          <w:tab w:val="left" w:pos="0"/>
        </w:tabs>
        <w:rPr>
          <w:szCs w:val="24"/>
        </w:rPr>
      </w:pPr>
      <w:r w:rsidRPr="00BA4F0F">
        <w:rPr>
          <w:szCs w:val="24"/>
        </w:rPr>
        <w:t xml:space="preserve">Пациентам во время проведения курсов специфической противоопухолевой терапии, с профилактической целью рекомендован прием блокаторов Н2-гистаминовых рецепторов в указанных в таблице </w:t>
      </w:r>
      <w:r>
        <w:rPr>
          <w:szCs w:val="24"/>
        </w:rPr>
        <w:t>8</w:t>
      </w:r>
      <w:r w:rsidRPr="00BA4F0F">
        <w:rPr>
          <w:szCs w:val="24"/>
        </w:rPr>
        <w:t xml:space="preserve"> дозах.</w:t>
      </w:r>
    </w:p>
    <w:p w14:paraId="3DF38C88" w14:textId="77777777" w:rsidR="0034590E" w:rsidRPr="00BA4F0F" w:rsidRDefault="0034590E" w:rsidP="0034590E">
      <w:pPr>
        <w:tabs>
          <w:tab w:val="left" w:pos="0"/>
        </w:tabs>
        <w:rPr>
          <w:szCs w:val="24"/>
        </w:rPr>
      </w:pPr>
    </w:p>
    <w:p w14:paraId="436306E9" w14:textId="77777777" w:rsidR="0034590E" w:rsidRPr="00BA4F0F" w:rsidRDefault="0034590E" w:rsidP="0034590E">
      <w:pPr>
        <w:tabs>
          <w:tab w:val="left" w:pos="0"/>
        </w:tabs>
        <w:rPr>
          <w:szCs w:val="24"/>
        </w:rPr>
      </w:pPr>
      <w:r w:rsidRPr="009578F5">
        <w:rPr>
          <w:szCs w:val="24"/>
        </w:rPr>
        <w:t xml:space="preserve">Таблица </w:t>
      </w:r>
      <w:r>
        <w:rPr>
          <w:szCs w:val="24"/>
        </w:rPr>
        <w:t>8</w:t>
      </w:r>
      <w:r w:rsidRPr="009578F5">
        <w:rPr>
          <w:szCs w:val="24"/>
        </w:rPr>
        <w:t>. Режим дозирования блокаторов Н2-гистаминовых рецепторов</w:t>
      </w:r>
      <w:r w:rsidRPr="00BA4F0F">
        <w:rPr>
          <w:szCs w:val="24"/>
        </w:rPr>
        <w:t xml:space="preserve"> </w:t>
      </w:r>
    </w:p>
    <w:tbl>
      <w:tblPr>
        <w:tblStyle w:val="31"/>
        <w:tblW w:w="0" w:type="auto"/>
        <w:jc w:val="center"/>
        <w:tblLook w:val="04A0" w:firstRow="1" w:lastRow="0" w:firstColumn="1" w:lastColumn="0" w:noHBand="0" w:noVBand="1"/>
      </w:tblPr>
      <w:tblGrid>
        <w:gridCol w:w="2220"/>
        <w:gridCol w:w="1857"/>
        <w:gridCol w:w="3491"/>
      </w:tblGrid>
      <w:tr w:rsidR="0034590E" w:rsidRPr="00BA4F0F" w14:paraId="4CFD3BB1" w14:textId="77777777" w:rsidTr="00EC1C67">
        <w:trPr>
          <w:jc w:val="center"/>
        </w:trPr>
        <w:tc>
          <w:tcPr>
            <w:tcW w:w="2220" w:type="dxa"/>
          </w:tcPr>
          <w:p w14:paraId="490CF9C0" w14:textId="77777777" w:rsidR="0034590E" w:rsidRPr="00BA4F0F" w:rsidRDefault="0034590E" w:rsidP="00EC1C67">
            <w:pPr>
              <w:tabs>
                <w:tab w:val="left" w:pos="0"/>
              </w:tabs>
              <w:ind w:firstLine="0"/>
              <w:jc w:val="center"/>
              <w:rPr>
                <w:b/>
                <w:lang w:eastAsia="ru-RU"/>
              </w:rPr>
            </w:pPr>
            <w:r w:rsidRPr="00BA4F0F">
              <w:rPr>
                <w:b/>
                <w:lang w:eastAsia="ru-RU"/>
              </w:rPr>
              <w:lastRenderedPageBreak/>
              <w:t>Препараты</w:t>
            </w:r>
          </w:p>
        </w:tc>
        <w:tc>
          <w:tcPr>
            <w:tcW w:w="1857" w:type="dxa"/>
          </w:tcPr>
          <w:p w14:paraId="11D6242D" w14:textId="77777777" w:rsidR="0034590E" w:rsidRPr="00BA4F0F" w:rsidRDefault="0034590E" w:rsidP="00EC1C67">
            <w:pPr>
              <w:tabs>
                <w:tab w:val="left" w:pos="0"/>
              </w:tabs>
              <w:ind w:firstLine="0"/>
              <w:jc w:val="center"/>
              <w:rPr>
                <w:b/>
                <w:lang w:eastAsia="ru-RU"/>
              </w:rPr>
            </w:pPr>
            <w:r w:rsidRPr="00BA4F0F">
              <w:rPr>
                <w:b/>
                <w:lang w:eastAsia="ru-RU"/>
              </w:rPr>
              <w:t>Суточная доза, мг</w:t>
            </w:r>
          </w:p>
        </w:tc>
        <w:tc>
          <w:tcPr>
            <w:tcW w:w="3491" w:type="dxa"/>
          </w:tcPr>
          <w:p w14:paraId="5F369BA0" w14:textId="77777777" w:rsidR="0034590E" w:rsidRPr="00BA4F0F" w:rsidRDefault="0034590E" w:rsidP="00EC1C67">
            <w:pPr>
              <w:tabs>
                <w:tab w:val="left" w:pos="0"/>
              </w:tabs>
              <w:ind w:firstLine="0"/>
              <w:jc w:val="center"/>
              <w:rPr>
                <w:b/>
                <w:lang w:eastAsia="ru-RU"/>
              </w:rPr>
            </w:pPr>
            <w:r w:rsidRPr="00BA4F0F">
              <w:rPr>
                <w:b/>
                <w:lang w:eastAsia="ru-RU"/>
              </w:rPr>
              <w:t>Режим дозирования</w:t>
            </w:r>
          </w:p>
        </w:tc>
      </w:tr>
      <w:tr w:rsidR="0034590E" w:rsidRPr="00BA4F0F" w14:paraId="61C4DB1E" w14:textId="77777777" w:rsidTr="00EC1C67">
        <w:trPr>
          <w:jc w:val="center"/>
        </w:trPr>
        <w:tc>
          <w:tcPr>
            <w:tcW w:w="2220" w:type="dxa"/>
          </w:tcPr>
          <w:p w14:paraId="29E7C4BA" w14:textId="77777777" w:rsidR="0034590E" w:rsidRPr="00BA4F0F" w:rsidRDefault="0034590E" w:rsidP="00EC1C67">
            <w:pPr>
              <w:tabs>
                <w:tab w:val="left" w:pos="0"/>
              </w:tabs>
              <w:ind w:firstLine="0"/>
              <w:rPr>
                <w:lang w:eastAsia="ru-RU"/>
              </w:rPr>
            </w:pPr>
            <w:r w:rsidRPr="00BA4F0F">
              <w:rPr>
                <w:lang w:eastAsia="ru-RU"/>
              </w:rPr>
              <w:t>Ранитидин</w:t>
            </w:r>
          </w:p>
        </w:tc>
        <w:tc>
          <w:tcPr>
            <w:tcW w:w="1857" w:type="dxa"/>
          </w:tcPr>
          <w:p w14:paraId="3B72DBBA" w14:textId="77777777" w:rsidR="0034590E" w:rsidRPr="00BA4F0F" w:rsidRDefault="0034590E" w:rsidP="00EC1C67">
            <w:pPr>
              <w:tabs>
                <w:tab w:val="left" w:pos="0"/>
              </w:tabs>
              <w:ind w:firstLine="0"/>
              <w:rPr>
                <w:lang w:eastAsia="ru-RU"/>
              </w:rPr>
            </w:pPr>
            <w:r w:rsidRPr="00BA4F0F">
              <w:rPr>
                <w:lang w:eastAsia="ru-RU"/>
              </w:rPr>
              <w:t>150</w:t>
            </w:r>
          </w:p>
        </w:tc>
        <w:tc>
          <w:tcPr>
            <w:tcW w:w="3491" w:type="dxa"/>
          </w:tcPr>
          <w:p w14:paraId="40644556" w14:textId="77777777" w:rsidR="0034590E" w:rsidRPr="00BA4F0F" w:rsidRDefault="0034590E" w:rsidP="00EC1C67">
            <w:pPr>
              <w:tabs>
                <w:tab w:val="left" w:pos="0"/>
              </w:tabs>
              <w:ind w:firstLine="0"/>
              <w:rPr>
                <w:lang w:eastAsia="ru-RU"/>
              </w:rPr>
            </w:pPr>
            <w:r w:rsidRPr="00BA4F0F">
              <w:rPr>
                <w:lang w:eastAsia="ru-RU"/>
              </w:rPr>
              <w:t>Внутрь, 1 раз в сутки, на ночь</w:t>
            </w:r>
          </w:p>
        </w:tc>
      </w:tr>
      <w:tr w:rsidR="0034590E" w:rsidRPr="00BA4F0F" w14:paraId="675D630C" w14:textId="77777777" w:rsidTr="00EC1C67">
        <w:trPr>
          <w:jc w:val="center"/>
        </w:trPr>
        <w:tc>
          <w:tcPr>
            <w:tcW w:w="2220" w:type="dxa"/>
          </w:tcPr>
          <w:p w14:paraId="5816F6CC" w14:textId="77777777" w:rsidR="0034590E" w:rsidRPr="00BA4F0F" w:rsidRDefault="0034590E" w:rsidP="00EC1C67">
            <w:pPr>
              <w:tabs>
                <w:tab w:val="left" w:pos="0"/>
              </w:tabs>
              <w:ind w:firstLine="0"/>
              <w:rPr>
                <w:lang w:eastAsia="ru-RU"/>
              </w:rPr>
            </w:pPr>
            <w:r w:rsidRPr="00BA4F0F">
              <w:rPr>
                <w:lang w:eastAsia="ru-RU"/>
              </w:rPr>
              <w:t>Фамотидин</w:t>
            </w:r>
          </w:p>
        </w:tc>
        <w:tc>
          <w:tcPr>
            <w:tcW w:w="1857" w:type="dxa"/>
          </w:tcPr>
          <w:p w14:paraId="0406D557" w14:textId="77777777" w:rsidR="0034590E" w:rsidRPr="00BA4F0F" w:rsidRDefault="0034590E" w:rsidP="00EC1C67">
            <w:pPr>
              <w:tabs>
                <w:tab w:val="left" w:pos="0"/>
              </w:tabs>
              <w:ind w:firstLine="0"/>
              <w:rPr>
                <w:lang w:eastAsia="ru-RU"/>
              </w:rPr>
            </w:pPr>
            <w:r w:rsidRPr="00BA4F0F">
              <w:rPr>
                <w:lang w:eastAsia="ru-RU"/>
              </w:rPr>
              <w:t xml:space="preserve">20 </w:t>
            </w:r>
          </w:p>
        </w:tc>
        <w:tc>
          <w:tcPr>
            <w:tcW w:w="3491" w:type="dxa"/>
          </w:tcPr>
          <w:p w14:paraId="15332D4B" w14:textId="77777777" w:rsidR="0034590E" w:rsidRPr="00BA4F0F" w:rsidRDefault="0034590E" w:rsidP="00EC1C67">
            <w:pPr>
              <w:ind w:firstLine="0"/>
            </w:pPr>
            <w:r w:rsidRPr="00BA4F0F">
              <w:rPr>
                <w:lang w:eastAsia="ru-RU"/>
              </w:rPr>
              <w:t>Внутрь, 1 раз в сутки, на ночь</w:t>
            </w:r>
          </w:p>
        </w:tc>
      </w:tr>
    </w:tbl>
    <w:p w14:paraId="04ADA42C" w14:textId="77777777" w:rsidR="0034590E" w:rsidRPr="00BA4F0F" w:rsidRDefault="0034590E" w:rsidP="0034590E">
      <w:pPr>
        <w:autoSpaceDE w:val="0"/>
        <w:autoSpaceDN w:val="0"/>
        <w:adjustRightInd w:val="0"/>
        <w:rPr>
          <w:iCs/>
          <w:szCs w:val="24"/>
        </w:rPr>
      </w:pPr>
    </w:p>
    <w:p w14:paraId="147FD32D" w14:textId="77777777" w:rsidR="0034590E" w:rsidRDefault="0034590E" w:rsidP="0034590E">
      <w:pPr>
        <w:autoSpaceDE w:val="0"/>
        <w:autoSpaceDN w:val="0"/>
        <w:adjustRightInd w:val="0"/>
        <w:rPr>
          <w:iCs/>
          <w:szCs w:val="24"/>
        </w:rPr>
      </w:pPr>
      <w:r>
        <w:rPr>
          <w:iCs/>
          <w:szCs w:val="24"/>
        </w:rPr>
        <w:t>П</w:t>
      </w:r>
      <w:r w:rsidRPr="00BA4F0F">
        <w:rPr>
          <w:iCs/>
          <w:szCs w:val="24"/>
        </w:rPr>
        <w:t>осле внедрения ИПП в клиническую практику в качестве базисной антисекреторной терапии, Н2-блокаторы применяются главным образом при невозможности применения ИПП.</w:t>
      </w:r>
    </w:p>
    <w:p w14:paraId="06D518C1" w14:textId="77777777" w:rsidR="0034590E" w:rsidRDefault="0034590E" w:rsidP="0034590E">
      <w:pPr>
        <w:autoSpaceDE w:val="0"/>
        <w:autoSpaceDN w:val="0"/>
        <w:adjustRightInd w:val="0"/>
        <w:rPr>
          <w:iCs/>
          <w:szCs w:val="24"/>
        </w:rPr>
      </w:pPr>
    </w:p>
    <w:p w14:paraId="38234874" w14:textId="77777777" w:rsidR="0034590E" w:rsidRPr="00BA4F0F" w:rsidRDefault="0034590E" w:rsidP="0034590E">
      <w:pPr>
        <w:pStyle w:val="1fe"/>
        <w:spacing w:beforeAutospacing="0" w:afterAutospacing="0" w:line="360" w:lineRule="auto"/>
        <w:ind w:firstLine="709"/>
        <w:jc w:val="both"/>
        <w:rPr>
          <w:b/>
        </w:rPr>
      </w:pPr>
      <w:r w:rsidRPr="00BA4F0F">
        <w:rPr>
          <w:b/>
        </w:rPr>
        <w:t>Антимикробная терапия</w:t>
      </w:r>
    </w:p>
    <w:p w14:paraId="3C9F67A7" w14:textId="45203F46" w:rsidR="0034590E" w:rsidRPr="00BA4F0F" w:rsidRDefault="0034590E" w:rsidP="0034590E">
      <w:pPr>
        <w:pStyle w:val="1fe"/>
        <w:spacing w:beforeAutospacing="0" w:afterAutospacing="0" w:line="360" w:lineRule="auto"/>
        <w:ind w:firstLine="709"/>
        <w:jc w:val="both"/>
      </w:pPr>
      <w:r w:rsidRPr="00BA4F0F">
        <w:t xml:space="preserve">Применение высокодозной химиотерапии с последующей трансплантацией аутологичных стволовых клеток крови по данным различных авторов приводит к развитию инфекционных осложнений более чем у 90 % больных </w:t>
      </w:r>
      <w:r w:rsidRPr="00BA4F0F">
        <w:fldChar w:fldCharType="begin" w:fldLock="1"/>
      </w:r>
      <w:r w:rsidR="00F44253">
        <w:instrText>ADDIN CSL_CITATION {"citationItems":[{"id":"ITEM-1","itemData":{"DOI":"10.1007/s00277-002-0484-1","ISSN":"09395555","abstract":"It is yet undetermined whether patients with different hematological malignancies have different pro-pensities to infectious complications after high-dose chemotherapy (HDC) and autologous hematopoietic stem cell transplantation (HSCT). We retrospectively analyzed 136 cycles of HDC and autologous HSCT in 114 patients with acute myeloid leukemia (AML, 24 cycles), non-Hodgkin's lymphoma/Hodgkin's disease (NHL/HD, 55 cycles), and multiple myeloma (MM, 57 cycles) with respect to early infectious complications. Median duration of neutropenia was longer in patients with AML and NHL/HD than in patients with MM (11 days vs 8 days) and after conditioning including total body irradiation (TBI) compared with chemotherapy only preparative regimens (11 days vs 7 days). Fever requiring antimicrobial therapy was observed in 88% of cycles, with fever of unknown origin (FUO) accounting for 60% of febrile episodes. There was no proven fungal infection, but one case of probable invasive pulmonary aspergillosis. Microbiologically documented infections were seen in 29% and clinically documented infections in 11%. Response to first-line empirical antibiotic therapy was better for FUO than for documented infections (70% vs 40%). Patients with TBI as part of their conditioning regimen had more overall infections than patients without TBI (96% vs 82%). There were no differences with respect to the type or incidence of infections between patients with AML, NHL/HD, and MM. Patients with different hematological malignancies have similar rates of early infectious complications after HDC and autologous HSCT. TBI may be associated with an increased risk for infections in the early post-transplant period.","author":[{"dropping-particle":"","family":"Auner","given":"H. W.","non-dropping-particle":"","parse-names":false,"suffix":""},{"dropping-particle":"","family":"Sill","given":"H.","non-dropping-particle":"","parse-names":false,"suffix":""},{"dropping-particle":"","family":"Mulabecirovic","given":"A.","non-dropping-particle":"","parse-names":false,"suffix":""},{"dropping-particle":"","family":"Linkesch","given":"W.","non-dropping-particle":"","parse-names":false,"suffix":""},{"dropping-particle":"","family":"Krause","given":"R.","non-dropping-particle":"","parse-names":false,"suffix":""}],"container-title":"Annals of Hematology","id":"ITEM-1","issue":"7","issued":{"date-parts":[["2002"]]},"page":"374-377","publisher":"Ann Hematol","title":"Infectious complications after autologous hematopoietic stem cell transplantation: Comparison of patients with acute myeloid leukemia, malignant lymphoma, and multiple myeloma","type":"article-journal","volume":"81"},"uris":["http://www.mendeley.com/documents/?uuid=f1a86368-84b1-3c12-a8de-28ac6a6f005c","http://www.mendeley.com/documents/?uuid=4fdc9fd0-5eb8-4b96-b6b8-9b8085bef2b6","http://www.mendeley.com/documents/?uuid=81487a63-368f-45a3-96bd-a065db655523","http://www.mendeley.com/documents/?uuid=3f2b3f0f-80f0-426a-b243-a2231ace928a","http://www.mendeley.com/documents/?uuid=9ea48387-c84f-41f8-868e-392b32d4973d","http://www.mendeley.com/documents/?uuid=214eabb8-c545-489f-ad37-bd70dd8865a6","http://www.mendeley.com/documents/?uuid=f9b66049-e8d5-49d2-9034-b13f690ee446","http://www.mendeley.com/documents/?uuid=dc5e0773-1562-4dba-8594-e4550238c737"]},{"id":"ITEM-2","itemData":{"DOI":"10.1007/s15010-007-6350-2","ISSN":"03008126","abstract":"Background: Infectious complications occur in most of the patients receiving high-dose therapy (HDT) and autologous hematopoietic stem cell transplantation (HSCT). The objective of the study was to analyze of the type and incidence of infectious complications during neutropenia after HDT and autologous HSCT with respect to risk factors related to stem cell transplant setting in patients treated for hematological malignancies in a single center. Patients and Methods: A total number of 314 patients diagnosed for Hodgkin's disease (HD), non-Hodgkin's lymphoma (NHL), acute myeloid leukemia (AML), multiple myeloma (MM) or acute lymphoblastic leukemia (ALL) were included in the study. Analysis of risk factors and outcome of infections after HDT and autologous HSCT was performed. Results: Infectious complications during neutropenia after HDT occurred in 92.3% patients. Microbiologically documented infections (MDI) accounted for 38.9% of febrile episodes, clinically documented infections (CDI) for 9.3%, and fever of unknown origin (FUO) for 51.7% cases. Median time to defervescence with antibiotic therapy was seven days for FUO and nine days for documented infections (p &lt; 0.001). Duration of infection correlated with the length of very severe neutropenia (p &lt; 0.001). Response to first-line antibiotic therapy was seen in 34% patients. Infections were fatal in 12 (3.8%) patients. The highest probability of infection was observed for ALL and AML patients, especially these conditioned with total body irradiation (TBI). Conclusion: Patients at high risk of infection after autologous HSCT were identified as those with acute leukemia and those after conditioning with TBI, all with prolonged neutropenia. We suggest that newer prophylactic strategies should be administered to these groups of patients. © 2007 Urban &amp; Vogel.","author":[{"dropping-particle":"","family":"Gil","given":"L.","non-dropping-particle":"","parse-names":false,"suffix":""},{"dropping-particle":"","family":"Styczynski","given":"J.","non-dropping-particle":"","parse-names":false,"suffix":""},{"dropping-particle":"","family":"Komarnicki","given":"M.","non-dropping-particle":"","parse-names":false,"suffix":""}],"container-title":"Infection","id":"ITEM-2","issue":"6","issued":{"date-parts":[["2007","12"]]},"page":"421-427","publisher":"Infection","title":"Infectious complication in 314 patients after high-dose therapy and autologous hematopoietic stem cell transplantation: Risk factors analysis and outcome","type":"article-journal","volume":"35"},"uris":["http://www.mendeley.com/documents/?uuid=2484101e-8b0b-3a5f-a697-4baf2d1f00ec","http://www.mendeley.com/documents/?uuid=4b9974a2-0e3e-44ce-ac02-f3dad90354f7","http://www.mendeley.com/documents/?uuid=621597e4-9f72-47a3-98b8-f1cb6c6ec284","http://www.mendeley.com/documents/?uuid=2a53cc22-2809-49ef-869c-a3d053a9fe19","http://www.mendeley.com/documents/?uuid=9f0564c3-3b67-41ba-875e-02194c8b103f","http://www.mendeley.com/documents/?uuid=02c86a55-b501-43b0-aca1-e8355618aa56","http://www.mendeley.com/documents/?uuid=aa713873-711b-4840-84ae-7ab465fc9da8","http://www.mendeley.com/documents/?uuid=7e6ea6ab-47bd-4208-9803-60b645a808e3"]},{"id":"ITEM-3","itemData":{"DOI":"10.1002/ajh.21855","ISSN":"03618609","abstract":"One hundred and fifty-seven patients undergoing high-dose chemotherapy (HDT) and autologous stem-cell transplantation (ASCT) for hematopoietic malignancies and solid tumors were randomly assigned to receive (Group A) or not (Group B) prophylaxis with ciprofloxacin, orally, and vancomycin, intravenously. Prophylactic antibiotics were given from day 0 until resolution of neutropenia or the appearance of a febrile event. Furthermore, patients in both groups received once a day fluconazole, orally. The primary end-point of our study was the incidence of neutropenic febrile episodes attributed to infection. One hundred and twelve (71.3%) patients developed neutropenic fever, 50 (56.2%) in Group A and 62 (91.2%) in Group B (P &lt; 0.001) with the majority (82%) of patients developing fever of unknown origin. Patients on prophylactic antibiotics had a significantly lower rate of bacteremias (5.6%) than did those randomized to no prophylaxis (29.4%) (P = 0.005) and, when developing neutropenic fever, they had a lower probability of response to first-line empirical antibiotics (P = 0.025). Prophylactic administration of ciprofloxacin and vancomycin reduced the incidence of neutropenic fever in patients receiving HDT with ASCT, however, without affecting the total interval of hospitalization, time to engraftment, or all-cause mortality. Therefore, our results do not support the use of antibiotic prophylaxis for patients undergoing HDT and ASCT. © 2010 Wiley-Liss, Inc.","author":[{"dropping-particle":"","family":"Eleutherakis-Papaiakovou","given":"Evangelos","non-dropping-particle":"","parse-names":false,"suffix":""},{"dropping-particle":"","family":"Kostis","given":"Evangelos","non-dropping-particle":"","parse-names":false,"suffix":""},{"dropping-particle":"","family":"Migkou","given":"Magda","non-dropping-particle":"","parse-names":false,"suffix":""},{"dropping-particle":"","family":"Christoulas","given":"Dimitrios","non-dropping-particle":"","parse-names":false,"suffix":""},{"dropping-particle":"","family":"Terpos","given":"Evangelos","non-dropping-particle":"","parse-names":false,"suffix":""},{"dropping-particle":"","family":"Gavriatopoulou","given":"Maria","non-dropping-particle":"","parse-names":false,"suffix":""},{"dropping-particle":"","family":"Roussou","given":"Maria","non-dropping-particle":"","parse-names":false,"suffix":""},{"dropping-particle":"","family":"Bournakis","given":"Evangelos","non-dropping-particle":"","parse-names":false,"suffix":""},{"dropping-particle":"","family":"Kastritis","given":"Efstathios","non-dropping-particle":"","parse-names":false,"suffix":""},{"dropping-particle":"","family":"Efstathiou","given":"Eleni","non-dropping-particle":"","parse-names":false,"suffix":""},{"dropping-particle":"","family":"Dimopoulos","given":"Meletios A.","non-dropping-particle":"","parse-names":false,"suffix":""},{"dropping-particle":"","family":"Papadimitriou","given":"Christos A.","non-dropping-particle":"","parse-names":false,"suffix":""}],"container-title":"American Journal of Hematology","id":"ITEM-3","issue":"11","issued":{"date-parts":[["2010","11"]]},"page":"863-867","publisher":"Am J Hematol","title":"Prophylactic antibiotics for the prevention of neutropenic fever in patients undergoing autologous stem-cell transplantation: Results of a single institution, randomized phase 2 trial","type":"article-journal","volume":"85"},"uris":["http://www.mendeley.com/documents/?uuid=e9c8d6a3-bf24-3a10-be69-dbf56d33e220","http://www.mendeley.com/documents/?uuid=53d1d1c5-dcbb-4103-80be-837e10537355","http://www.mendeley.com/documents/?uuid=6e7642af-251b-4056-bc76-4c25fd6ab0e5","http://www.mendeley.com/documents/?uuid=16f62455-5dc2-4a1d-b988-18db9ac13408","http://www.mendeley.com/documents/?uuid=4c4353f2-c724-4054-bfb5-29023200ae81","http://www.mendeley.com/documents/?uuid=9a4fea57-5691-4c44-8c79-67124536a57e","http://www.mendeley.com/documents/?uuid=dc975761-e88a-4365-8582-efe82fb0848d","http://www.mendeley.com/documents/?uuid=d790a518-2556-405a-9e4a-e8c3041eb741"]},{"id":"ITEM-4","itemData":{"DOI":"10.1007/s00277-013-1698-0","ISSN":"09395555","abstract":"Bacterial infections are the most common cause for treatment-related mortality in patients with neutropenia after chemotherapy. Here, we discuss the use of antibacterial prophylaxis against bacteria and Pneumocystis pneumonia (PCP) in neutropenic cancer patients and offer guidance towards the choice of drug. A literature search was performed to screen all articles published between September 2000 and January 2012 on antibiotic prophylaxis in neutropenic cancer patients. The authors assembled original reports and meta-analysis from the literature and drew conclusions, which were discussed and approved in a consensus conference of the Infectious Disease Working Party of the German Society of Hematology and Oncology (AGIHO). Antibacterial prophylaxis has led to a reduction of febrile events and infections. A significant reduction of overall mortality could only be shown in a meta-analysis. Fluoroquinolones are preferred for antibacterial and trimethoprim-sulfamethoxazole for PCP prophylaxis. Due to serious concerns about an increase of resistant pathogens, only patients at high risk of severe infections should be considered for antibiotic prophylaxis. Risk factors of individual patients and local resistance patterns must be taken into account. Risk factors, choice of drug for antibacterial and PCP prophylaxis and concerns regarding the use of prophylactic antibiotics are discussed in the review. © 2013 The Author(s).","author":[{"dropping-particle":"","family":"Neumann","given":"S.","non-dropping-particle":"","parse-names":false,"suffix":""},{"dropping-particle":"","family":"Krause","given":"S. W.","non-dropping-particle":"","parse-names":false,"suffix":""},{"dropping-particle":"","family":"Maschmeyer","given":"G.","non-dropping-particle":"","parse-names":false,"suffix":""},{"dropping-particle":"","family":"Schiel","given":"X.","non-dropping-particle":"","parse-names":false,"suffix":""},{"dropping-particle":"","family":"Lilienfeld-Toal","given":"M.","non-dropping-particle":"Von","parse-names":false,"suffix":""}],"container-title":"Annals of Hematology","id":"ITEM-4","issue":"4","issued":{"date-parts":[["2013","4"]]},"page":"433-442","publisher":"Ann Hematol","title":"Primary prophylaxis of bacterial infections and Pneumocystis jirovecii pneumonia in patients with hematological malignancies and solid tumors: Guidelines of the Infectious Diseases Working Party (AGIHO) of the German Society of Hematology and Oncology (DG","type":"article","volume":"92"},"uris":["http://www.mendeley.com/documents/?uuid=5d017807-56d5-3c29-9e5b-06adbcf241d7","http://www.mendeley.com/documents/?uuid=0c431f2d-f131-4475-bc03-927c20fc8427","http://www.mendeley.com/documents/?uuid=cb8a28f6-34d3-47b6-aac5-75eae4c6597a","http://www.mendeley.com/documents/?uuid=1da004eb-c4a8-438d-8229-3b75c2c05578","http://www.mendeley.com/documents/?uuid=447ce80b-5ffd-4f72-a842-6d050b4c0058","http://www.mendeley.com/documents/?uuid=75718eaf-f3e7-47ed-a437-a0877b2432c4","http://www.mendeley.com/documents/?uuid=92ffaa87-61f2-4a29-ab3b-0229b7e2d3b0","http://www.mendeley.com/documents/?uuid=300b3a3c-d6fd-4873-aabf-5d8646d68ed5"]},{"id":"ITEM-5","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-5","issue":"6","issued":{"date-parts":[["2018"]]},"publisher":"Urban und Vogel GmbH","title":"Bacteraemia post-autologous haematopoietic stem cell transplantation in the absence of antibacterial prophylaxis: a decade’s experience from Lebanon","type":"article-journal","volume":"46"},"uris":["http://www.mendeley.com/documents/?uuid=ae672191-2fc7-35b4-bb6f-de9083ec561f","http://www.mendeley.com/documents/?uuid=3eb7eca1-f810-48f1-8c56-0b2d965d8011","http://www.mendeley.com/documents/?uuid=5ebcf890-5e16-4450-9634-3c05a12d76c0","http://www.mendeley.com/documents/?uuid=853c0c3e-4b77-4603-bf23-18587d4490b6","http://www.mendeley.com/documents/?uuid=26920eda-53a6-4a84-9487-903994067277","http://www.mendeley.com/documents/?uuid=dd8b341d-4c23-4bd9-9d5d-3dceeb3afe7c","http://www.mendeley.com/documents/?uuid=994064a7-7ad5-46d6-af07-2b010e03da9d","http://www.mendeley.com/documents/?uuid=fcf50596-2552-44da-a965-28f05137efeb"]}],"mendeley":{"formattedCitation":"[134–138]","plainTextFormattedCitation":"[134–138]","previouslyFormattedCitation":"[134–138]"},"properties":{"noteIndex":0},"schema":"https://github.com/citation-style-language/schema/raw/master/csl-citation.json"}</w:instrText>
      </w:r>
      <w:r w:rsidRPr="00BA4F0F">
        <w:fldChar w:fldCharType="separate"/>
      </w:r>
      <w:r w:rsidR="004D13EB" w:rsidRPr="004D13EB">
        <w:rPr>
          <w:noProof/>
        </w:rPr>
        <w:t>[134–138]</w:t>
      </w:r>
      <w:r w:rsidRPr="00BA4F0F">
        <w:fldChar w:fldCharType="end"/>
      </w:r>
      <w:r w:rsidRPr="00BA4F0F">
        <w:t>.</w:t>
      </w:r>
    </w:p>
    <w:p w14:paraId="4A583F85" w14:textId="77777777" w:rsidR="0034590E" w:rsidRPr="00BA4F0F" w:rsidRDefault="0034590E" w:rsidP="0034590E">
      <w:pPr>
        <w:pStyle w:val="1fe"/>
        <w:spacing w:beforeAutospacing="0" w:afterAutospacing="0" w:line="360" w:lineRule="auto"/>
        <w:ind w:firstLine="709"/>
        <w:jc w:val="both"/>
      </w:pPr>
      <w:r w:rsidRPr="00BA4F0F">
        <w:t>Основными факторами, определяющими развитие инфекций у иммунокомпрометированных больных, являются нейтропения (глубина, длительность и быстрота развития), нарушения клеточного и гуморального иммунитета, повреждение слизистой желудочно-кишечного тракта, наличие ЦВК.</w:t>
      </w:r>
    </w:p>
    <w:p w14:paraId="3689A097" w14:textId="30AB715B" w:rsidR="0034590E" w:rsidRPr="00BA4F0F" w:rsidRDefault="0034590E" w:rsidP="0034590E">
      <w:pPr>
        <w:pStyle w:val="1fe"/>
        <w:spacing w:beforeAutospacing="0" w:afterAutospacing="0" w:line="360" w:lineRule="auto"/>
        <w:ind w:firstLine="709"/>
        <w:jc w:val="both"/>
      </w:pPr>
      <w:r w:rsidRPr="00BA4F0F">
        <w:t xml:space="preserve">Наиболее высокая частота инфекционных осложнений наблюдается у больных с длительностью нейтропении от 10 дней и более </w:t>
      </w:r>
      <w:r w:rsidRPr="00BA4F0F">
        <w:fldChar w:fldCharType="begin" w:fldLock="1"/>
      </w:r>
      <w:r w:rsidR="00F44253">
        <w:instrText>ADDIN CSL_CITATION {"citationItems":[{"id":"ITEM-1","itemData":{"DOI":"10.1007/s15010-018-1200-y","ISSN":"14390973","abstract":"Purpose: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-1","issue":"6","issued":{"date-parts":[["2018"]]},"publisher":"Urban und Vogel GmbH","title":"Bacteraemia post-autologous haematopoietic stem cell transplantation in the absence of antibacterial prophylaxis: a decade’s experience from Lebanon","type":"article-journal","volume":"46"},"uris":["http://www.mendeley.com/documents/?uuid=fcf50596-2552-44da-a965-28f05137efeb","http://www.mendeley.com/documents/?uuid=994064a7-7ad5-46d6-af07-2b010e03da9d","http://www.mendeley.com/documents/?uuid=dd8b341d-4c23-4bd9-9d5d-3dceeb3afe7c","http://www.mendeley.com/documents/?uuid=26920eda-53a6-4a84-9487-903994067277","http://www.mendeley.com/documents/?uuid=853c0c3e-4b77-4603-bf23-18587d4490b6","http://www.mendeley.com/documents/?uuid=5ebcf890-5e16-4450-9634-3c05a12d76c0","http://www.mendeley.com/documents/?uuid=3eb7eca1-f810-48f1-8c56-0b2d965d8011","http://www.mendeley.com/documents/?uuid=ae672191-2fc7-35b4-bb6f-de9083ec561f"]}],"mendeley":{"formattedCitation":"[138]","plainTextFormattedCitation":"[138]","previouslyFormattedCitation":"[138]"},"properties":{"noteIndex":0},"schema":"https://github.com/citation-style-language/schema/raw/master/csl-citation.json"}</w:instrText>
      </w:r>
      <w:r w:rsidRPr="00BA4F0F">
        <w:fldChar w:fldCharType="separate"/>
      </w:r>
      <w:r w:rsidR="004D13EB" w:rsidRPr="004D13EB">
        <w:rPr>
          <w:noProof/>
        </w:rPr>
        <w:t>[138]</w:t>
      </w:r>
      <w:r w:rsidRPr="00BA4F0F">
        <w:fldChar w:fldCharType="end"/>
      </w:r>
      <w:r w:rsidRPr="00BA4F0F">
        <w:t>.</w:t>
      </w:r>
    </w:p>
    <w:p w14:paraId="58E2A170" w14:textId="76898B29" w:rsidR="0034590E" w:rsidRPr="00BA4F0F" w:rsidRDefault="0034590E" w:rsidP="0034590E">
      <w:pPr>
        <w:pStyle w:val="1fe"/>
        <w:spacing w:beforeAutospacing="0" w:afterAutospacing="0" w:line="360" w:lineRule="auto"/>
        <w:ind w:firstLine="709"/>
        <w:jc w:val="both"/>
      </w:pPr>
      <w:r w:rsidRPr="00BA4F0F">
        <w:t xml:space="preserve">Клинические проявления инфекционного процесса у этой категории пациентов, особенно в период нейтропении, крайне скудные. Ранее лихорадка неясной этиологии (повышение температуры тела без каких-либо других проявлений инфекции) являлась наиболее частым проявлением фебрильной нейтропении (≈ 50% случаев) </w:t>
      </w:r>
      <w:r w:rsidRPr="00BA4F0F">
        <w:fldChar w:fldCharType="begin" w:fldLock="1"/>
      </w:r>
      <w:r w:rsidR="00F44253">
        <w:instrText>ADDIN CSL_CITATION {"citationItems":[{"id":"ITEM-1","itemData":{"author":[{"dropping-particle":"","family":"Клясова","given":"Г.А.","non-dropping-particle":"","parse-names":false,"suffix":""},{"dropping-particle":"","family":"Савченко","given":"В.Г.","non-dropping-particle":"","parse-names":false,"suffix":""},{"dropping-particle":"","family":"Паровичникова","given":"Е.Н.","non-dropping-particle":"","parse-names":false,"suffix":""},{"dropping-particle":"","family":"Исаев","given":"В.Г.","non-dropping-particle":"","parse-names":false,"suffix":""},{"dropping-particle":"","family":"Толкачева","given":"Т.В.","non-dropping-particle":"","parse-names":false,"suffix":""},{"dropping-particle":"","family":"Маслова","given":"Е.Р.","non-dropping-particle":"","parse-names":false,"suffix":""}],"container-title":"Терапевтический архив","id":"ITEM-1","issue":"7","issued":{"date-parts":[["1998"]]},"page":"15-21","title":"Эмпирическая антимикробная терапия у больных острыми лейкозами: итоги многоцентрового исследования","type":"article-journal","volume":"70"},"uris":["http://www.mendeley.com/documents/?uuid=8c0ade5e-966e-4a67-abb0-83bf29a0c9b4"]}],"mendeley":{"formattedCitation":"[139]","plainTextFormattedCitation":"[139]","previouslyFormattedCitation":"[139]"},"properties":{"noteIndex":0},"schema":"https://github.com/citation-style-language/schema/raw/master/csl-citation.json"}</w:instrText>
      </w:r>
      <w:r w:rsidRPr="00BA4F0F">
        <w:fldChar w:fldCharType="separate"/>
      </w:r>
      <w:r w:rsidR="004D13EB" w:rsidRPr="004D13EB">
        <w:rPr>
          <w:noProof/>
        </w:rPr>
        <w:t>[139]</w:t>
      </w:r>
      <w:r w:rsidRPr="00BA4F0F">
        <w:fldChar w:fldCharType="end"/>
      </w:r>
      <w:r w:rsidRPr="00BA4F0F">
        <w:t>.</w:t>
      </w:r>
    </w:p>
    <w:p w14:paraId="095824B3" w14:textId="77777777" w:rsidR="0034590E" w:rsidRPr="00BA4F0F" w:rsidRDefault="0034590E" w:rsidP="0034590E">
      <w:pPr>
        <w:pStyle w:val="1fe"/>
        <w:spacing w:beforeAutospacing="0" w:afterAutospacing="0" w:line="360" w:lineRule="auto"/>
        <w:ind w:firstLine="709"/>
        <w:jc w:val="both"/>
      </w:pPr>
      <w:r w:rsidRPr="00BA4F0F">
        <w:t xml:space="preserve">Микробиологически и клинически доказанные инфекции встречались реже. К клинически доказанным инфекциям относят те, которые удается верифицировать с помощью физикальных или инструментальных методов диагностики при отсутствии микробиологического подтверждения. Микробиологическим подтверждением наличия инфекции в период гранулоцитопении в большинстве случаев является выделение микроорганизмов из гемокультуры. </w:t>
      </w:r>
    </w:p>
    <w:p w14:paraId="1584A6CB" w14:textId="77777777" w:rsidR="0034590E" w:rsidRPr="00BA4F0F" w:rsidRDefault="0034590E" w:rsidP="0034590E">
      <w:pPr>
        <w:pStyle w:val="1fe"/>
        <w:spacing w:beforeAutospacing="0" w:afterAutospacing="0" w:line="360" w:lineRule="auto"/>
        <w:ind w:firstLine="709"/>
        <w:jc w:val="both"/>
      </w:pPr>
      <w:r w:rsidRPr="00BA4F0F">
        <w:t xml:space="preserve">В последнее время возможности по диагностике инфекционных осложнений существенно расширились как за счет внедрения новых и совершенствования ранее используемых методов, так и сокращения времени исследования в микробиологии благодаря введению в лабораторную практику автоматических анализаторов и новых технологий дли идентификации микроорганизмов. </w:t>
      </w:r>
    </w:p>
    <w:p w14:paraId="1CFF8354" w14:textId="77777777" w:rsidR="0034590E" w:rsidRPr="00BA4F0F" w:rsidRDefault="0034590E" w:rsidP="0034590E">
      <w:pPr>
        <w:pStyle w:val="1fe"/>
        <w:spacing w:beforeAutospacing="0" w:afterAutospacing="0" w:line="360" w:lineRule="auto"/>
        <w:ind w:firstLine="709"/>
        <w:jc w:val="both"/>
      </w:pPr>
      <w:r w:rsidRPr="00BA4F0F">
        <w:lastRenderedPageBreak/>
        <w:t xml:space="preserve">В первые сутки, как правило, единственным симптомом бывает лишь повышение температуры,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больных с фебрильной нейтропенией 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115DEF3B" w14:textId="77777777" w:rsidR="0034590E" w:rsidRPr="00BA4F0F" w:rsidRDefault="0034590E" w:rsidP="0034590E">
      <w:pPr>
        <w:pStyle w:val="1fe"/>
        <w:spacing w:beforeAutospacing="0" w:afterAutospacing="0" w:line="360" w:lineRule="auto"/>
        <w:ind w:firstLine="709"/>
        <w:jc w:val="both"/>
        <w:rPr>
          <w:u w:val="single"/>
        </w:rPr>
      </w:pPr>
    </w:p>
    <w:p w14:paraId="5BAF695F" w14:textId="70829A40" w:rsidR="0034590E" w:rsidRPr="00BA4F0F" w:rsidRDefault="0034590E" w:rsidP="0034590E">
      <w:pPr>
        <w:pStyle w:val="1fe"/>
        <w:spacing w:beforeAutospacing="0" w:afterAutospacing="0" w:line="360" w:lineRule="auto"/>
        <w:ind w:firstLine="709"/>
        <w:jc w:val="both"/>
        <w:rPr>
          <w:u w:val="single"/>
        </w:rPr>
      </w:pPr>
      <w:r w:rsidRPr="00BA4F0F">
        <w:rPr>
          <w:u w:val="single"/>
        </w:rPr>
        <w:t xml:space="preserve">Диагностические исследования, проводимые при лихорадке у больных гемобластозами </w:t>
      </w:r>
      <w:r w:rsidRPr="00BA4F0F">
        <w:rPr>
          <w:u w:val="single"/>
        </w:rPr>
        <w:fldChar w:fldCharType="begin" w:fldLock="1"/>
      </w:r>
      <w:r w:rsidR="00F44253">
        <w:rPr>
          <w:u w:val="single"/>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c0eae3a3-34ee-40e1-8813-566cb7fa2b4a","http://www.mendeley.com/documents/?uuid=9cac36ab-7685-4894-b1cb-f141a1797526","http://www.mendeley.com/documents/?uuid=478d6ce1-e425-4912-87db-adfee39f1ce9","http://www.mendeley.com/documents/?uuid=a1e2f5d6-ef05-4351-9481-13fad4fd103b","http://www.mendeley.com/documents/?uuid=26da25a5-bd21-4509-8e88-e4e6744fab98","http://www.mendeley.com/documents/?uuid=fe583573-532c-46dc-b4f4-f9d01345e27c","http://www.mendeley.com/documents/?uuid=2cd270b2-efaf-4da9-a95d-66324661ea35"]}],"mendeley":{"formattedCitation":"[140]","plainTextFormattedCitation":"[140]","previouslyFormattedCitation":"[140]"},"properties":{"noteIndex":0},"schema":"https://github.com/citation-style-language/schema/raw/master/csl-citation.json"}</w:instrText>
      </w:r>
      <w:r w:rsidRPr="00BA4F0F">
        <w:rPr>
          <w:u w:val="single"/>
        </w:rPr>
        <w:fldChar w:fldCharType="separate"/>
      </w:r>
      <w:r w:rsidR="004D13EB" w:rsidRPr="004D13EB">
        <w:rPr>
          <w:noProof/>
        </w:rPr>
        <w:t>[140]</w:t>
      </w:r>
      <w:r w:rsidRPr="00BA4F0F">
        <w:rPr>
          <w:u w:val="single"/>
        </w:rPr>
        <w:fldChar w:fldCharType="end"/>
      </w:r>
    </w:p>
    <w:p w14:paraId="736A5187" w14:textId="77777777" w:rsidR="0034590E" w:rsidRPr="00BA4F0F" w:rsidRDefault="0034590E" w:rsidP="0034590E">
      <w:pPr>
        <w:pStyle w:val="1fe"/>
        <w:spacing w:beforeAutospacing="0" w:afterAutospacing="0" w:line="360" w:lineRule="auto"/>
        <w:ind w:firstLine="709"/>
        <w:jc w:val="both"/>
      </w:pPr>
      <w:r w:rsidRPr="00BA4F0F">
        <w:t>Во всех случаях инфекционного процесса следует активно проводить диагностику, направленную на выявление, как очагов инфекции, так и этиологических агентов.</w:t>
      </w:r>
    </w:p>
    <w:p w14:paraId="50C69716" w14:textId="77777777" w:rsidR="0034590E" w:rsidRPr="00BA4F0F" w:rsidRDefault="0034590E" w:rsidP="0034590E">
      <w:pPr>
        <w:pStyle w:val="1fe"/>
        <w:spacing w:beforeAutospacing="0" w:afterAutospacing="0" w:line="360" w:lineRule="auto"/>
        <w:ind w:firstLine="709"/>
        <w:jc w:val="both"/>
      </w:pPr>
      <w:r w:rsidRPr="00BA4F0F">
        <w:t>При подозрении на инфекцию образцы клинического материала от больных должны быть взяты незамедлительно. Особо следует подчеркнуть необходимость пристального внимания и проведения тщательных микробиологических исследований у больных, принимающих глюкокортикоиды, и у лиц пожилого возраста.</w:t>
      </w:r>
    </w:p>
    <w:p w14:paraId="6D9F0852" w14:textId="77777777" w:rsidR="0034590E" w:rsidRPr="00BA4F0F" w:rsidRDefault="0034590E" w:rsidP="0034590E">
      <w:pPr>
        <w:pStyle w:val="1fe"/>
        <w:spacing w:beforeAutospacing="0" w:afterAutospacing="0" w:line="360" w:lineRule="auto"/>
        <w:ind w:firstLine="709"/>
        <w:jc w:val="both"/>
      </w:pPr>
      <w:r w:rsidRPr="00BA4F0F">
        <w:t xml:space="preserve">У этой группы пациентов септицемия может протекать без температуры, что бывает у 70% тяжелобольных в возрасте от 66 лет и старше, или лихорадка может быть лишь субфебрильной. </w:t>
      </w:r>
    </w:p>
    <w:p w14:paraId="090F301F" w14:textId="77777777" w:rsidR="0034590E" w:rsidRPr="00BA4F0F" w:rsidRDefault="0034590E" w:rsidP="0034590E">
      <w:pPr>
        <w:pStyle w:val="1fe"/>
        <w:spacing w:beforeAutospacing="0" w:afterAutospacing="0" w:line="360" w:lineRule="auto"/>
        <w:ind w:firstLine="709"/>
        <w:jc w:val="both"/>
      </w:pPr>
    </w:p>
    <w:p w14:paraId="26B5D255" w14:textId="77777777" w:rsidR="0034590E" w:rsidRPr="00BA4F0F" w:rsidRDefault="0034590E" w:rsidP="0034590E">
      <w:pPr>
        <w:pStyle w:val="1fe"/>
        <w:spacing w:beforeAutospacing="0" w:afterAutospacing="0" w:line="360" w:lineRule="auto"/>
        <w:ind w:firstLine="709"/>
        <w:jc w:val="both"/>
      </w:pPr>
      <w:r w:rsidRPr="006E1ADA">
        <w:t xml:space="preserve">Таблица </w:t>
      </w:r>
      <w:r>
        <w:t>9</w:t>
      </w:r>
      <w:r w:rsidRPr="006E1ADA">
        <w:t>. Алгоритм диагностики инфекционных осложнений у больных гемобластозами в период ауто-ТГСК.</w:t>
      </w:r>
    </w:p>
    <w:tbl>
      <w:tblPr>
        <w:tblStyle w:val="aff8"/>
        <w:tblW w:w="0" w:type="auto"/>
        <w:tblInd w:w="108" w:type="dxa"/>
        <w:tblLook w:val="04A0" w:firstRow="1" w:lastRow="0" w:firstColumn="1" w:lastColumn="0" w:noHBand="0" w:noVBand="1"/>
      </w:tblPr>
      <w:tblGrid>
        <w:gridCol w:w="4556"/>
        <w:gridCol w:w="4681"/>
      </w:tblGrid>
      <w:tr w:rsidR="0034590E" w:rsidRPr="00BA4F0F" w14:paraId="127CE940" w14:textId="77777777" w:rsidTr="00EC1C67">
        <w:tc>
          <w:tcPr>
            <w:tcW w:w="4677" w:type="dxa"/>
          </w:tcPr>
          <w:p w14:paraId="2852BBC8" w14:textId="77777777" w:rsidR="0034590E" w:rsidRPr="00BA4F0F" w:rsidRDefault="0034590E" w:rsidP="00EC1C67">
            <w:pPr>
              <w:tabs>
                <w:tab w:val="left" w:pos="176"/>
              </w:tabs>
              <w:ind w:firstLine="0"/>
            </w:pPr>
            <w:r w:rsidRPr="00BA4F0F">
              <w:t>Показания</w:t>
            </w:r>
          </w:p>
        </w:tc>
        <w:tc>
          <w:tcPr>
            <w:tcW w:w="4786" w:type="dxa"/>
          </w:tcPr>
          <w:p w14:paraId="08FAA447" w14:textId="77777777" w:rsidR="0034590E" w:rsidRPr="00BA4F0F" w:rsidRDefault="0034590E" w:rsidP="00EC1C67">
            <w:pPr>
              <w:tabs>
                <w:tab w:val="left" w:pos="34"/>
              </w:tabs>
              <w:ind w:firstLine="0"/>
            </w:pPr>
            <w:r w:rsidRPr="00BA4F0F">
              <w:t>Исследование</w:t>
            </w:r>
          </w:p>
        </w:tc>
      </w:tr>
      <w:tr w:rsidR="0034590E" w:rsidRPr="00BA4F0F" w14:paraId="173E467A" w14:textId="77777777" w:rsidTr="00EC1C67">
        <w:tc>
          <w:tcPr>
            <w:tcW w:w="4677" w:type="dxa"/>
          </w:tcPr>
          <w:p w14:paraId="5D0CEB3B" w14:textId="77777777" w:rsidR="0034590E" w:rsidRPr="00BA4F0F" w:rsidRDefault="0034590E" w:rsidP="00EC1C67">
            <w:pPr>
              <w:tabs>
                <w:tab w:val="left" w:pos="176"/>
                <w:tab w:val="left" w:pos="284"/>
              </w:tabs>
              <w:ind w:firstLine="0"/>
            </w:pPr>
            <w:r w:rsidRPr="00BA4F0F">
              <w:t>Температура ≥38</w:t>
            </w:r>
            <w:r w:rsidRPr="00BA4F0F">
              <w:rPr>
                <w:vertAlign w:val="superscript"/>
              </w:rPr>
              <w:t>о</w:t>
            </w:r>
            <w:r w:rsidRPr="00BA4F0F">
              <w:t>С, впервые возникшая</w:t>
            </w:r>
          </w:p>
        </w:tc>
        <w:tc>
          <w:tcPr>
            <w:tcW w:w="4786" w:type="dxa"/>
          </w:tcPr>
          <w:p w14:paraId="53A90C00" w14:textId="77777777" w:rsidR="0034590E" w:rsidRPr="00BA4F0F" w:rsidRDefault="0034590E" w:rsidP="00EC1C67">
            <w:pPr>
              <w:tabs>
                <w:tab w:val="left" w:pos="34"/>
              </w:tabs>
              <w:ind w:firstLine="0"/>
            </w:pPr>
            <w:r w:rsidRPr="00BA4F0F">
              <w:t>Взятие крови в 2 флакона для гемокультуры (вена-катетер или вена-вена).</w:t>
            </w:r>
          </w:p>
        </w:tc>
      </w:tr>
      <w:tr w:rsidR="0034590E" w:rsidRPr="00BA4F0F" w14:paraId="08C914D5" w14:textId="77777777" w:rsidTr="00EC1C67">
        <w:tc>
          <w:tcPr>
            <w:tcW w:w="4677" w:type="dxa"/>
          </w:tcPr>
          <w:p w14:paraId="4B226E11" w14:textId="77777777" w:rsidR="0034590E" w:rsidRPr="00BA4F0F" w:rsidRDefault="0034590E" w:rsidP="00EC1C67">
            <w:pPr>
              <w:tabs>
                <w:tab w:val="left" w:pos="176"/>
                <w:tab w:val="left" w:pos="284"/>
              </w:tabs>
              <w:ind w:firstLine="0"/>
            </w:pPr>
            <w:r w:rsidRPr="00BA4F0F">
              <w:t>Температура ≥38</w:t>
            </w:r>
            <w:r w:rsidRPr="00BA4F0F">
              <w:rPr>
                <w:vertAlign w:val="superscript"/>
              </w:rPr>
              <w:t>о</w:t>
            </w:r>
            <w:r w:rsidRPr="00BA4F0F">
              <w:t>С в течение ≥5 дней и нейтропения</w:t>
            </w:r>
          </w:p>
        </w:tc>
        <w:tc>
          <w:tcPr>
            <w:tcW w:w="4786" w:type="dxa"/>
          </w:tcPr>
          <w:p w14:paraId="02E5616A" w14:textId="77777777" w:rsidR="0034590E" w:rsidRPr="00BA4F0F" w:rsidRDefault="0034590E" w:rsidP="00EC1C67">
            <w:pPr>
              <w:tabs>
                <w:tab w:val="left" w:pos="34"/>
              </w:tabs>
              <w:ind w:firstLine="0"/>
            </w:pPr>
            <w:r w:rsidRPr="00BA4F0F">
              <w:t xml:space="preserve">Повторное взятие крови для гемокультуры 1 раз в неделю. </w:t>
            </w:r>
          </w:p>
          <w:p w14:paraId="34D6CDD1" w14:textId="77777777" w:rsidR="0034590E" w:rsidRPr="00BA4F0F" w:rsidRDefault="0034590E" w:rsidP="00EC1C67">
            <w:pPr>
              <w:tabs>
                <w:tab w:val="left" w:pos="34"/>
              </w:tabs>
              <w:ind w:firstLine="0"/>
            </w:pPr>
            <w:r w:rsidRPr="00BA4F0F">
              <w:t xml:space="preserve">Микробиологическое исследование мочи. </w:t>
            </w:r>
          </w:p>
          <w:p w14:paraId="2FA28825" w14:textId="77777777" w:rsidR="0034590E" w:rsidRPr="00BA4F0F" w:rsidRDefault="0034590E" w:rsidP="00EC1C67">
            <w:pPr>
              <w:tabs>
                <w:tab w:val="left" w:pos="34"/>
              </w:tabs>
              <w:ind w:firstLine="0"/>
            </w:pPr>
            <w:r w:rsidRPr="00BA4F0F">
              <w:t xml:space="preserve">КТ легких. </w:t>
            </w:r>
          </w:p>
          <w:p w14:paraId="094DCD49" w14:textId="77777777" w:rsidR="0034590E" w:rsidRPr="00BA4F0F" w:rsidRDefault="0034590E" w:rsidP="00EC1C67">
            <w:pPr>
              <w:tabs>
                <w:tab w:val="left" w:pos="34"/>
              </w:tabs>
              <w:ind w:firstLine="0"/>
            </w:pPr>
            <w:r w:rsidRPr="00BA4F0F">
              <w:t>Мазок со слизистой оболочки кишечника.</w:t>
            </w:r>
          </w:p>
        </w:tc>
      </w:tr>
      <w:tr w:rsidR="0034590E" w:rsidRPr="00BA4F0F" w14:paraId="6C13E0A9" w14:textId="77777777" w:rsidTr="00EC1C67">
        <w:tc>
          <w:tcPr>
            <w:tcW w:w="4677" w:type="dxa"/>
          </w:tcPr>
          <w:p w14:paraId="2530E268" w14:textId="77777777" w:rsidR="0034590E" w:rsidRPr="00BA4F0F" w:rsidRDefault="0034590E" w:rsidP="00EC1C67">
            <w:pPr>
              <w:tabs>
                <w:tab w:val="left" w:pos="176"/>
                <w:tab w:val="left" w:pos="284"/>
              </w:tabs>
              <w:ind w:firstLine="0"/>
            </w:pPr>
            <w:r w:rsidRPr="00BA4F0F">
              <w:lastRenderedPageBreak/>
              <w:t>Температура ≥38</w:t>
            </w:r>
            <w:r w:rsidRPr="00BA4F0F">
              <w:rPr>
                <w:vertAlign w:val="superscript"/>
              </w:rPr>
              <w:t>о</w:t>
            </w:r>
            <w:r w:rsidRPr="00BA4F0F">
              <w:t>С, длительная, сохраняется после выхода из нейтропении</w:t>
            </w:r>
          </w:p>
        </w:tc>
        <w:tc>
          <w:tcPr>
            <w:tcW w:w="4786" w:type="dxa"/>
          </w:tcPr>
          <w:p w14:paraId="5F6A7E01" w14:textId="77777777" w:rsidR="0034590E" w:rsidRPr="00BA4F0F" w:rsidRDefault="0034590E" w:rsidP="00EC1C67">
            <w:pPr>
              <w:tabs>
                <w:tab w:val="left" w:pos="34"/>
              </w:tabs>
              <w:ind w:firstLine="0"/>
            </w:pPr>
            <w:r w:rsidRPr="00BA4F0F">
              <w:t xml:space="preserve">УЗИ брюшной полости. </w:t>
            </w:r>
          </w:p>
          <w:p w14:paraId="1370DE7B" w14:textId="77777777" w:rsidR="0034590E" w:rsidRPr="00BA4F0F" w:rsidRDefault="0034590E" w:rsidP="00EC1C67">
            <w:pPr>
              <w:tabs>
                <w:tab w:val="left" w:pos="34"/>
              </w:tabs>
              <w:ind w:firstLine="0"/>
            </w:pPr>
            <w:r w:rsidRPr="00BA4F0F">
              <w:t xml:space="preserve">Определение антигена </w:t>
            </w:r>
            <w:r w:rsidRPr="00BA4F0F">
              <w:rPr>
                <w:i/>
                <w:lang w:val="en-US"/>
              </w:rPr>
              <w:t>Candida</w:t>
            </w:r>
            <w:r w:rsidRPr="00BA4F0F">
              <w:t xml:space="preserve"> (маннан) и антител </w:t>
            </w:r>
            <w:r w:rsidRPr="00BA4F0F">
              <w:rPr>
                <w:i/>
                <w:lang w:val="en-US"/>
              </w:rPr>
              <w:t>Candida</w:t>
            </w:r>
            <w:r w:rsidRPr="00BA4F0F">
              <w:t xml:space="preserve"> (антиманнан) в крови.</w:t>
            </w:r>
          </w:p>
        </w:tc>
      </w:tr>
      <w:tr w:rsidR="0034590E" w:rsidRPr="00BA4F0F" w14:paraId="295CBAB9" w14:textId="77777777" w:rsidTr="00EC1C67">
        <w:tc>
          <w:tcPr>
            <w:tcW w:w="4677" w:type="dxa"/>
          </w:tcPr>
          <w:p w14:paraId="519E9447" w14:textId="77777777" w:rsidR="0034590E" w:rsidRPr="00BA4F0F" w:rsidRDefault="0034590E" w:rsidP="00EC1C67">
            <w:pPr>
              <w:tabs>
                <w:tab w:val="left" w:pos="176"/>
                <w:tab w:val="left" w:pos="284"/>
              </w:tabs>
              <w:ind w:firstLine="0"/>
            </w:pPr>
            <w:r w:rsidRPr="00BA4F0F">
              <w:t>Катетер-ассоциированная инфекция</w:t>
            </w:r>
          </w:p>
        </w:tc>
        <w:tc>
          <w:tcPr>
            <w:tcW w:w="4786" w:type="dxa"/>
          </w:tcPr>
          <w:p w14:paraId="4BAB3C63" w14:textId="77777777" w:rsidR="0034590E" w:rsidRPr="00BA4F0F" w:rsidRDefault="0034590E" w:rsidP="00EC1C67">
            <w:pPr>
              <w:tabs>
                <w:tab w:val="left" w:pos="34"/>
              </w:tabs>
              <w:ind w:firstLine="0"/>
            </w:pPr>
            <w:r w:rsidRPr="00BA4F0F">
              <w:t xml:space="preserve">Взятие одновременно гемокультуры из вены и ЦВК. </w:t>
            </w:r>
          </w:p>
          <w:p w14:paraId="03387E95" w14:textId="77777777" w:rsidR="0034590E" w:rsidRPr="00BA4F0F" w:rsidRDefault="0034590E" w:rsidP="00EC1C67">
            <w:pPr>
              <w:tabs>
                <w:tab w:val="left" w:pos="34"/>
              </w:tabs>
              <w:ind w:firstLine="0"/>
            </w:pPr>
            <w:r w:rsidRPr="00BA4F0F">
              <w:t>При подтверждении необходимо удалить ЦВК .</w:t>
            </w:r>
          </w:p>
        </w:tc>
      </w:tr>
      <w:tr w:rsidR="0034590E" w:rsidRPr="00BA4F0F" w14:paraId="24B2DCD4" w14:textId="77777777" w:rsidTr="00EC1C67">
        <w:tc>
          <w:tcPr>
            <w:tcW w:w="4677" w:type="dxa"/>
          </w:tcPr>
          <w:p w14:paraId="65742592" w14:textId="77777777" w:rsidR="0034590E" w:rsidRPr="00BA4F0F" w:rsidRDefault="0034590E" w:rsidP="00EC1C67">
            <w:pPr>
              <w:tabs>
                <w:tab w:val="left" w:pos="176"/>
                <w:tab w:val="left" w:pos="284"/>
              </w:tabs>
              <w:ind w:firstLine="0"/>
            </w:pPr>
            <w:r w:rsidRPr="00BA4F0F">
              <w:t>Нейтропения более 10 дней</w:t>
            </w:r>
          </w:p>
        </w:tc>
        <w:tc>
          <w:tcPr>
            <w:tcW w:w="4786" w:type="dxa"/>
          </w:tcPr>
          <w:p w14:paraId="33D24521" w14:textId="77777777" w:rsidR="0034590E" w:rsidRPr="00BA4F0F" w:rsidRDefault="0034590E" w:rsidP="00EC1C67">
            <w:pPr>
              <w:tabs>
                <w:tab w:val="left" w:pos="34"/>
              </w:tabs>
              <w:ind w:firstLine="0"/>
            </w:pPr>
            <w:r w:rsidRPr="00BA4F0F">
              <w:t xml:space="preserve">Исследование крови на антиген </w:t>
            </w:r>
            <w:r w:rsidRPr="00BA4F0F">
              <w:rPr>
                <w:lang w:val="en-US"/>
              </w:rPr>
              <w:t>Aspergillus</w:t>
            </w:r>
            <w:r w:rsidRPr="00BA4F0F">
              <w:t xml:space="preserve"> 2 раза в неделю.</w:t>
            </w:r>
          </w:p>
        </w:tc>
      </w:tr>
      <w:tr w:rsidR="0034590E" w:rsidRPr="00BA4F0F" w14:paraId="3CED2BD1" w14:textId="77777777" w:rsidTr="00EC1C67">
        <w:tc>
          <w:tcPr>
            <w:tcW w:w="4677" w:type="dxa"/>
          </w:tcPr>
          <w:p w14:paraId="7CCE82AF" w14:textId="77777777" w:rsidR="0034590E" w:rsidRPr="00BA4F0F" w:rsidRDefault="0034590E" w:rsidP="00EC1C67">
            <w:pPr>
              <w:tabs>
                <w:tab w:val="left" w:pos="176"/>
                <w:tab w:val="left" w:pos="284"/>
              </w:tabs>
              <w:ind w:firstLine="0"/>
            </w:pPr>
            <w:r w:rsidRPr="00BA4F0F">
              <w:t>Стоматит</w:t>
            </w:r>
          </w:p>
        </w:tc>
        <w:tc>
          <w:tcPr>
            <w:tcW w:w="4786" w:type="dxa"/>
          </w:tcPr>
          <w:p w14:paraId="19787354" w14:textId="77777777" w:rsidR="0034590E" w:rsidRPr="00BA4F0F" w:rsidRDefault="0034590E" w:rsidP="00EC1C67">
            <w:pPr>
              <w:tabs>
                <w:tab w:val="left" w:pos="34"/>
              </w:tabs>
              <w:ind w:firstLine="0"/>
            </w:pPr>
            <w:r w:rsidRPr="00BA4F0F">
              <w:t>Мазок со слизистой ротоглотки.</w:t>
            </w:r>
          </w:p>
        </w:tc>
      </w:tr>
      <w:tr w:rsidR="0034590E" w:rsidRPr="00BA4F0F" w14:paraId="73656E09" w14:textId="77777777" w:rsidTr="00EC1C67">
        <w:tc>
          <w:tcPr>
            <w:tcW w:w="4677" w:type="dxa"/>
          </w:tcPr>
          <w:p w14:paraId="71B6C3A5" w14:textId="77777777" w:rsidR="0034590E" w:rsidRPr="00BA4F0F" w:rsidRDefault="0034590E" w:rsidP="00EC1C67">
            <w:pPr>
              <w:tabs>
                <w:tab w:val="left" w:pos="176"/>
                <w:tab w:val="left" w:pos="284"/>
              </w:tabs>
              <w:ind w:firstLine="0"/>
            </w:pPr>
            <w:r w:rsidRPr="00BA4F0F">
              <w:t>Эзофагит</w:t>
            </w:r>
          </w:p>
        </w:tc>
        <w:tc>
          <w:tcPr>
            <w:tcW w:w="4786" w:type="dxa"/>
          </w:tcPr>
          <w:p w14:paraId="0B7C7F2A" w14:textId="77777777" w:rsidR="0034590E" w:rsidRPr="00BA4F0F" w:rsidRDefault="0034590E" w:rsidP="00EC1C67">
            <w:pPr>
              <w:tabs>
                <w:tab w:val="left" w:pos="34"/>
              </w:tabs>
              <w:ind w:firstLine="0"/>
            </w:pPr>
            <w:r w:rsidRPr="00BA4F0F">
              <w:t xml:space="preserve">Эзофагоскопия (тромбоцитов не менее 50 х 109/л). </w:t>
            </w:r>
          </w:p>
          <w:p w14:paraId="4227293A" w14:textId="77777777" w:rsidR="0034590E" w:rsidRPr="00BA4F0F" w:rsidRDefault="0034590E" w:rsidP="00EC1C67">
            <w:pPr>
              <w:tabs>
                <w:tab w:val="left" w:pos="34"/>
              </w:tabs>
              <w:ind w:firstLine="0"/>
            </w:pPr>
            <w:r w:rsidRPr="00BA4F0F">
              <w:t>Исследование – соскоб (браш-метод) со слизистой оболочки или биопсия.</w:t>
            </w:r>
          </w:p>
        </w:tc>
      </w:tr>
      <w:tr w:rsidR="0034590E" w:rsidRPr="00BA4F0F" w14:paraId="2D307DF4" w14:textId="77777777" w:rsidTr="00EC1C67">
        <w:tc>
          <w:tcPr>
            <w:tcW w:w="4677" w:type="dxa"/>
          </w:tcPr>
          <w:p w14:paraId="153B328D" w14:textId="77777777" w:rsidR="0034590E" w:rsidRPr="00BA4F0F" w:rsidRDefault="0034590E" w:rsidP="00EC1C67">
            <w:pPr>
              <w:tabs>
                <w:tab w:val="left" w:pos="176"/>
                <w:tab w:val="left" w:pos="284"/>
              </w:tabs>
              <w:ind w:firstLine="0"/>
            </w:pPr>
            <w:r w:rsidRPr="00BA4F0F">
              <w:t>Некроз слизистой оболочки носового хода</w:t>
            </w:r>
          </w:p>
        </w:tc>
        <w:tc>
          <w:tcPr>
            <w:tcW w:w="4786" w:type="dxa"/>
          </w:tcPr>
          <w:p w14:paraId="1B0F18A0" w14:textId="77777777" w:rsidR="0034590E" w:rsidRPr="00BA4F0F" w:rsidRDefault="0034590E" w:rsidP="00EC1C67">
            <w:pPr>
              <w:tabs>
                <w:tab w:val="left" w:pos="34"/>
              </w:tabs>
              <w:ind w:firstLine="0"/>
            </w:pPr>
            <w:r w:rsidRPr="00BA4F0F">
              <w:t>Мазок со слизистой оболочки носа</w:t>
            </w:r>
          </w:p>
        </w:tc>
      </w:tr>
      <w:tr w:rsidR="0034590E" w:rsidRPr="00BA4F0F" w14:paraId="2D4F5982" w14:textId="77777777" w:rsidTr="00EC1C67">
        <w:tc>
          <w:tcPr>
            <w:tcW w:w="4677" w:type="dxa"/>
          </w:tcPr>
          <w:p w14:paraId="385CCC96" w14:textId="77777777" w:rsidR="0034590E" w:rsidRPr="00BA4F0F" w:rsidRDefault="0034590E" w:rsidP="00EC1C67">
            <w:pPr>
              <w:tabs>
                <w:tab w:val="left" w:pos="176"/>
                <w:tab w:val="left" w:pos="284"/>
              </w:tabs>
              <w:ind w:firstLine="0"/>
            </w:pPr>
            <w:r w:rsidRPr="00BA4F0F">
              <w:t>Гайморит</w:t>
            </w:r>
          </w:p>
        </w:tc>
        <w:tc>
          <w:tcPr>
            <w:tcW w:w="4786" w:type="dxa"/>
          </w:tcPr>
          <w:p w14:paraId="5B217341" w14:textId="77777777" w:rsidR="0034590E" w:rsidRPr="00BA4F0F" w:rsidRDefault="0034590E" w:rsidP="00EC1C67">
            <w:pPr>
              <w:tabs>
                <w:tab w:val="left" w:pos="34"/>
              </w:tabs>
              <w:ind w:firstLine="0"/>
            </w:pPr>
            <w:r w:rsidRPr="00BA4F0F">
              <w:t>Исследование содержимого околоносовой пазухи, полученной при пункции.</w:t>
            </w:r>
          </w:p>
        </w:tc>
      </w:tr>
      <w:tr w:rsidR="0034590E" w:rsidRPr="00BA4F0F" w14:paraId="4029910C" w14:textId="77777777" w:rsidTr="00EC1C67">
        <w:tc>
          <w:tcPr>
            <w:tcW w:w="4677" w:type="dxa"/>
          </w:tcPr>
          <w:p w14:paraId="5829A259" w14:textId="77777777" w:rsidR="0034590E" w:rsidRPr="00BA4F0F" w:rsidRDefault="0034590E" w:rsidP="00EC1C67">
            <w:pPr>
              <w:tabs>
                <w:tab w:val="left" w:pos="176"/>
                <w:tab w:val="left" w:pos="284"/>
              </w:tabs>
              <w:ind w:firstLine="0"/>
            </w:pPr>
            <w:r w:rsidRPr="00BA4F0F">
              <w:t>Симптомы инфекции мочевыводящих путей</w:t>
            </w:r>
          </w:p>
          <w:p w14:paraId="50460D2B" w14:textId="77777777" w:rsidR="0034590E" w:rsidRPr="00BA4F0F" w:rsidRDefault="0034590E" w:rsidP="00EC1C67">
            <w:pPr>
              <w:tabs>
                <w:tab w:val="left" w:pos="176"/>
                <w:tab w:val="left" w:pos="284"/>
              </w:tabs>
              <w:ind w:firstLine="0"/>
            </w:pPr>
            <w:r w:rsidRPr="00BA4F0F">
              <w:t>Лейкоцитурия</w:t>
            </w:r>
          </w:p>
        </w:tc>
        <w:tc>
          <w:tcPr>
            <w:tcW w:w="4786" w:type="dxa"/>
          </w:tcPr>
          <w:p w14:paraId="2A74067C" w14:textId="77777777" w:rsidR="0034590E" w:rsidRPr="00BA4F0F" w:rsidRDefault="0034590E" w:rsidP="00EC1C67">
            <w:pPr>
              <w:tabs>
                <w:tab w:val="left" w:pos="34"/>
              </w:tabs>
              <w:ind w:firstLine="0"/>
            </w:pPr>
            <w:r w:rsidRPr="00BA4F0F">
              <w:t>Микробиологическое исследование мочи.</w:t>
            </w:r>
          </w:p>
        </w:tc>
      </w:tr>
      <w:tr w:rsidR="0034590E" w:rsidRPr="00BA4F0F" w14:paraId="632B2321" w14:textId="77777777" w:rsidTr="00EC1C67">
        <w:tc>
          <w:tcPr>
            <w:tcW w:w="4677" w:type="dxa"/>
          </w:tcPr>
          <w:p w14:paraId="15AE5693" w14:textId="77777777" w:rsidR="0034590E" w:rsidRPr="00BA4F0F" w:rsidRDefault="0034590E" w:rsidP="00EC1C67">
            <w:pPr>
              <w:tabs>
                <w:tab w:val="left" w:pos="176"/>
                <w:tab w:val="left" w:pos="284"/>
              </w:tabs>
              <w:ind w:firstLine="0"/>
            </w:pPr>
            <w:r w:rsidRPr="00BA4F0F">
              <w:t>Пневмония</w:t>
            </w:r>
          </w:p>
        </w:tc>
        <w:tc>
          <w:tcPr>
            <w:tcW w:w="4786" w:type="dxa"/>
          </w:tcPr>
          <w:p w14:paraId="5C3BF761" w14:textId="77777777" w:rsidR="0034590E" w:rsidRPr="00BA4F0F" w:rsidRDefault="0034590E" w:rsidP="00EC1C67">
            <w:pPr>
              <w:tabs>
                <w:tab w:val="left" w:pos="34"/>
              </w:tabs>
              <w:ind w:firstLine="0"/>
            </w:pPr>
            <w:r w:rsidRPr="00BA4F0F">
              <w:t>КТ легких.</w:t>
            </w:r>
          </w:p>
          <w:p w14:paraId="038E2400" w14:textId="77777777" w:rsidR="0034590E" w:rsidRPr="00BA4F0F" w:rsidRDefault="0034590E" w:rsidP="00EC1C67">
            <w:pPr>
              <w:tabs>
                <w:tab w:val="left" w:pos="34"/>
              </w:tabs>
              <w:ind w:firstLine="0"/>
            </w:pPr>
            <w:r w:rsidRPr="00BA4F0F">
              <w:t>БАЛ после КТ легких.</w:t>
            </w:r>
          </w:p>
          <w:p w14:paraId="7F07CCB8" w14:textId="77777777" w:rsidR="0034590E" w:rsidRPr="00BA4F0F" w:rsidRDefault="0034590E" w:rsidP="00EC1C67">
            <w:pPr>
              <w:tabs>
                <w:tab w:val="left" w:pos="34"/>
              </w:tabs>
              <w:ind w:firstLine="0"/>
            </w:pPr>
            <w:r w:rsidRPr="00BA4F0F">
              <w:t>Полное исследование жидкости БАЛ.</w:t>
            </w:r>
          </w:p>
          <w:p w14:paraId="69459BF0" w14:textId="77777777" w:rsidR="0034590E" w:rsidRPr="00BA4F0F" w:rsidRDefault="0034590E" w:rsidP="00EC1C67">
            <w:pPr>
              <w:tabs>
                <w:tab w:val="left" w:pos="34"/>
              </w:tabs>
              <w:ind w:firstLine="0"/>
            </w:pPr>
            <w:r w:rsidRPr="00BA4F0F">
              <w:t xml:space="preserve">Исследование крови на антиген </w:t>
            </w:r>
            <w:r w:rsidRPr="00BA4F0F">
              <w:rPr>
                <w:lang w:val="en-US"/>
              </w:rPr>
              <w:t>Aspergillus</w:t>
            </w:r>
            <w:r w:rsidRPr="00BA4F0F">
              <w:t>.</w:t>
            </w:r>
          </w:p>
          <w:p w14:paraId="2E7C3203" w14:textId="77777777" w:rsidR="0034590E" w:rsidRPr="00BA4F0F" w:rsidRDefault="0034590E" w:rsidP="00EC1C67">
            <w:pPr>
              <w:tabs>
                <w:tab w:val="left" w:pos="34"/>
              </w:tabs>
              <w:ind w:firstLine="0"/>
            </w:pPr>
            <w:r w:rsidRPr="00BA4F0F">
              <w:t xml:space="preserve">Исследование крови на антитела к </w:t>
            </w:r>
            <w:r w:rsidRPr="00BA4F0F">
              <w:rPr>
                <w:lang w:val="en-US"/>
              </w:rPr>
              <w:t>Mycoplasma</w:t>
            </w:r>
            <w:r w:rsidRPr="00BA4F0F">
              <w:t xml:space="preserve"> </w:t>
            </w:r>
            <w:r w:rsidRPr="00BA4F0F">
              <w:rPr>
                <w:lang w:val="en-US"/>
              </w:rPr>
              <w:t>pneumoniae</w:t>
            </w:r>
            <w:r w:rsidRPr="00BA4F0F">
              <w:t xml:space="preserve"> (</w:t>
            </w:r>
            <w:r w:rsidRPr="00BA4F0F">
              <w:rPr>
                <w:lang w:val="en-US"/>
              </w:rPr>
              <w:t>IgM</w:t>
            </w:r>
            <w:r w:rsidRPr="00BA4F0F">
              <w:t xml:space="preserve">, </w:t>
            </w:r>
            <w:r w:rsidRPr="00BA4F0F">
              <w:rPr>
                <w:lang w:val="en-US"/>
              </w:rPr>
              <w:t>IgG</w:t>
            </w:r>
            <w:r w:rsidRPr="00BA4F0F">
              <w:t xml:space="preserve">). </w:t>
            </w:r>
          </w:p>
          <w:p w14:paraId="6D975F2D" w14:textId="77777777" w:rsidR="0034590E" w:rsidRPr="00BA4F0F" w:rsidRDefault="0034590E" w:rsidP="00EC1C67">
            <w:pPr>
              <w:tabs>
                <w:tab w:val="left" w:pos="34"/>
              </w:tabs>
              <w:ind w:firstLine="0"/>
            </w:pPr>
            <w:r w:rsidRPr="00BA4F0F">
              <w:t xml:space="preserve">Исследование крови на антитела к </w:t>
            </w:r>
            <w:r w:rsidRPr="00BA4F0F">
              <w:rPr>
                <w:lang w:val="en-US"/>
              </w:rPr>
              <w:t>Chlamydia</w:t>
            </w:r>
            <w:r w:rsidRPr="00BA4F0F">
              <w:t xml:space="preserve"> </w:t>
            </w:r>
            <w:r w:rsidRPr="00BA4F0F">
              <w:rPr>
                <w:lang w:val="en-US"/>
              </w:rPr>
              <w:t>pneumoniae</w:t>
            </w:r>
            <w:r w:rsidRPr="00BA4F0F">
              <w:t xml:space="preserve"> (</w:t>
            </w:r>
            <w:r w:rsidRPr="00BA4F0F">
              <w:rPr>
                <w:lang w:val="en-US"/>
              </w:rPr>
              <w:t>IgM</w:t>
            </w:r>
            <w:r w:rsidRPr="00BA4F0F">
              <w:t xml:space="preserve">, </w:t>
            </w:r>
            <w:r w:rsidRPr="00BA4F0F">
              <w:rPr>
                <w:lang w:val="en-US"/>
              </w:rPr>
              <w:t>IgG</w:t>
            </w:r>
            <w:r w:rsidRPr="00BA4F0F">
              <w:t xml:space="preserve">). </w:t>
            </w:r>
          </w:p>
        </w:tc>
      </w:tr>
      <w:tr w:rsidR="0034590E" w:rsidRPr="00BA4F0F" w14:paraId="2E5B4E34" w14:textId="77777777" w:rsidTr="00EC1C67">
        <w:tc>
          <w:tcPr>
            <w:tcW w:w="4677" w:type="dxa"/>
          </w:tcPr>
          <w:p w14:paraId="08EF847B" w14:textId="77777777" w:rsidR="0034590E" w:rsidRPr="00BA4F0F" w:rsidRDefault="0034590E" w:rsidP="00EC1C67">
            <w:pPr>
              <w:tabs>
                <w:tab w:val="left" w:pos="176"/>
                <w:tab w:val="left" w:pos="284"/>
              </w:tabs>
              <w:ind w:firstLine="0"/>
            </w:pPr>
            <w:r w:rsidRPr="00BA4F0F">
              <w:t>Симптомы менингита. Мозговая симптоматика на фоне фебрильной нейтропении. Обнаружение очага (очагов) в головном мозге</w:t>
            </w:r>
          </w:p>
        </w:tc>
        <w:tc>
          <w:tcPr>
            <w:tcW w:w="4786" w:type="dxa"/>
          </w:tcPr>
          <w:p w14:paraId="67BA0DD7" w14:textId="77777777" w:rsidR="0034590E" w:rsidRPr="00BA4F0F" w:rsidRDefault="0034590E" w:rsidP="00EC1C67">
            <w:pPr>
              <w:tabs>
                <w:tab w:val="left" w:pos="34"/>
              </w:tabs>
              <w:ind w:firstLine="0"/>
            </w:pPr>
            <w:r w:rsidRPr="00BA4F0F">
              <w:t xml:space="preserve">Люмбальная пункция. </w:t>
            </w:r>
          </w:p>
          <w:p w14:paraId="67B1E2EB" w14:textId="77777777" w:rsidR="0034590E" w:rsidRPr="00BA4F0F" w:rsidRDefault="0034590E" w:rsidP="00EC1C67">
            <w:pPr>
              <w:tabs>
                <w:tab w:val="left" w:pos="34"/>
              </w:tabs>
              <w:ind w:firstLine="0"/>
            </w:pPr>
            <w:r w:rsidRPr="00BA4F0F">
              <w:t xml:space="preserve">Полное исследование СМЖ. </w:t>
            </w:r>
          </w:p>
        </w:tc>
      </w:tr>
      <w:tr w:rsidR="0034590E" w:rsidRPr="00BA4F0F" w14:paraId="216F9259" w14:textId="77777777" w:rsidTr="00EC1C67">
        <w:tc>
          <w:tcPr>
            <w:tcW w:w="4677" w:type="dxa"/>
          </w:tcPr>
          <w:p w14:paraId="7FD3EBE4" w14:textId="77777777" w:rsidR="0034590E" w:rsidRPr="00BA4F0F" w:rsidRDefault="0034590E" w:rsidP="00EC1C67">
            <w:pPr>
              <w:tabs>
                <w:tab w:val="left" w:pos="176"/>
                <w:tab w:val="left" w:pos="284"/>
              </w:tabs>
              <w:ind w:firstLine="0"/>
            </w:pPr>
            <w:r w:rsidRPr="00BA4F0F">
              <w:t>Диарея</w:t>
            </w:r>
          </w:p>
        </w:tc>
        <w:tc>
          <w:tcPr>
            <w:tcW w:w="4786" w:type="dxa"/>
          </w:tcPr>
          <w:p w14:paraId="000D8337" w14:textId="77777777" w:rsidR="0034590E" w:rsidRPr="00BA4F0F" w:rsidRDefault="0034590E" w:rsidP="00EC1C67">
            <w:pPr>
              <w:tabs>
                <w:tab w:val="left" w:pos="34"/>
              </w:tabs>
              <w:ind w:firstLine="0"/>
            </w:pPr>
            <w:r w:rsidRPr="00BA4F0F">
              <w:t xml:space="preserve">Исследование кала на токсин </w:t>
            </w:r>
            <w:r w:rsidRPr="00BA4F0F">
              <w:rPr>
                <w:i/>
                <w:lang w:val="en-US"/>
              </w:rPr>
              <w:t>Clostridium</w:t>
            </w:r>
            <w:r w:rsidRPr="00BA4F0F">
              <w:rPr>
                <w:i/>
              </w:rPr>
              <w:t xml:space="preserve"> </w:t>
            </w:r>
            <w:r w:rsidRPr="00BA4F0F">
              <w:rPr>
                <w:i/>
                <w:lang w:val="en-US"/>
              </w:rPr>
              <w:t>difficil</w:t>
            </w:r>
            <w:r w:rsidRPr="00BA4F0F">
              <w:rPr>
                <w:i/>
              </w:rPr>
              <w:t xml:space="preserve">е. </w:t>
            </w:r>
          </w:p>
        </w:tc>
      </w:tr>
      <w:tr w:rsidR="0034590E" w:rsidRPr="00BA4F0F" w14:paraId="5E681E06" w14:textId="77777777" w:rsidTr="00EC1C67">
        <w:tc>
          <w:tcPr>
            <w:tcW w:w="4677" w:type="dxa"/>
          </w:tcPr>
          <w:p w14:paraId="504E311B" w14:textId="77777777" w:rsidR="0034590E" w:rsidRPr="00BA4F0F" w:rsidRDefault="0034590E" w:rsidP="00EC1C67">
            <w:pPr>
              <w:tabs>
                <w:tab w:val="left" w:pos="176"/>
                <w:tab w:val="left" w:pos="284"/>
              </w:tabs>
              <w:ind w:firstLine="0"/>
            </w:pPr>
            <w:r w:rsidRPr="00BA4F0F">
              <w:lastRenderedPageBreak/>
              <w:t>Парапроктит</w:t>
            </w:r>
          </w:p>
          <w:p w14:paraId="62BEB8F1" w14:textId="77777777" w:rsidR="0034590E" w:rsidRPr="00BA4F0F" w:rsidRDefault="0034590E" w:rsidP="00EC1C67">
            <w:pPr>
              <w:tabs>
                <w:tab w:val="left" w:pos="176"/>
                <w:tab w:val="left" w:pos="284"/>
              </w:tabs>
              <w:ind w:firstLine="0"/>
            </w:pPr>
            <w:r w:rsidRPr="00BA4F0F">
              <w:t>Трещина в области прямой кишки</w:t>
            </w:r>
          </w:p>
        </w:tc>
        <w:tc>
          <w:tcPr>
            <w:tcW w:w="4786" w:type="dxa"/>
          </w:tcPr>
          <w:p w14:paraId="49C9D11D" w14:textId="77777777" w:rsidR="0034590E" w:rsidRPr="00BA4F0F" w:rsidRDefault="0034590E" w:rsidP="00EC1C67">
            <w:pPr>
              <w:tabs>
                <w:tab w:val="left" w:pos="34"/>
              </w:tabs>
              <w:ind w:firstLine="0"/>
            </w:pPr>
            <w:r w:rsidRPr="00BA4F0F">
              <w:t>Мазок со слизистой оболочки прямой кишки.</w:t>
            </w:r>
          </w:p>
        </w:tc>
      </w:tr>
      <w:tr w:rsidR="0034590E" w:rsidRPr="00BA4F0F" w14:paraId="3CA6676E" w14:textId="77777777" w:rsidTr="00EC1C67">
        <w:tc>
          <w:tcPr>
            <w:tcW w:w="4677" w:type="dxa"/>
          </w:tcPr>
          <w:p w14:paraId="5B54B9E0" w14:textId="77777777" w:rsidR="0034590E" w:rsidRPr="00BA4F0F" w:rsidRDefault="0034590E" w:rsidP="00EC1C67">
            <w:pPr>
              <w:tabs>
                <w:tab w:val="left" w:pos="176"/>
                <w:tab w:val="left" w:pos="284"/>
              </w:tabs>
              <w:ind w:firstLine="0"/>
            </w:pPr>
            <w:r w:rsidRPr="00BA4F0F">
              <w:t>Инфильтраты на коже</w:t>
            </w:r>
          </w:p>
        </w:tc>
        <w:tc>
          <w:tcPr>
            <w:tcW w:w="4786" w:type="dxa"/>
          </w:tcPr>
          <w:p w14:paraId="5C6B9D37" w14:textId="77777777" w:rsidR="0034590E" w:rsidRPr="00BA4F0F" w:rsidRDefault="0034590E" w:rsidP="00EC1C67">
            <w:pPr>
              <w:tabs>
                <w:tab w:val="left" w:pos="34"/>
              </w:tabs>
              <w:ind w:firstLine="0"/>
            </w:pPr>
            <w:r w:rsidRPr="00BA4F0F">
              <w:t xml:space="preserve">Биопсия. </w:t>
            </w:r>
          </w:p>
          <w:p w14:paraId="277B34D4" w14:textId="77777777" w:rsidR="0034590E" w:rsidRPr="00BA4F0F" w:rsidRDefault="0034590E" w:rsidP="00EC1C67">
            <w:pPr>
              <w:tabs>
                <w:tab w:val="left" w:pos="34"/>
              </w:tabs>
              <w:ind w:firstLine="0"/>
            </w:pPr>
            <w:r w:rsidRPr="00BA4F0F">
              <w:t xml:space="preserve">Микробиологическое и гистологическое исследование биоптата. </w:t>
            </w:r>
          </w:p>
        </w:tc>
      </w:tr>
    </w:tbl>
    <w:p w14:paraId="56DACC90" w14:textId="77777777" w:rsidR="0034590E" w:rsidRPr="00BA4F0F" w:rsidRDefault="0034590E" w:rsidP="0034590E">
      <w:pPr>
        <w:tabs>
          <w:tab w:val="left" w:pos="0"/>
          <w:tab w:val="left" w:pos="567"/>
        </w:tabs>
        <w:rPr>
          <w:b/>
        </w:rPr>
      </w:pPr>
    </w:p>
    <w:p w14:paraId="22E695D8" w14:textId="77777777" w:rsidR="0034590E" w:rsidRPr="00C2728C" w:rsidRDefault="0034590E" w:rsidP="0034590E">
      <w:pPr>
        <w:pStyle w:val="1fe"/>
        <w:spacing w:beforeAutospacing="0" w:afterAutospacing="0" w:line="360" w:lineRule="auto"/>
        <w:ind w:firstLine="709"/>
        <w:jc w:val="both"/>
        <w:rPr>
          <w:i/>
          <w:iCs/>
        </w:rPr>
      </w:pPr>
      <w:r w:rsidRPr="00C2728C">
        <w:rPr>
          <w:i/>
          <w:iCs/>
        </w:rPr>
        <w:t>Ежедневный осмотр пациента</w:t>
      </w:r>
    </w:p>
    <w:p w14:paraId="030F37AB" w14:textId="77777777" w:rsidR="0034590E" w:rsidRPr="00BA4F0F" w:rsidRDefault="0034590E" w:rsidP="0034590E">
      <w:pPr>
        <w:pStyle w:val="1fe"/>
        <w:spacing w:beforeAutospacing="0" w:afterAutospacing="0" w:line="360" w:lineRule="auto"/>
        <w:ind w:firstLine="709"/>
        <w:jc w:val="both"/>
      </w:pPr>
      <w:r w:rsidRPr="00BA4F0F">
        <w:t>При нейтропении ежедневно проводят тщательный осмотр пациента, который наряду с обычными терапевтическими стандартами обследования больных включает следующие подходы</w:t>
      </w:r>
      <w:r>
        <w:t>:</w:t>
      </w:r>
    </w:p>
    <w:p w14:paraId="79D7576F" w14:textId="77777777" w:rsidR="0034590E" w:rsidRPr="00BA4F0F" w:rsidRDefault="0034590E" w:rsidP="00A72B1B">
      <w:pPr>
        <w:pStyle w:val="1fe"/>
        <w:numPr>
          <w:ilvl w:val="0"/>
          <w:numId w:val="70"/>
        </w:numPr>
        <w:spacing w:beforeAutospacing="0" w:afterAutospacing="0" w:line="360" w:lineRule="auto"/>
        <w:jc w:val="both"/>
      </w:pPr>
      <w:r w:rsidRPr="00BA4F0F">
        <w:t>Активный опрос больного относительно возможных симптомов инфекции, включая наличие болей по ходу пищевода, в промежности.</w:t>
      </w:r>
    </w:p>
    <w:p w14:paraId="554245FF" w14:textId="77777777" w:rsidR="0034590E" w:rsidRPr="00BA4F0F" w:rsidRDefault="0034590E" w:rsidP="00A72B1B">
      <w:pPr>
        <w:pStyle w:val="1fe"/>
        <w:numPr>
          <w:ilvl w:val="0"/>
          <w:numId w:val="70"/>
        </w:numPr>
        <w:spacing w:beforeAutospacing="0" w:afterAutospacing="0" w:line="360" w:lineRule="auto"/>
        <w:jc w:val="both"/>
      </w:pPr>
      <w:r w:rsidRPr="00BA4F0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p>
    <w:p w14:paraId="6A841E2D" w14:textId="77777777" w:rsidR="0034590E" w:rsidRPr="00BA4F0F" w:rsidRDefault="0034590E" w:rsidP="00A72B1B">
      <w:pPr>
        <w:pStyle w:val="1fe"/>
        <w:numPr>
          <w:ilvl w:val="0"/>
          <w:numId w:val="70"/>
        </w:numPr>
        <w:spacing w:beforeAutospacing="0" w:afterAutospacing="0" w:line="360" w:lineRule="auto"/>
        <w:jc w:val="both"/>
      </w:pPr>
      <w:r w:rsidRPr="00BA4F0F">
        <w:t>Осмотр кожи в отношении возможного появления септикопиемических очагов при лихорадке, даже в отсутствие жалоб больного. При лечении глюкокортикоидами септикопиемические очаги могут быть и при нормальной температуре.</w:t>
      </w:r>
    </w:p>
    <w:p w14:paraId="69869CAE" w14:textId="77777777" w:rsidR="0034590E" w:rsidRPr="00BA4F0F" w:rsidRDefault="0034590E" w:rsidP="00A72B1B">
      <w:pPr>
        <w:pStyle w:val="1fe"/>
        <w:numPr>
          <w:ilvl w:val="0"/>
          <w:numId w:val="70"/>
        </w:numPr>
        <w:spacing w:beforeAutospacing="0" w:afterAutospacing="0" w:line="360" w:lineRule="auto"/>
        <w:jc w:val="both"/>
      </w:pPr>
      <w:r w:rsidRPr="00BA4F0F">
        <w:t xml:space="preserve">Осмотр места установки венозного катетера. </w:t>
      </w:r>
    </w:p>
    <w:p w14:paraId="6C35B479" w14:textId="77777777" w:rsidR="0034590E" w:rsidRPr="00BA4F0F" w:rsidRDefault="0034590E" w:rsidP="00A72B1B">
      <w:pPr>
        <w:pStyle w:val="1fe"/>
        <w:numPr>
          <w:ilvl w:val="0"/>
          <w:numId w:val="70"/>
        </w:numPr>
        <w:spacing w:beforeAutospacing="0" w:afterAutospacing="0" w:line="360" w:lineRule="auto"/>
        <w:jc w:val="both"/>
      </w:pPr>
      <w:r w:rsidRPr="00BA4F0F">
        <w:t xml:space="preserve">Внимательная аускультация грудной клетки. Жесткое дыхание в отсутствие хрипов, минимальное количество влажных хрипов на ограниченном участке могут быть начальным проявлением пневмонии. </w:t>
      </w:r>
    </w:p>
    <w:p w14:paraId="63596A0F" w14:textId="77777777" w:rsidR="0034590E" w:rsidRPr="00BA4F0F" w:rsidRDefault="0034590E" w:rsidP="00A72B1B">
      <w:pPr>
        <w:pStyle w:val="1fe"/>
        <w:numPr>
          <w:ilvl w:val="0"/>
          <w:numId w:val="70"/>
        </w:numPr>
        <w:spacing w:beforeAutospacing="0" w:afterAutospacing="0" w:line="360" w:lineRule="auto"/>
        <w:jc w:val="both"/>
      </w:pPr>
      <w:r w:rsidRPr="00BA4F0F">
        <w:t>Тщательная пальпация живота. Первые симптомы псевдомембранозного колита — это появление боли или «урчание» при пальпации в правой подвздошной области (область слепой кишки).</w:t>
      </w:r>
    </w:p>
    <w:p w14:paraId="7846B50F" w14:textId="77777777" w:rsidR="0034590E" w:rsidRPr="00BA4F0F" w:rsidRDefault="0034590E" w:rsidP="0034590E">
      <w:pPr>
        <w:pStyle w:val="1fe"/>
        <w:spacing w:beforeAutospacing="0" w:afterAutospacing="0" w:line="360" w:lineRule="auto"/>
      </w:pPr>
    </w:p>
    <w:p w14:paraId="4B9D0B11" w14:textId="77777777" w:rsidR="0034590E" w:rsidRPr="00C2728C" w:rsidRDefault="0034590E" w:rsidP="0034590E">
      <w:pPr>
        <w:pStyle w:val="1fe"/>
        <w:spacing w:beforeAutospacing="0" w:afterAutospacing="0" w:line="360" w:lineRule="auto"/>
        <w:ind w:firstLine="709"/>
        <w:jc w:val="both"/>
        <w:rPr>
          <w:i/>
          <w:iCs/>
        </w:rPr>
      </w:pPr>
      <w:r w:rsidRPr="00C2728C">
        <w:rPr>
          <w:i/>
          <w:iCs/>
        </w:rPr>
        <w:t>Микробиологическое исследование крови</w:t>
      </w:r>
    </w:p>
    <w:p w14:paraId="62BE6683" w14:textId="77777777" w:rsidR="0034590E" w:rsidRPr="00BA4F0F" w:rsidRDefault="0034590E" w:rsidP="0034590E">
      <w:pPr>
        <w:pStyle w:val="1fe"/>
        <w:spacing w:beforeAutospacing="0" w:afterAutospacing="0" w:line="360" w:lineRule="auto"/>
        <w:ind w:firstLine="709"/>
        <w:jc w:val="both"/>
      </w:pPr>
      <w:r w:rsidRPr="00BA4F0F">
        <w:t>Показания</w:t>
      </w:r>
      <w:r>
        <w:t>:</w:t>
      </w:r>
      <w:r w:rsidRPr="00BA4F0F">
        <w:t xml:space="preserve"> температура ≥ 38°С или наличие септикопиемических очагов на коже. </w:t>
      </w:r>
    </w:p>
    <w:p w14:paraId="3D6F998A" w14:textId="77777777" w:rsidR="0034590E" w:rsidRPr="00BA4F0F" w:rsidRDefault="0034590E" w:rsidP="0034590E">
      <w:pPr>
        <w:pStyle w:val="1fe"/>
        <w:spacing w:beforeAutospacing="0" w:afterAutospacing="0" w:line="360" w:lineRule="auto"/>
        <w:ind w:firstLine="709"/>
        <w:jc w:val="both"/>
      </w:pPr>
      <w:r w:rsidRPr="00BA4F0F">
        <w:t xml:space="preserve">Кровь из вены берут до введения антибиотиков в два флакона (аэробы/анаэробы или аэробы/аэробы) одновременно из вены и из ЦВК или из разных вен; при перитоните или абдоминальной операции в два разных флакона (для аэробов и для анаэробов); при бактериальном эндокардите — 3 раза с интервалом 1—2 часа; при подозрении на катетер-ассоциированную инфекцию — одновременно из вены и из ЦВК во флаконы для </w:t>
      </w:r>
      <w:r w:rsidRPr="00BA4F0F">
        <w:lastRenderedPageBreak/>
        <w:t xml:space="preserve">автоматического бактериологического анализатора гемокультур (Bactek или другие автоматические анализаторы). На основании разницы во времени (2 часа и более) появления роста микроорганизмов можно предположить инфицирование венозного катетера. При катетер-ассоциированной инфекции положительная гемокультура из ЦВК опережает на 2 часа и более положительную гемокультуру из вены. </w:t>
      </w:r>
    </w:p>
    <w:p w14:paraId="7D6216D3" w14:textId="77777777" w:rsidR="0034590E" w:rsidRPr="00BA4F0F" w:rsidRDefault="0034590E" w:rsidP="0034590E">
      <w:pPr>
        <w:pStyle w:val="1fe"/>
        <w:spacing w:beforeAutospacing="0" w:afterAutospacing="0" w:line="360" w:lineRule="auto"/>
        <w:ind w:firstLine="709"/>
        <w:jc w:val="both"/>
      </w:pPr>
      <w:r w:rsidRPr="00BA4F0F">
        <w:t xml:space="preserve">Взятие крови для микробиологического исследования следует проводить в период повышения температуры (≥ 38°С) с максимальным соблюдением правил асептики, чтобы исключить вероятность контаминации культуральной среды микробами с кожи. Медсестра должна проводить взятие крови в перчатках и в маске; кожа больного в месте венепункции тщательно обрабатывается дезинфицирующим раствором (дезинфицирующий раствор должен высохнуть); после обработки кожи дезинфицирующим раствором не проводят повторную пальпацию вены для определения места венепункции. </w:t>
      </w:r>
    </w:p>
    <w:p w14:paraId="371298BC" w14:textId="77777777" w:rsidR="0034590E" w:rsidRPr="00BA4F0F" w:rsidRDefault="0034590E" w:rsidP="0034590E">
      <w:pPr>
        <w:pStyle w:val="1fe"/>
        <w:spacing w:beforeAutospacing="0" w:afterAutospacing="0" w:line="360" w:lineRule="auto"/>
        <w:ind w:firstLine="709"/>
        <w:jc w:val="both"/>
      </w:pPr>
      <w:r w:rsidRPr="00BA4F0F">
        <w:t xml:space="preserve">Крайне важным является взятие достаточного количества крови для гемокультуры – за одно исследование у взрослых суммарно берут 20-30 мл крови в 2-3 флакона (по 10 мл каждый флакон). </w:t>
      </w:r>
    </w:p>
    <w:p w14:paraId="5F7A3657" w14:textId="77777777" w:rsidR="0034590E" w:rsidRPr="00BA4F0F" w:rsidRDefault="0034590E" w:rsidP="0034590E">
      <w:pPr>
        <w:pStyle w:val="1fe"/>
        <w:spacing w:beforeAutospacing="0" w:afterAutospacing="0" w:line="360" w:lineRule="auto"/>
        <w:ind w:firstLine="709"/>
        <w:jc w:val="both"/>
      </w:pPr>
      <w:r w:rsidRPr="00BA4F0F">
        <w:t>Не направляют в лабораторию на исследование гемокультуру из ЦВК без гемокультуры из вены.</w:t>
      </w:r>
    </w:p>
    <w:p w14:paraId="6E83A3D6" w14:textId="77777777" w:rsidR="0034590E" w:rsidRPr="00BA4F0F" w:rsidRDefault="0034590E" w:rsidP="0034590E">
      <w:pPr>
        <w:pStyle w:val="1fe"/>
        <w:spacing w:beforeAutospacing="0" w:afterAutospacing="0" w:line="360" w:lineRule="auto"/>
        <w:ind w:firstLine="709"/>
        <w:jc w:val="both"/>
      </w:pPr>
      <w:r w:rsidRPr="00BA4F0F">
        <w:t>Нельзя флаконы с гемокультурой ставить в холодильник.</w:t>
      </w:r>
    </w:p>
    <w:p w14:paraId="4B3128BA" w14:textId="77777777" w:rsidR="0034590E" w:rsidRPr="00BA4F0F" w:rsidRDefault="0034590E" w:rsidP="0034590E">
      <w:pPr>
        <w:pStyle w:val="1fe"/>
        <w:spacing w:beforeAutospacing="0" w:afterAutospacing="0" w:line="360" w:lineRule="auto"/>
        <w:ind w:firstLine="709"/>
        <w:jc w:val="both"/>
      </w:pPr>
      <w:r w:rsidRPr="00BA4F0F">
        <w:t xml:space="preserve">Выделение коагулазанегативных стафилококков (основную долю которых составляет Staphylococcus epidermidis) должно быть подтверждено двумя гемокультурами, поскольку высока вероятность контаминации этими микроорганизмами исследуемых образцов крови (облигатная микрофлора). Это относится и к Corynebacterium spp. Повторное исследование проводится максимально близко по времени к первому исследованию. </w:t>
      </w:r>
    </w:p>
    <w:p w14:paraId="37F43546" w14:textId="77777777" w:rsidR="0034590E" w:rsidRPr="00BA4F0F" w:rsidRDefault="0034590E" w:rsidP="0034590E">
      <w:pPr>
        <w:pStyle w:val="1fe"/>
        <w:spacing w:beforeAutospacing="0" w:afterAutospacing="0" w:line="360" w:lineRule="auto"/>
        <w:ind w:firstLine="709"/>
        <w:jc w:val="both"/>
      </w:pPr>
    </w:p>
    <w:p w14:paraId="2EAC7FC5" w14:textId="77777777" w:rsidR="0034590E" w:rsidRPr="00C2728C" w:rsidRDefault="0034590E" w:rsidP="0034590E">
      <w:pPr>
        <w:pStyle w:val="1fe"/>
        <w:spacing w:beforeAutospacing="0" w:afterAutospacing="0" w:line="360" w:lineRule="auto"/>
        <w:ind w:firstLine="709"/>
        <w:jc w:val="both"/>
        <w:rPr>
          <w:i/>
          <w:iCs/>
        </w:rPr>
      </w:pPr>
      <w:r w:rsidRPr="00C2728C">
        <w:rPr>
          <w:i/>
          <w:iCs/>
        </w:rPr>
        <w:t>Микробиологическое исследование крови, взятой одновременно из вены и из центрального венозного катетера, при подозрении на катетер-ассоциированную инфекцию</w:t>
      </w:r>
    </w:p>
    <w:p w14:paraId="2AAE6B08" w14:textId="77777777" w:rsidR="0034590E" w:rsidRPr="00BA4F0F" w:rsidRDefault="0034590E" w:rsidP="0034590E">
      <w:pPr>
        <w:pStyle w:val="1fe"/>
        <w:spacing w:beforeAutospacing="0" w:afterAutospacing="0" w:line="360" w:lineRule="auto"/>
        <w:ind w:firstLine="709"/>
        <w:jc w:val="both"/>
      </w:pPr>
      <w:r w:rsidRPr="00BA4F0F">
        <w:t>Показания:</w:t>
      </w:r>
    </w:p>
    <w:p w14:paraId="004CC9CF" w14:textId="77777777" w:rsidR="0034590E" w:rsidRPr="00BA4F0F" w:rsidRDefault="0034590E" w:rsidP="00A72B1B">
      <w:pPr>
        <w:pStyle w:val="1fe"/>
        <w:numPr>
          <w:ilvl w:val="0"/>
          <w:numId w:val="71"/>
        </w:numPr>
        <w:spacing w:beforeAutospacing="0" w:afterAutospacing="0" w:line="360" w:lineRule="auto"/>
        <w:jc w:val="both"/>
      </w:pPr>
      <w:r w:rsidRPr="00BA4F0F">
        <w:t xml:space="preserve">Гиперемия (инфильтрат) в месте установки катетера. </w:t>
      </w:r>
    </w:p>
    <w:p w14:paraId="1CE6AAA5" w14:textId="77777777" w:rsidR="0034590E" w:rsidRPr="00BA4F0F" w:rsidRDefault="0034590E" w:rsidP="00A72B1B">
      <w:pPr>
        <w:pStyle w:val="1fe"/>
        <w:numPr>
          <w:ilvl w:val="0"/>
          <w:numId w:val="71"/>
        </w:numPr>
        <w:spacing w:beforeAutospacing="0" w:afterAutospacing="0" w:line="360" w:lineRule="auto"/>
        <w:jc w:val="both"/>
      </w:pPr>
      <w:r w:rsidRPr="00BA4F0F">
        <w:t xml:space="preserve">Повышение температуры сопряжено с инфузиями в катетер. </w:t>
      </w:r>
    </w:p>
    <w:p w14:paraId="582D485E" w14:textId="77777777" w:rsidR="0034590E" w:rsidRPr="00BA4F0F" w:rsidRDefault="0034590E" w:rsidP="00A72B1B">
      <w:pPr>
        <w:pStyle w:val="1fe"/>
        <w:numPr>
          <w:ilvl w:val="0"/>
          <w:numId w:val="71"/>
        </w:numPr>
        <w:spacing w:beforeAutospacing="0" w:afterAutospacing="0" w:line="360" w:lineRule="auto"/>
        <w:jc w:val="both"/>
      </w:pPr>
      <w:r w:rsidRPr="00BA4F0F">
        <w:t xml:space="preserve">Плохая проходимость катетера (проблемы при промывании или заборе крови из катетера). </w:t>
      </w:r>
    </w:p>
    <w:p w14:paraId="5C3E30DD" w14:textId="77777777" w:rsidR="0034590E" w:rsidRPr="00BA4F0F" w:rsidRDefault="0034590E" w:rsidP="00A72B1B">
      <w:pPr>
        <w:pStyle w:val="1fe"/>
        <w:numPr>
          <w:ilvl w:val="0"/>
          <w:numId w:val="71"/>
        </w:numPr>
        <w:spacing w:beforeAutospacing="0" w:afterAutospacing="0" w:line="360" w:lineRule="auto"/>
        <w:jc w:val="both"/>
      </w:pPr>
      <w:r w:rsidRPr="00BA4F0F">
        <w:lastRenderedPageBreak/>
        <w:t>Возникновение температуры &gt; 38°С при восстановлении числа нейтрофилов (число гранулоцитов &gt; 0,5 × 10</w:t>
      </w:r>
      <w:r w:rsidRPr="00BA4F0F">
        <w:rPr>
          <w:vertAlign w:val="superscript"/>
        </w:rPr>
        <w:t>9</w:t>
      </w:r>
      <w:r w:rsidRPr="00BA4F0F">
        <w:t xml:space="preserve"> /л). </w:t>
      </w:r>
    </w:p>
    <w:p w14:paraId="58E56BA5" w14:textId="77777777" w:rsidR="0034590E" w:rsidRPr="00BA4F0F" w:rsidRDefault="0034590E" w:rsidP="00A72B1B">
      <w:pPr>
        <w:pStyle w:val="1fe"/>
        <w:numPr>
          <w:ilvl w:val="0"/>
          <w:numId w:val="71"/>
        </w:numPr>
        <w:spacing w:beforeAutospacing="0" w:afterAutospacing="0" w:line="360" w:lineRule="auto"/>
        <w:jc w:val="both"/>
      </w:pPr>
      <w:r w:rsidRPr="00BA4F0F">
        <w:t>Возникновение температуры &gt; 38°С вне нейтропении (число гранулоцитов &gt; 0,5 × 10</w:t>
      </w:r>
      <w:r w:rsidRPr="00BA4F0F">
        <w:rPr>
          <w:vertAlign w:val="superscript"/>
        </w:rPr>
        <w:t>9</w:t>
      </w:r>
      <w:r w:rsidRPr="00BA4F0F">
        <w:t xml:space="preserve"> /л) и наличие центрального венозного катетера, давность установки которого ≥ 7 дней. </w:t>
      </w:r>
    </w:p>
    <w:p w14:paraId="745F7F37" w14:textId="77777777" w:rsidR="0034590E" w:rsidRPr="00BA4F0F" w:rsidRDefault="0034590E" w:rsidP="0034590E">
      <w:pPr>
        <w:pStyle w:val="1fe"/>
        <w:spacing w:beforeAutospacing="0" w:afterAutospacing="0" w:line="360" w:lineRule="auto"/>
        <w:ind w:firstLine="709"/>
        <w:jc w:val="both"/>
      </w:pPr>
      <w:r w:rsidRPr="00BA4F0F">
        <w:t xml:space="preserve">Чаще всего катетер-ассоциированная инфекция развивается вне периода нейтропении или в период восстановления числа нейтрофилов. </w:t>
      </w:r>
    </w:p>
    <w:p w14:paraId="0EA05EDD" w14:textId="77777777" w:rsidR="0034590E" w:rsidRPr="00BA4F0F" w:rsidRDefault="0034590E" w:rsidP="0034590E">
      <w:pPr>
        <w:pStyle w:val="1fe"/>
        <w:spacing w:beforeAutospacing="0" w:afterAutospacing="0" w:line="360" w:lineRule="auto"/>
        <w:ind w:firstLine="709"/>
        <w:jc w:val="both"/>
      </w:pPr>
      <w:r w:rsidRPr="00BA4F0F">
        <w:t xml:space="preserve">При сохраняющейся температуре (≥ 38°С) посевы крови проводят каждые 4—5 дней. </w:t>
      </w:r>
    </w:p>
    <w:p w14:paraId="3963FDC2" w14:textId="77777777" w:rsidR="0034590E" w:rsidRPr="00BA4F0F" w:rsidRDefault="0034590E" w:rsidP="0034590E">
      <w:pPr>
        <w:pStyle w:val="1fe"/>
        <w:spacing w:beforeAutospacing="0" w:afterAutospacing="0" w:line="360" w:lineRule="auto"/>
      </w:pPr>
    </w:p>
    <w:p w14:paraId="4C0ABB2A" w14:textId="77777777" w:rsidR="0034590E" w:rsidRPr="00C2728C" w:rsidRDefault="0034590E" w:rsidP="0034590E">
      <w:pPr>
        <w:pStyle w:val="1fe"/>
        <w:spacing w:beforeAutospacing="0" w:afterAutospacing="0" w:line="360" w:lineRule="auto"/>
        <w:ind w:firstLine="709"/>
        <w:jc w:val="both"/>
        <w:rPr>
          <w:i/>
          <w:iCs/>
        </w:rPr>
      </w:pPr>
      <w:r w:rsidRPr="00C2728C">
        <w:rPr>
          <w:i/>
          <w:iCs/>
        </w:rPr>
        <w:t>Микробиологическое исследование центрального внутривенного катетера</w:t>
      </w:r>
    </w:p>
    <w:p w14:paraId="52BB233B" w14:textId="77777777" w:rsidR="0034590E" w:rsidRPr="00BA4F0F" w:rsidRDefault="0034590E" w:rsidP="0034590E">
      <w:pPr>
        <w:pStyle w:val="1fe"/>
        <w:spacing w:beforeAutospacing="0" w:afterAutospacing="0" w:line="360" w:lineRule="auto"/>
        <w:ind w:firstLine="709"/>
        <w:jc w:val="both"/>
      </w:pPr>
      <w:r w:rsidRPr="00BA4F0F">
        <w:t>Катетер удаляют и направляют на исследование в бактериологическую лабораторию.</w:t>
      </w:r>
    </w:p>
    <w:p w14:paraId="70437AA1" w14:textId="77777777" w:rsidR="0034590E" w:rsidRPr="00BA4F0F" w:rsidRDefault="0034590E" w:rsidP="0034590E">
      <w:pPr>
        <w:pStyle w:val="1fe"/>
        <w:spacing w:beforeAutospacing="0" w:afterAutospacing="0" w:line="360" w:lineRule="auto"/>
        <w:ind w:firstLine="709"/>
        <w:jc w:val="both"/>
      </w:pPr>
      <w:r w:rsidRPr="00BA4F0F">
        <w:t>Показания:</w:t>
      </w:r>
    </w:p>
    <w:p w14:paraId="67C4576A" w14:textId="77777777" w:rsidR="0034590E" w:rsidRPr="00BA4F0F" w:rsidRDefault="0034590E" w:rsidP="00A72B1B">
      <w:pPr>
        <w:pStyle w:val="1fe"/>
        <w:numPr>
          <w:ilvl w:val="0"/>
          <w:numId w:val="72"/>
        </w:numPr>
        <w:spacing w:beforeAutospacing="0" w:afterAutospacing="0" w:line="360" w:lineRule="auto"/>
        <w:jc w:val="both"/>
      </w:pPr>
      <w:r w:rsidRPr="00BA4F0F">
        <w:t xml:space="preserve">Подозрение на катетер-ассоциированную инфекцию. </w:t>
      </w:r>
    </w:p>
    <w:p w14:paraId="725A711F" w14:textId="77777777" w:rsidR="0034590E" w:rsidRPr="00BA4F0F" w:rsidRDefault="0034590E" w:rsidP="00A72B1B">
      <w:pPr>
        <w:pStyle w:val="1fe"/>
        <w:numPr>
          <w:ilvl w:val="0"/>
          <w:numId w:val="72"/>
        </w:numPr>
        <w:spacing w:beforeAutospacing="0" w:afterAutospacing="0" w:line="360" w:lineRule="auto"/>
        <w:jc w:val="both"/>
      </w:pPr>
      <w:r w:rsidRPr="00BA4F0F">
        <w:t xml:space="preserve">Выделение дрожжевых или мицелиальных грибов из крови. </w:t>
      </w:r>
    </w:p>
    <w:p w14:paraId="12B29685" w14:textId="77777777" w:rsidR="0034590E" w:rsidRPr="00BA4F0F" w:rsidRDefault="0034590E" w:rsidP="00A72B1B">
      <w:pPr>
        <w:pStyle w:val="1fe"/>
        <w:numPr>
          <w:ilvl w:val="0"/>
          <w:numId w:val="72"/>
        </w:numPr>
        <w:spacing w:beforeAutospacing="0" w:afterAutospacing="0" w:line="360" w:lineRule="auto"/>
        <w:jc w:val="both"/>
      </w:pPr>
      <w:r w:rsidRPr="00BA4F0F">
        <w:t xml:space="preserve">Перевод больного из другого стационара с ЦВК. </w:t>
      </w:r>
    </w:p>
    <w:p w14:paraId="6845214A" w14:textId="77777777" w:rsidR="0034590E" w:rsidRPr="00BA4F0F" w:rsidRDefault="0034590E" w:rsidP="00A72B1B">
      <w:pPr>
        <w:pStyle w:val="1fe"/>
        <w:numPr>
          <w:ilvl w:val="0"/>
          <w:numId w:val="72"/>
        </w:numPr>
        <w:spacing w:beforeAutospacing="0" w:afterAutospacing="0" w:line="360" w:lineRule="auto"/>
        <w:jc w:val="both"/>
      </w:pPr>
      <w:r w:rsidRPr="00BA4F0F">
        <w:t xml:space="preserve">Восстановление числа гранулоцитов у больных сепсисом, обусловленным грамотрицательными бактериями. </w:t>
      </w:r>
    </w:p>
    <w:p w14:paraId="3F1AFDD5" w14:textId="77777777" w:rsidR="0034590E" w:rsidRPr="00BA4F0F" w:rsidRDefault="0034590E" w:rsidP="0034590E">
      <w:pPr>
        <w:pStyle w:val="1fe"/>
        <w:spacing w:beforeAutospacing="0" w:afterAutospacing="0" w:line="360" w:lineRule="auto"/>
        <w:ind w:firstLine="709"/>
        <w:jc w:val="both"/>
      </w:pPr>
      <w:r w:rsidRPr="00BA4F0F">
        <w:t>Если больной переведен из другого стационара с ЦВК, то катетер удаляют в день поступления в другую клинику.</w:t>
      </w:r>
    </w:p>
    <w:p w14:paraId="0988A814" w14:textId="77777777" w:rsidR="0034590E" w:rsidRPr="00BA4F0F" w:rsidRDefault="0034590E" w:rsidP="0034590E">
      <w:pPr>
        <w:pStyle w:val="1fe"/>
        <w:spacing w:beforeAutospacing="0" w:afterAutospacing="0" w:line="360" w:lineRule="auto"/>
        <w:ind w:firstLine="709"/>
        <w:jc w:val="both"/>
      </w:pPr>
      <w:r w:rsidRPr="00BA4F0F">
        <w:t xml:space="preserve">Для бактериологического исследования используется асептически удаленный дистальный отрезок катетера длиной 5—6 см. Удаленный отрезок катетера кладут в чашку Петри или другую стерильную емкость и сразу же доставляют в лабораторию для исследования. Хранение и последующее исследование удаленного катетера недопустимо. </w:t>
      </w:r>
    </w:p>
    <w:p w14:paraId="5AA4B69E" w14:textId="77777777" w:rsidR="0034590E" w:rsidRPr="00BA4F0F" w:rsidRDefault="0034590E" w:rsidP="0034590E">
      <w:pPr>
        <w:pStyle w:val="1fe"/>
        <w:spacing w:beforeAutospacing="0" w:afterAutospacing="0" w:line="360" w:lineRule="auto"/>
        <w:ind w:firstLine="709"/>
        <w:jc w:val="both"/>
      </w:pPr>
      <w:r w:rsidRPr="00BA4F0F">
        <w:t>Исследование проводят полуколичественным (метод Маки) или количественным методом. Диагностически значимым (подтверждает инфицирование катетера) при полуколичественном исследовании является выделение микроорганизмов в количестве ≥ 15 КОЕ, при количественном — ≥ 10</w:t>
      </w:r>
      <w:r w:rsidRPr="00BA4F0F">
        <w:rPr>
          <w:vertAlign w:val="superscript"/>
        </w:rPr>
        <w:t>3</w:t>
      </w:r>
      <w:r w:rsidRPr="00BA4F0F">
        <w:t xml:space="preserve"> КОЕ/мл. Для постановки диагноза катетер-ассоциированной инфекции, кроме выделения микроорганизмов в диагностически значимых количествах при исследовании удаленного катетера, необходимо выделение того же микроорганизма из крови. </w:t>
      </w:r>
    </w:p>
    <w:p w14:paraId="7BFEC3CE" w14:textId="77777777" w:rsidR="0034590E" w:rsidRPr="00BA4F0F" w:rsidRDefault="0034590E" w:rsidP="0034590E">
      <w:pPr>
        <w:pStyle w:val="1fe"/>
        <w:spacing w:beforeAutospacing="0" w:afterAutospacing="0" w:line="360" w:lineRule="auto"/>
        <w:ind w:firstLine="709"/>
        <w:jc w:val="both"/>
      </w:pPr>
      <w:r w:rsidRPr="00BA4F0F">
        <w:t xml:space="preserve">При появлении признаков воспаления и отделяемого в месте установки венозного катетера необходимо провести микробиологическое исследование отделяемого, а если эти </w:t>
      </w:r>
      <w:r w:rsidRPr="00BA4F0F">
        <w:lastRenderedPageBreak/>
        <w:t xml:space="preserve">изменения сохраняются или приобретают хронический характер, выполнить исследование на наличие нетуберкулезных микобактерий. </w:t>
      </w:r>
    </w:p>
    <w:p w14:paraId="77AAB210" w14:textId="77777777" w:rsidR="0034590E" w:rsidRPr="00BA4F0F" w:rsidRDefault="0034590E" w:rsidP="0034590E">
      <w:pPr>
        <w:pStyle w:val="1fe"/>
        <w:spacing w:beforeAutospacing="0" w:afterAutospacing="0" w:line="360" w:lineRule="auto"/>
        <w:ind w:firstLine="709"/>
        <w:jc w:val="both"/>
      </w:pPr>
      <w:r w:rsidRPr="00BA4F0F">
        <w:t xml:space="preserve">Не проводят рутинное исследование всех удаленных катетеров. </w:t>
      </w:r>
    </w:p>
    <w:p w14:paraId="6A7E164E" w14:textId="77777777" w:rsidR="0034590E" w:rsidRPr="00BA4F0F" w:rsidRDefault="0034590E" w:rsidP="0034590E">
      <w:pPr>
        <w:pStyle w:val="1fe"/>
        <w:spacing w:beforeAutospacing="0" w:afterAutospacing="0" w:line="360" w:lineRule="auto"/>
        <w:ind w:firstLine="709"/>
        <w:jc w:val="both"/>
      </w:pPr>
    </w:p>
    <w:p w14:paraId="022AB057" w14:textId="77777777" w:rsidR="0034590E" w:rsidRPr="00C2728C" w:rsidRDefault="0034590E" w:rsidP="0034590E">
      <w:pPr>
        <w:pStyle w:val="1fe"/>
        <w:spacing w:beforeAutospacing="0" w:afterAutospacing="0" w:line="360" w:lineRule="auto"/>
        <w:ind w:firstLine="709"/>
        <w:jc w:val="both"/>
        <w:rPr>
          <w:i/>
          <w:iCs/>
        </w:rPr>
      </w:pPr>
      <w:r w:rsidRPr="00C2728C">
        <w:rPr>
          <w:i/>
          <w:iCs/>
        </w:rPr>
        <w:t>Микробиологическое исследование мочи</w:t>
      </w:r>
    </w:p>
    <w:p w14:paraId="3ABBB2B4" w14:textId="77777777" w:rsidR="0034590E" w:rsidRPr="00BA4F0F" w:rsidRDefault="0034590E" w:rsidP="0034590E">
      <w:pPr>
        <w:pStyle w:val="1fe"/>
        <w:spacing w:beforeAutospacing="0" w:afterAutospacing="0" w:line="360" w:lineRule="auto"/>
        <w:ind w:firstLine="709"/>
        <w:jc w:val="both"/>
      </w:pPr>
      <w:r w:rsidRPr="00BA4F0F">
        <w:t>Показания:</w:t>
      </w:r>
    </w:p>
    <w:p w14:paraId="4DC3669A" w14:textId="77777777" w:rsidR="0034590E" w:rsidRPr="00BA4F0F" w:rsidRDefault="0034590E" w:rsidP="00A72B1B">
      <w:pPr>
        <w:pStyle w:val="1fe"/>
        <w:numPr>
          <w:ilvl w:val="0"/>
          <w:numId w:val="73"/>
        </w:numPr>
        <w:spacing w:beforeAutospacing="0" w:afterAutospacing="0" w:line="360" w:lineRule="auto"/>
        <w:jc w:val="both"/>
      </w:pPr>
      <w:r w:rsidRPr="00BA4F0F">
        <w:t xml:space="preserve">Симптомы инфекции мочевыводящих путей. </w:t>
      </w:r>
    </w:p>
    <w:p w14:paraId="5C44102A" w14:textId="77777777" w:rsidR="0034590E" w:rsidRPr="00BA4F0F" w:rsidRDefault="0034590E" w:rsidP="00A72B1B">
      <w:pPr>
        <w:pStyle w:val="1fe"/>
        <w:numPr>
          <w:ilvl w:val="0"/>
          <w:numId w:val="73"/>
        </w:numPr>
        <w:spacing w:beforeAutospacing="0" w:afterAutospacing="0" w:line="360" w:lineRule="auto"/>
        <w:jc w:val="both"/>
      </w:pPr>
      <w:r w:rsidRPr="00BA4F0F">
        <w:t xml:space="preserve">Лейкоцитурия. </w:t>
      </w:r>
    </w:p>
    <w:p w14:paraId="3A2CFC84" w14:textId="77777777" w:rsidR="0034590E" w:rsidRPr="00BA4F0F" w:rsidRDefault="0034590E" w:rsidP="00A72B1B">
      <w:pPr>
        <w:pStyle w:val="1fe"/>
        <w:numPr>
          <w:ilvl w:val="0"/>
          <w:numId w:val="73"/>
        </w:numPr>
        <w:spacing w:beforeAutospacing="0" w:afterAutospacing="0" w:line="360" w:lineRule="auto"/>
        <w:jc w:val="both"/>
      </w:pPr>
      <w:r w:rsidRPr="00BA4F0F">
        <w:t xml:space="preserve">Длительная лихорадка неясной этиологии. </w:t>
      </w:r>
    </w:p>
    <w:p w14:paraId="6AE024F3" w14:textId="77777777" w:rsidR="0034590E" w:rsidRPr="00BA4F0F" w:rsidRDefault="0034590E" w:rsidP="0034590E">
      <w:pPr>
        <w:pStyle w:val="1fe"/>
        <w:spacing w:beforeAutospacing="0" w:afterAutospacing="0" w:line="360" w:lineRule="auto"/>
        <w:ind w:firstLine="709"/>
        <w:jc w:val="both"/>
      </w:pPr>
      <w:r w:rsidRPr="00BA4F0F">
        <w:t xml:space="preserve">Для исследования направляют утреннюю среднюю порцию мочи; доставку мочи в лабораторию проводят немедленно, максимально допустимое время с момента забора до доставки в лабораторию — 2 часа. </w:t>
      </w:r>
    </w:p>
    <w:p w14:paraId="33F665AE" w14:textId="77777777" w:rsidR="0034590E" w:rsidRPr="00BA4F0F" w:rsidRDefault="0034590E" w:rsidP="0034590E">
      <w:pPr>
        <w:pStyle w:val="1fe"/>
        <w:spacing w:beforeAutospacing="0" w:afterAutospacing="0" w:line="360" w:lineRule="auto"/>
        <w:ind w:firstLine="709"/>
        <w:jc w:val="both"/>
      </w:pPr>
      <w:r w:rsidRPr="00BA4F0F">
        <w:t xml:space="preserve">Микробиологическое исследование мочи, взятой из катетера Фоли, мочесборных мешков, не проводят из-за контаминации пластика. Исследование мочи в этих случаях проводят в день постановки мочевого катетера. Микробиологическое исследование удаленного катетера Фоли также не проводят. </w:t>
      </w:r>
    </w:p>
    <w:p w14:paraId="0EA7912A" w14:textId="77777777" w:rsidR="0034590E" w:rsidRPr="00BA4F0F" w:rsidRDefault="0034590E" w:rsidP="0034590E">
      <w:pPr>
        <w:pStyle w:val="1fe"/>
        <w:spacing w:beforeAutospacing="0" w:afterAutospacing="0" w:line="360" w:lineRule="auto"/>
        <w:ind w:firstLine="709"/>
        <w:jc w:val="both"/>
      </w:pPr>
      <w:r w:rsidRPr="00BA4F0F">
        <w:t>Бактериурия является диагностически значимой, если выделен один микроорганизм в количестве ≥ 10</w:t>
      </w:r>
      <w:r w:rsidRPr="00BA4F0F">
        <w:rPr>
          <w:vertAlign w:val="superscript"/>
        </w:rPr>
        <w:t>3</w:t>
      </w:r>
      <w:r w:rsidRPr="00BA4F0F">
        <w:t xml:space="preserve"> КОЕ/мл. </w:t>
      </w:r>
    </w:p>
    <w:p w14:paraId="4D78C0A3" w14:textId="77777777" w:rsidR="0034590E" w:rsidRPr="00BA4F0F" w:rsidRDefault="0034590E" w:rsidP="0034590E">
      <w:pPr>
        <w:pStyle w:val="1fe"/>
        <w:spacing w:beforeAutospacing="0" w:afterAutospacing="0" w:line="360" w:lineRule="auto"/>
        <w:ind w:firstLine="709"/>
        <w:jc w:val="both"/>
      </w:pPr>
      <w:r w:rsidRPr="00BA4F0F">
        <w:t>Если выделены два микроорганизма в количестве ≥ 10</w:t>
      </w:r>
      <w:r w:rsidRPr="00BA4F0F">
        <w:rPr>
          <w:vertAlign w:val="superscript"/>
        </w:rPr>
        <w:t>3</w:t>
      </w:r>
      <w:r w:rsidRPr="00BA4F0F">
        <w:t xml:space="preserve"> КОЕ/мл, то микробиологическое исследование мочи повторяют на следующий день. Повторное выделение тех же микроорганизмов (за исключением бактерий, указанных в примечании) подтверждает инфекцию мочевыводящих путей. </w:t>
      </w:r>
    </w:p>
    <w:p w14:paraId="2C8318E3" w14:textId="77777777" w:rsidR="0034590E" w:rsidRPr="00BA4F0F" w:rsidRDefault="0034590E" w:rsidP="0034590E">
      <w:pPr>
        <w:pStyle w:val="1fe"/>
        <w:spacing w:beforeAutospacing="0" w:afterAutospacing="0" w:line="360" w:lineRule="auto"/>
        <w:ind w:firstLine="709"/>
        <w:jc w:val="both"/>
      </w:pPr>
      <w:r w:rsidRPr="00BA4F0F">
        <w:t xml:space="preserve">Любое количество бактерий в моче, полученной путем надлобковой пункции мочевого пузыря, является значимой бактериурией. </w:t>
      </w:r>
    </w:p>
    <w:p w14:paraId="3C5E96FB" w14:textId="77777777" w:rsidR="0034590E" w:rsidRPr="00BA4F0F" w:rsidRDefault="0034590E" w:rsidP="0034590E">
      <w:pPr>
        <w:pStyle w:val="1fe"/>
        <w:spacing w:beforeAutospacing="0" w:afterAutospacing="0" w:line="360" w:lineRule="auto"/>
        <w:ind w:firstLine="709"/>
        <w:jc w:val="both"/>
      </w:pPr>
      <w:r w:rsidRPr="00BA4F0F">
        <w:t>Бактериурию считают бессимптомной, если в двух последовательных образцах, взятых с интервалом более 24 часов, обнаруживается один и тот же патогенный микроорганизм в количестве ≥ 10</w:t>
      </w:r>
      <w:r w:rsidRPr="00BA4F0F">
        <w:rPr>
          <w:vertAlign w:val="superscript"/>
        </w:rPr>
        <w:t>5</w:t>
      </w:r>
      <w:r w:rsidRPr="00BA4F0F">
        <w:t xml:space="preserve"> КОЕ/мл. </w:t>
      </w:r>
    </w:p>
    <w:p w14:paraId="13D2DED9" w14:textId="77777777" w:rsidR="0034590E" w:rsidRPr="00BA4F0F" w:rsidRDefault="0034590E" w:rsidP="0034590E">
      <w:pPr>
        <w:pStyle w:val="1fe"/>
        <w:spacing w:beforeAutospacing="0" w:afterAutospacing="0" w:line="360" w:lineRule="auto"/>
        <w:ind w:firstLine="709"/>
        <w:jc w:val="both"/>
      </w:pPr>
      <w:r w:rsidRPr="00BA4F0F">
        <w:t xml:space="preserve">Наиболее частые возбудители инфекции мочевыводящих путей — это энтеробактерии, в составе которых преобладают Escherichia coli, далее Staphylococcus saprophyticus (чаще у молодых женщин), Enterococcus spp., Pseudomonas aeruginosa. </w:t>
      </w:r>
    </w:p>
    <w:p w14:paraId="1BBBDF22" w14:textId="77777777" w:rsidR="0034590E" w:rsidRPr="00BA4F0F" w:rsidRDefault="0034590E" w:rsidP="0034590E">
      <w:pPr>
        <w:pStyle w:val="1fe"/>
        <w:spacing w:beforeAutospacing="0" w:afterAutospacing="0" w:line="360" w:lineRule="auto"/>
        <w:ind w:firstLine="709"/>
        <w:jc w:val="both"/>
      </w:pPr>
      <w:r w:rsidRPr="00BA4F0F">
        <w:t>При выделении из мочи коагулазанегативных стафилококков в монокультуре (≥ 10</w:t>
      </w:r>
      <w:r w:rsidRPr="00BA4F0F">
        <w:rPr>
          <w:vertAlign w:val="superscript"/>
        </w:rPr>
        <w:t>4</w:t>
      </w:r>
      <w:r w:rsidRPr="00BA4F0F">
        <w:t xml:space="preserve"> КОЕ/мл) проводят дополнительное исследование для идентификации Staphylococcus saprophyticus. </w:t>
      </w:r>
    </w:p>
    <w:p w14:paraId="116BECF4" w14:textId="77777777" w:rsidR="0034590E" w:rsidRPr="00BA4F0F" w:rsidRDefault="0034590E" w:rsidP="0034590E">
      <w:pPr>
        <w:pStyle w:val="1fe"/>
        <w:spacing w:beforeAutospacing="0" w:afterAutospacing="0" w:line="360" w:lineRule="auto"/>
        <w:ind w:firstLine="709"/>
        <w:jc w:val="both"/>
      </w:pPr>
      <w:r w:rsidRPr="00BA4F0F">
        <w:lastRenderedPageBreak/>
        <w:t>Высокое содержание Staphylococcus epidermidis (≥ 10</w:t>
      </w:r>
      <w:r w:rsidRPr="00BA4F0F">
        <w:rPr>
          <w:vertAlign w:val="superscript"/>
        </w:rPr>
        <w:t>5</w:t>
      </w:r>
      <w:r w:rsidRPr="00BA4F0F">
        <w:t xml:space="preserve"> КОЕ/мл) является диагностически значимым. </w:t>
      </w:r>
    </w:p>
    <w:p w14:paraId="746DF8B2" w14:textId="77777777" w:rsidR="0034590E" w:rsidRPr="00BA4F0F" w:rsidRDefault="0034590E" w:rsidP="0034590E">
      <w:pPr>
        <w:pStyle w:val="1fe"/>
        <w:spacing w:beforeAutospacing="0" w:afterAutospacing="0" w:line="360" w:lineRule="auto"/>
        <w:ind w:firstLine="709"/>
        <w:jc w:val="both"/>
      </w:pPr>
      <w:r w:rsidRPr="00BA4F0F">
        <w:t xml:space="preserve">Неоднократное выделение из мочи Сandida spp. у больных с фебрильной нейтропенией, не имеющих мочевого катетера, свидетельствует о высокой вероятности наличия диссеминированного инвазивного кандидоза. </w:t>
      </w:r>
    </w:p>
    <w:p w14:paraId="39EABD60" w14:textId="77777777" w:rsidR="0034590E" w:rsidRPr="00BA4F0F" w:rsidRDefault="0034590E" w:rsidP="0034590E">
      <w:pPr>
        <w:pStyle w:val="1fe"/>
        <w:spacing w:beforeAutospacing="0" w:afterAutospacing="0" w:line="360" w:lineRule="auto"/>
        <w:ind w:firstLine="709"/>
        <w:jc w:val="both"/>
      </w:pPr>
      <w:r w:rsidRPr="00BA4F0F">
        <w:t>Выделение из мочи таких микроорганизмов, как дифтероиды, стрептококки группы viridans, лактобактерии, коагулазанегативные стафилококки (исключение составляет Staphylococcus saprophyticus), свидетельствует о контаминации образцов мочи (кожа, влагалище).</w:t>
      </w:r>
    </w:p>
    <w:p w14:paraId="7D6FD753" w14:textId="77777777" w:rsidR="0034590E" w:rsidRPr="00BA4F0F" w:rsidRDefault="0034590E" w:rsidP="0034590E">
      <w:pPr>
        <w:pStyle w:val="1fe"/>
        <w:spacing w:beforeAutospacing="0" w:afterAutospacing="0" w:line="360" w:lineRule="auto"/>
        <w:ind w:firstLine="709"/>
        <w:jc w:val="both"/>
      </w:pPr>
    </w:p>
    <w:p w14:paraId="46A487FC" w14:textId="77777777" w:rsidR="0034590E" w:rsidRPr="00C2728C" w:rsidRDefault="0034590E" w:rsidP="0034590E">
      <w:pPr>
        <w:pStyle w:val="1fe"/>
        <w:spacing w:beforeAutospacing="0" w:afterAutospacing="0" w:line="360" w:lineRule="auto"/>
        <w:ind w:firstLine="709"/>
        <w:jc w:val="both"/>
        <w:rPr>
          <w:i/>
          <w:iCs/>
        </w:rPr>
      </w:pPr>
      <w:r w:rsidRPr="00C2728C">
        <w:rPr>
          <w:i/>
          <w:iCs/>
        </w:rPr>
        <w:t>Микробиологическое исследование спинномозговой жидкости</w:t>
      </w:r>
    </w:p>
    <w:p w14:paraId="310199B4" w14:textId="77777777" w:rsidR="0034590E" w:rsidRPr="00BA4F0F" w:rsidRDefault="0034590E" w:rsidP="0034590E">
      <w:pPr>
        <w:pStyle w:val="1fe"/>
        <w:spacing w:beforeAutospacing="0" w:afterAutospacing="0" w:line="360" w:lineRule="auto"/>
        <w:ind w:firstLine="709"/>
        <w:jc w:val="both"/>
      </w:pPr>
      <w:r w:rsidRPr="00BA4F0F">
        <w:t xml:space="preserve">Показания: </w:t>
      </w:r>
    </w:p>
    <w:p w14:paraId="257248FD" w14:textId="77777777" w:rsidR="0034590E" w:rsidRPr="00BA4F0F" w:rsidRDefault="0034590E" w:rsidP="00A72B1B">
      <w:pPr>
        <w:pStyle w:val="1fe"/>
        <w:numPr>
          <w:ilvl w:val="0"/>
          <w:numId w:val="74"/>
        </w:numPr>
        <w:spacing w:beforeAutospacing="0" w:afterAutospacing="0" w:line="360" w:lineRule="auto"/>
        <w:jc w:val="both"/>
      </w:pPr>
      <w:r w:rsidRPr="00BA4F0F">
        <w:t xml:space="preserve">Симптомы менингита. </w:t>
      </w:r>
    </w:p>
    <w:p w14:paraId="2C66C709" w14:textId="77777777" w:rsidR="0034590E" w:rsidRPr="00BA4F0F" w:rsidRDefault="0034590E" w:rsidP="00A72B1B">
      <w:pPr>
        <w:pStyle w:val="1fe"/>
        <w:numPr>
          <w:ilvl w:val="0"/>
          <w:numId w:val="74"/>
        </w:numPr>
        <w:spacing w:beforeAutospacing="0" w:afterAutospacing="0" w:line="360" w:lineRule="auto"/>
        <w:jc w:val="both"/>
      </w:pPr>
      <w:r w:rsidRPr="00BA4F0F">
        <w:t xml:space="preserve">«Мозговая» симптоматика на фоне лихорадки и нейтропении. </w:t>
      </w:r>
    </w:p>
    <w:p w14:paraId="7DEE75CA" w14:textId="77777777" w:rsidR="0034590E" w:rsidRPr="00BA4F0F" w:rsidRDefault="0034590E" w:rsidP="00A72B1B">
      <w:pPr>
        <w:pStyle w:val="1fe"/>
        <w:numPr>
          <w:ilvl w:val="0"/>
          <w:numId w:val="74"/>
        </w:numPr>
        <w:spacing w:beforeAutospacing="0" w:afterAutospacing="0" w:line="360" w:lineRule="auto"/>
        <w:jc w:val="both"/>
      </w:pPr>
      <w:r w:rsidRPr="00BA4F0F">
        <w:t xml:space="preserve">Обнаружение очага (очагов) в головном мозге при КТ или МРТ. </w:t>
      </w:r>
    </w:p>
    <w:p w14:paraId="4029B833" w14:textId="77777777" w:rsidR="0034590E" w:rsidRPr="00BA4F0F" w:rsidRDefault="0034590E" w:rsidP="0034590E">
      <w:pPr>
        <w:pStyle w:val="1fe"/>
        <w:spacing w:beforeAutospacing="0" w:afterAutospacing="0" w:line="360" w:lineRule="auto"/>
        <w:ind w:firstLine="709"/>
        <w:jc w:val="both"/>
      </w:pPr>
      <w:r w:rsidRPr="00BA4F0F">
        <w:t xml:space="preserve">Доставка материала в лабораторию должна быть немедленной в стерильной пробирке или в шприце с закрытым наконечником. </w:t>
      </w:r>
    </w:p>
    <w:p w14:paraId="1B8C5312" w14:textId="77777777" w:rsidR="0034590E" w:rsidRPr="00BA4F0F" w:rsidRDefault="0034590E" w:rsidP="0034590E">
      <w:pPr>
        <w:pStyle w:val="1fe"/>
        <w:spacing w:beforeAutospacing="0" w:afterAutospacing="0" w:line="360" w:lineRule="auto"/>
        <w:ind w:firstLine="709"/>
        <w:jc w:val="both"/>
      </w:pPr>
      <w:r w:rsidRPr="00BA4F0F">
        <w:t xml:space="preserve">Не помещают образцы СМЖ в холодильник. </w:t>
      </w:r>
    </w:p>
    <w:p w14:paraId="715BAB82" w14:textId="77777777" w:rsidR="0034590E" w:rsidRPr="00BA4F0F" w:rsidRDefault="0034590E" w:rsidP="0034590E">
      <w:pPr>
        <w:pStyle w:val="1fe"/>
        <w:spacing w:beforeAutospacing="0" w:afterAutospacing="0" w:line="360" w:lineRule="auto"/>
        <w:ind w:firstLine="709"/>
        <w:jc w:val="both"/>
      </w:pPr>
      <w:r w:rsidRPr="00BA4F0F">
        <w:t>Для полного исследования (бактерии, грибы, антигены) необходимо 2 мл СМЖ. Минимальное количество жидкости, необходимое для микробиологического исследования, составляет 0,5-1 мл.</w:t>
      </w:r>
    </w:p>
    <w:p w14:paraId="64CF8F7D" w14:textId="77777777" w:rsidR="0034590E" w:rsidRPr="00BA4F0F" w:rsidRDefault="0034590E" w:rsidP="0034590E">
      <w:pPr>
        <w:pStyle w:val="1fe"/>
        <w:spacing w:beforeAutospacing="0" w:afterAutospacing="0" w:line="360" w:lineRule="auto"/>
        <w:ind w:firstLine="709"/>
        <w:jc w:val="both"/>
      </w:pPr>
      <w:r w:rsidRPr="00BA4F0F">
        <w:t xml:space="preserve">Не направляют в лабораторию образец СМЖ, полученный в первой пробирке пункции, поскольку имеется высокая вероятность контаминации образца микроорганизмами с кожи и, вполне определенно, будут возникать проблемы в интерпретации результатов исследования в случае выделения коагулозанегативных стафилококков. Первый образец СМЖ может быть использован для цитологического исследования.  </w:t>
      </w:r>
    </w:p>
    <w:p w14:paraId="09C09298" w14:textId="77777777" w:rsidR="0034590E" w:rsidRPr="00BA4F0F" w:rsidRDefault="0034590E" w:rsidP="0034590E">
      <w:pPr>
        <w:pStyle w:val="1fe"/>
        <w:spacing w:beforeAutospacing="0" w:afterAutospacing="0" w:line="360" w:lineRule="auto"/>
        <w:ind w:firstLine="709"/>
        <w:jc w:val="both"/>
      </w:pPr>
      <w:r w:rsidRPr="00BA4F0F">
        <w:t xml:space="preserve">СМЖ исследуют на бактерии (микроскопия, посев, определение антигенов), микобактерии (микроскопия, определение ДНК микобактерий), вирусы (определение ДНК вирусов герпетической группы, ЦМВ), грибы (микроскопия, посев, антигены), определяют антигены Cryptococcus spp., Aspergillus spp. – при наличии инвазиного аспергиллеза легких или придаточных пазух носа, при необходимости — антигены бактерий (Streptococcus pneumoniae, Haemophilus influenzae, Neisseria meningitides, стрептококки группы В - Streptococcus agalactiae). У больных, имеющих очаги в головном мозге и выраженный </w:t>
      </w:r>
      <w:r w:rsidRPr="00BA4F0F">
        <w:lastRenderedPageBreak/>
        <w:t xml:space="preserve">иммунодефицит (при длительной нейтропении), следует определять СМЖ ДНК Toxoplasma gondii (ПЦР). </w:t>
      </w:r>
    </w:p>
    <w:p w14:paraId="3BC47F13" w14:textId="77777777" w:rsidR="0034590E" w:rsidRPr="00BA4F0F" w:rsidRDefault="0034590E" w:rsidP="0034590E">
      <w:pPr>
        <w:pStyle w:val="1fe"/>
        <w:spacing w:beforeAutospacing="0" w:afterAutospacing="0" w:line="360" w:lineRule="auto"/>
        <w:ind w:firstLine="709"/>
        <w:jc w:val="both"/>
      </w:pPr>
    </w:p>
    <w:p w14:paraId="7C4BDC08" w14:textId="77777777" w:rsidR="0034590E" w:rsidRPr="00C2728C" w:rsidRDefault="0034590E" w:rsidP="0034590E">
      <w:pPr>
        <w:pStyle w:val="1fe"/>
        <w:spacing w:beforeAutospacing="0" w:afterAutospacing="0" w:line="360" w:lineRule="auto"/>
        <w:ind w:firstLine="709"/>
        <w:jc w:val="both"/>
        <w:rPr>
          <w:i/>
          <w:iCs/>
        </w:rPr>
      </w:pPr>
      <w:r w:rsidRPr="00C2728C">
        <w:rPr>
          <w:i/>
          <w:iCs/>
        </w:rPr>
        <w:t>Микробиологическое исследование кала</w:t>
      </w:r>
    </w:p>
    <w:p w14:paraId="054520D6" w14:textId="77777777" w:rsidR="0034590E" w:rsidRPr="00BA4F0F" w:rsidRDefault="0034590E" w:rsidP="0034590E">
      <w:pPr>
        <w:pStyle w:val="1fe"/>
        <w:spacing w:beforeAutospacing="0" w:afterAutospacing="0" w:line="360" w:lineRule="auto"/>
        <w:ind w:firstLine="709"/>
        <w:jc w:val="both"/>
      </w:pPr>
      <w:r w:rsidRPr="00BA4F0F">
        <w:t>Показани</w:t>
      </w:r>
      <w:r>
        <w:t>е</w:t>
      </w:r>
      <w:r w:rsidRPr="00BA4F0F">
        <w:t xml:space="preserve"> — диарея. </w:t>
      </w:r>
    </w:p>
    <w:p w14:paraId="48096405" w14:textId="77777777" w:rsidR="0034590E" w:rsidRPr="00BA4F0F" w:rsidRDefault="0034590E" w:rsidP="0034590E">
      <w:pPr>
        <w:pStyle w:val="1fe"/>
        <w:spacing w:beforeAutospacing="0" w:afterAutospacing="0" w:line="360" w:lineRule="auto"/>
        <w:ind w:firstLine="709"/>
        <w:jc w:val="both"/>
      </w:pPr>
      <w:r w:rsidRPr="00BA4F0F">
        <w:t xml:space="preserve">Во всех случаях следует провести тест на токсин Clostridium difficile. </w:t>
      </w:r>
    </w:p>
    <w:p w14:paraId="2B4EE916" w14:textId="77777777" w:rsidR="0034590E" w:rsidRPr="00BA4F0F" w:rsidRDefault="0034590E" w:rsidP="0034590E">
      <w:pPr>
        <w:pStyle w:val="1fe"/>
        <w:spacing w:beforeAutospacing="0" w:afterAutospacing="0" w:line="360" w:lineRule="auto"/>
        <w:ind w:firstLine="709"/>
        <w:jc w:val="both"/>
      </w:pPr>
      <w:r w:rsidRPr="00BA4F0F">
        <w:t xml:space="preserve">Если результат этого теста оказывается отрицательным, проводят количественное исследование на условно-патогенные микроорганизмы, а также на Сryptosporidium parvum, Salmonella spp., Shigella spp., Listeria spp., Yersenia spp., вирусы (ротавирусы, аденовирусы). Энтероколиты могут быть обусловлены Candida spp. При количественном исследовании кала следует обращать внимание на выделение штаммов Pseudomonas aeruginosa, энтеробактерий (Escherichia coli, Klebsiella spp.),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0D50BF98" w14:textId="77777777" w:rsidR="0034590E" w:rsidRPr="00BA4F0F" w:rsidRDefault="0034590E" w:rsidP="0034590E">
      <w:pPr>
        <w:pStyle w:val="1fe"/>
        <w:spacing w:beforeAutospacing="0" w:afterAutospacing="0" w:line="360" w:lineRule="auto"/>
        <w:ind w:firstLine="709"/>
        <w:jc w:val="both"/>
      </w:pPr>
      <w:r w:rsidRPr="00BA4F0F">
        <w:t xml:space="preserve">Исследование на дисбактериоз кишечника у больных без диареи относится к исследованиям, которые приняты лишь в России, оно трудоемко и малоинформативно, особенно у больных вне нейтропении. </w:t>
      </w:r>
    </w:p>
    <w:p w14:paraId="6DD2F272" w14:textId="77777777" w:rsidR="0034590E" w:rsidRPr="00BA4F0F" w:rsidRDefault="0034590E" w:rsidP="0034590E">
      <w:pPr>
        <w:pStyle w:val="1fe"/>
        <w:spacing w:beforeAutospacing="0" w:afterAutospacing="0" w:line="360" w:lineRule="auto"/>
        <w:ind w:firstLine="709"/>
        <w:jc w:val="both"/>
      </w:pPr>
    </w:p>
    <w:p w14:paraId="50AC0383" w14:textId="77777777" w:rsidR="0034590E" w:rsidRPr="00C2728C" w:rsidRDefault="0034590E" w:rsidP="0034590E">
      <w:pPr>
        <w:pStyle w:val="1fe"/>
        <w:spacing w:beforeAutospacing="0" w:afterAutospacing="0" w:line="360" w:lineRule="auto"/>
        <w:ind w:firstLine="709"/>
        <w:jc w:val="both"/>
        <w:rPr>
          <w:i/>
          <w:iCs/>
        </w:rPr>
      </w:pPr>
      <w:r w:rsidRPr="00C2728C">
        <w:rPr>
          <w:i/>
          <w:iCs/>
        </w:rPr>
        <w:t>Микробиологическое исследование мазка со слизистой оболочки ротоглотки</w:t>
      </w:r>
    </w:p>
    <w:p w14:paraId="720F9B6B" w14:textId="77777777" w:rsidR="0034590E" w:rsidRPr="00BA4F0F" w:rsidRDefault="0034590E" w:rsidP="0034590E">
      <w:pPr>
        <w:pStyle w:val="1fe"/>
        <w:spacing w:beforeAutospacing="0" w:afterAutospacing="0" w:line="360" w:lineRule="auto"/>
        <w:ind w:firstLine="709"/>
        <w:jc w:val="both"/>
      </w:pPr>
      <w:r w:rsidRPr="00BA4F0F">
        <w:t>Показани</w:t>
      </w:r>
      <w:r>
        <w:t>е</w:t>
      </w:r>
      <w:r w:rsidRPr="00BA4F0F">
        <w:t xml:space="preserve"> — наличие признаков стоматита. </w:t>
      </w:r>
    </w:p>
    <w:p w14:paraId="5BCA481D" w14:textId="77777777" w:rsidR="0034590E" w:rsidRPr="00BA4F0F" w:rsidRDefault="0034590E" w:rsidP="0034590E">
      <w:pPr>
        <w:pStyle w:val="1fe"/>
        <w:spacing w:beforeAutospacing="0" w:afterAutospacing="0" w:line="360" w:lineRule="auto"/>
        <w:ind w:firstLine="709"/>
        <w:jc w:val="both"/>
      </w:pPr>
      <w:r w:rsidRPr="00BA4F0F">
        <w:t xml:space="preserve">При нейтропении обращают внимание на выделение Candida spp., грамотрицательных бактерий, особенно Pseudomonas aeruginosa или </w:t>
      </w:r>
      <w:r w:rsidRPr="00BA4F0F">
        <w:rPr>
          <w:lang w:val="en-US"/>
        </w:rPr>
        <w:t>Stenotrophomonas</w:t>
      </w:r>
      <w:r w:rsidRPr="00BA4F0F">
        <w:t xml:space="preserve"> </w:t>
      </w:r>
      <w:r w:rsidRPr="00BA4F0F">
        <w:rPr>
          <w:lang w:val="en-US"/>
        </w:rPr>
        <w:t>maltophilia</w:t>
      </w:r>
      <w:r w:rsidRPr="00BA4F0F">
        <w:t xml:space="preserve">, энтеробактерий (Escherichia coli, Klebsiella spp.), продуцирующих БЛРС или карбапенемазы. </w:t>
      </w:r>
    </w:p>
    <w:p w14:paraId="7A3D5E44" w14:textId="77777777" w:rsidR="0034590E" w:rsidRPr="00BA4F0F" w:rsidRDefault="0034590E" w:rsidP="0034590E">
      <w:pPr>
        <w:pStyle w:val="1fe"/>
        <w:spacing w:beforeAutospacing="0" w:afterAutospacing="0" w:line="360" w:lineRule="auto"/>
        <w:ind w:firstLine="709"/>
        <w:jc w:val="both"/>
      </w:pPr>
      <w:r w:rsidRPr="00BA4F0F">
        <w:t xml:space="preserve">Следует помнить, что такие бактерии, как Enterococcus spp. и стрептококки группы viridans, являются нормальными представителями микрофлоры ротоглотки. На основании выделения этих бактерий не следует добавлять ванкомицин при фебрильной нейтропении в отсутствие признаков мукозита. </w:t>
      </w:r>
    </w:p>
    <w:p w14:paraId="1F565FD3" w14:textId="77777777" w:rsidR="0034590E" w:rsidRPr="00BA4F0F" w:rsidRDefault="0034590E" w:rsidP="0034590E">
      <w:pPr>
        <w:pStyle w:val="1fe"/>
        <w:spacing w:beforeAutospacing="0" w:afterAutospacing="0" w:line="360" w:lineRule="auto"/>
        <w:ind w:firstLine="709"/>
        <w:jc w:val="both"/>
      </w:pPr>
      <w:r w:rsidRPr="00BA4F0F">
        <w:t xml:space="preserve">Дрожжевые грибы рода Candida обнаруживают у 30% здоровых людей. </w:t>
      </w:r>
    </w:p>
    <w:p w14:paraId="4FA6E4B6" w14:textId="77777777" w:rsidR="0034590E" w:rsidRPr="00BA4F0F" w:rsidRDefault="0034590E" w:rsidP="0034590E">
      <w:pPr>
        <w:pStyle w:val="1fe"/>
        <w:spacing w:beforeAutospacing="0" w:afterAutospacing="0" w:line="360" w:lineRule="auto"/>
        <w:ind w:firstLine="709"/>
        <w:jc w:val="both"/>
      </w:pPr>
    </w:p>
    <w:p w14:paraId="50A109C2" w14:textId="77777777" w:rsidR="0034590E" w:rsidRPr="00C2728C" w:rsidRDefault="0034590E" w:rsidP="0034590E">
      <w:pPr>
        <w:pStyle w:val="1fe"/>
        <w:spacing w:beforeAutospacing="0" w:afterAutospacing="0" w:line="360" w:lineRule="auto"/>
        <w:ind w:firstLine="709"/>
        <w:jc w:val="both"/>
        <w:rPr>
          <w:i/>
          <w:iCs/>
        </w:rPr>
      </w:pPr>
      <w:r w:rsidRPr="00C2728C">
        <w:rPr>
          <w:i/>
          <w:iCs/>
        </w:rPr>
        <w:t>Микробиологическое исследование материала со слизистой оболочки пищевода</w:t>
      </w:r>
    </w:p>
    <w:p w14:paraId="4D004A0B" w14:textId="77777777" w:rsidR="0034590E" w:rsidRPr="00BA4F0F" w:rsidRDefault="0034590E" w:rsidP="0034590E">
      <w:pPr>
        <w:pStyle w:val="1fe"/>
        <w:spacing w:beforeAutospacing="0" w:afterAutospacing="0" w:line="360" w:lineRule="auto"/>
        <w:ind w:firstLine="709"/>
        <w:jc w:val="both"/>
      </w:pPr>
      <w:r w:rsidRPr="00BA4F0F">
        <w:t xml:space="preserve">Показания — боль по ходу пищевода. </w:t>
      </w:r>
    </w:p>
    <w:p w14:paraId="1F25576C" w14:textId="77777777" w:rsidR="0034590E" w:rsidRPr="00BA4F0F" w:rsidRDefault="0034590E" w:rsidP="0034590E">
      <w:pPr>
        <w:pStyle w:val="1fe"/>
        <w:spacing w:beforeAutospacing="0" w:afterAutospacing="0" w:line="360" w:lineRule="auto"/>
        <w:ind w:firstLine="709"/>
        <w:jc w:val="both"/>
      </w:pPr>
      <w:r w:rsidRPr="00BA4F0F">
        <w:t>Выполняется эзофагоскопия (число тромбоцитов должно быть не менее 50 × 10</w:t>
      </w:r>
      <w:r w:rsidRPr="00BA4F0F">
        <w:rPr>
          <w:vertAlign w:val="superscript"/>
        </w:rPr>
        <w:t>9</w:t>
      </w:r>
      <w:r w:rsidRPr="00BA4F0F">
        <w:t xml:space="preserve"> /л). </w:t>
      </w:r>
    </w:p>
    <w:p w14:paraId="76979263" w14:textId="77777777" w:rsidR="0034590E" w:rsidRPr="00BA4F0F" w:rsidRDefault="0034590E" w:rsidP="0034590E">
      <w:pPr>
        <w:pStyle w:val="1fe"/>
        <w:spacing w:beforeAutospacing="0" w:afterAutospacing="0" w:line="360" w:lineRule="auto"/>
        <w:ind w:firstLine="709"/>
        <w:jc w:val="both"/>
      </w:pPr>
      <w:r w:rsidRPr="00BA4F0F">
        <w:lastRenderedPageBreak/>
        <w:t xml:space="preserve">Проводится соскоб со слизистой пищевода (браш-методом при нейтропении) или биопсия (вне нейтропении). </w:t>
      </w:r>
    </w:p>
    <w:p w14:paraId="2FD7DD19" w14:textId="77777777" w:rsidR="0034590E" w:rsidRPr="00BA4F0F" w:rsidRDefault="0034590E" w:rsidP="0034590E">
      <w:pPr>
        <w:pStyle w:val="1fe"/>
        <w:spacing w:beforeAutospacing="0" w:afterAutospacing="0" w:line="360" w:lineRule="auto"/>
        <w:ind w:firstLine="709"/>
        <w:jc w:val="both"/>
      </w:pPr>
      <w:r w:rsidRPr="00BA4F0F">
        <w:t xml:space="preserve">Исследуют образцы в микробиологической (бактерии, грибы), вирусологической (ДНК вируса простого герпеса, ЦМВ) и гистологической лаборатории. </w:t>
      </w:r>
    </w:p>
    <w:p w14:paraId="0749C8C0" w14:textId="77777777" w:rsidR="0034590E" w:rsidRPr="00BA4F0F" w:rsidRDefault="0034590E" w:rsidP="0034590E">
      <w:pPr>
        <w:pStyle w:val="1fe"/>
        <w:spacing w:beforeAutospacing="0" w:afterAutospacing="0" w:line="360" w:lineRule="auto"/>
        <w:ind w:firstLine="709"/>
        <w:jc w:val="both"/>
      </w:pPr>
    </w:p>
    <w:p w14:paraId="34A717DC" w14:textId="77777777" w:rsidR="0034590E" w:rsidRPr="00C2728C" w:rsidRDefault="0034590E" w:rsidP="0034590E">
      <w:pPr>
        <w:pStyle w:val="1fe"/>
        <w:spacing w:beforeAutospacing="0" w:afterAutospacing="0" w:line="360" w:lineRule="auto"/>
        <w:ind w:firstLine="709"/>
        <w:jc w:val="both"/>
        <w:rPr>
          <w:i/>
          <w:iCs/>
        </w:rPr>
      </w:pPr>
      <w:r w:rsidRPr="00C2728C">
        <w:rPr>
          <w:i/>
          <w:iCs/>
        </w:rPr>
        <w:t>Микробиологическое исследование мазка со слизистой оболочки прямой кишки</w:t>
      </w:r>
    </w:p>
    <w:p w14:paraId="094B2FE9" w14:textId="77777777" w:rsidR="0034590E" w:rsidRPr="00BA4F0F" w:rsidRDefault="0034590E" w:rsidP="0034590E">
      <w:pPr>
        <w:pStyle w:val="1fe"/>
        <w:spacing w:beforeAutospacing="0" w:afterAutospacing="0" w:line="360" w:lineRule="auto"/>
        <w:ind w:firstLine="709"/>
        <w:jc w:val="both"/>
      </w:pPr>
      <w:r w:rsidRPr="00BA4F0F">
        <w:t>Показания:</w:t>
      </w:r>
    </w:p>
    <w:p w14:paraId="2479C115" w14:textId="77777777" w:rsidR="0034590E" w:rsidRPr="00BA4F0F" w:rsidRDefault="0034590E" w:rsidP="00A72B1B">
      <w:pPr>
        <w:pStyle w:val="1fe"/>
        <w:numPr>
          <w:ilvl w:val="0"/>
          <w:numId w:val="75"/>
        </w:numPr>
        <w:spacing w:beforeAutospacing="0" w:afterAutospacing="0" w:line="360" w:lineRule="auto"/>
        <w:jc w:val="both"/>
      </w:pPr>
      <w:r w:rsidRPr="00BA4F0F">
        <w:t xml:space="preserve">Воспаление или повреждение слизистой (трещина, парапроктит и др.) прямой кишки. </w:t>
      </w:r>
    </w:p>
    <w:p w14:paraId="6DF10862" w14:textId="77777777" w:rsidR="0034590E" w:rsidRPr="00BA4F0F" w:rsidRDefault="0034590E" w:rsidP="00A72B1B">
      <w:pPr>
        <w:pStyle w:val="1fe"/>
        <w:numPr>
          <w:ilvl w:val="0"/>
          <w:numId w:val="75"/>
        </w:numPr>
        <w:spacing w:beforeAutospacing="0" w:afterAutospacing="0" w:line="360" w:lineRule="auto"/>
        <w:jc w:val="both"/>
      </w:pPr>
      <w:r w:rsidRPr="00BA4F0F">
        <w:t xml:space="preserve">У больных с фебрильной нейтропенией более 3-4 дней. </w:t>
      </w:r>
    </w:p>
    <w:p w14:paraId="52DB9BED" w14:textId="77777777" w:rsidR="0034590E" w:rsidRPr="00BA4F0F" w:rsidRDefault="0034590E" w:rsidP="0034590E">
      <w:pPr>
        <w:pStyle w:val="1fe"/>
        <w:spacing w:beforeAutospacing="0" w:afterAutospacing="0" w:line="360" w:lineRule="auto"/>
        <w:ind w:firstLine="709"/>
        <w:jc w:val="both"/>
      </w:pPr>
      <w:r w:rsidRPr="00BA4F0F">
        <w:t xml:space="preserve">На основании выделенных микроорганизмов может быть проведена коррекция антимикробной терапии при сохраняющейся фебрильной нейтропении в случаях отсутствия диагностически значимых результатов исследований из клинически значимых образцов. </w:t>
      </w:r>
    </w:p>
    <w:p w14:paraId="4DF9A48B" w14:textId="77777777" w:rsidR="0034590E" w:rsidRPr="00BA4F0F" w:rsidRDefault="0034590E" w:rsidP="0034590E">
      <w:pPr>
        <w:pStyle w:val="1fe"/>
        <w:spacing w:beforeAutospacing="0" w:afterAutospacing="0" w:line="360" w:lineRule="auto"/>
        <w:ind w:firstLine="709"/>
        <w:jc w:val="both"/>
      </w:pPr>
      <w:r w:rsidRPr="00BA4F0F">
        <w:t xml:space="preserve">Обращают внимание, прежде всего на выделение полирезистентных грамотрицаетельных бактерий - Pseudomonas aeruginosa, энтеробактерий (Escherichia coli, Klebsiella spp.), продуцирующих БЛРС или карбапенемаз. </w:t>
      </w:r>
    </w:p>
    <w:p w14:paraId="7D2A5357" w14:textId="77777777" w:rsidR="0034590E" w:rsidRPr="00BA4F0F" w:rsidRDefault="0034590E" w:rsidP="0034590E">
      <w:pPr>
        <w:pStyle w:val="1fe"/>
        <w:spacing w:beforeAutospacing="0" w:afterAutospacing="0" w:line="360" w:lineRule="auto"/>
        <w:ind w:firstLine="709"/>
        <w:jc w:val="both"/>
      </w:pPr>
    </w:p>
    <w:p w14:paraId="5BCC318E" w14:textId="77777777" w:rsidR="0034590E" w:rsidRPr="00C2728C" w:rsidRDefault="0034590E" w:rsidP="0034590E">
      <w:pPr>
        <w:pStyle w:val="1fe"/>
        <w:spacing w:beforeAutospacing="0" w:afterAutospacing="0" w:line="360" w:lineRule="auto"/>
        <w:ind w:firstLine="709"/>
        <w:jc w:val="both"/>
        <w:rPr>
          <w:i/>
          <w:iCs/>
        </w:rPr>
      </w:pPr>
      <w:r w:rsidRPr="00C2728C">
        <w:rPr>
          <w:i/>
          <w:iCs/>
        </w:rPr>
        <w:t>Микробиологическое исследование со слизистой оболочки носовых ходов</w:t>
      </w:r>
    </w:p>
    <w:p w14:paraId="439605A7" w14:textId="77777777" w:rsidR="0034590E" w:rsidRPr="00BA4F0F" w:rsidRDefault="0034590E" w:rsidP="0034590E">
      <w:pPr>
        <w:pStyle w:val="1fe"/>
        <w:spacing w:beforeAutospacing="0" w:afterAutospacing="0" w:line="360" w:lineRule="auto"/>
        <w:ind w:firstLine="709"/>
        <w:jc w:val="both"/>
      </w:pPr>
      <w:r w:rsidRPr="00BA4F0F">
        <w:t xml:space="preserve">Показания — наличие некроза слизистой оболочки носового хода. </w:t>
      </w:r>
    </w:p>
    <w:p w14:paraId="6D63B52D" w14:textId="77777777" w:rsidR="0034590E" w:rsidRPr="00BA4F0F" w:rsidRDefault="0034590E" w:rsidP="0034590E">
      <w:pPr>
        <w:pStyle w:val="1fe"/>
        <w:spacing w:beforeAutospacing="0" w:afterAutospacing="0" w:line="360" w:lineRule="auto"/>
        <w:ind w:firstLine="709"/>
        <w:jc w:val="both"/>
      </w:pPr>
      <w:r w:rsidRPr="00BA4F0F">
        <w:t xml:space="preserve">Исследование проводят только на плесневые (мицелиальные) грибы. </w:t>
      </w:r>
    </w:p>
    <w:p w14:paraId="252A7390" w14:textId="77777777" w:rsidR="0034590E" w:rsidRPr="00BA4F0F" w:rsidRDefault="0034590E" w:rsidP="0034590E">
      <w:pPr>
        <w:pStyle w:val="1fe"/>
        <w:spacing w:beforeAutospacing="0" w:afterAutospacing="0" w:line="360" w:lineRule="auto"/>
        <w:ind w:firstLine="709"/>
        <w:jc w:val="both"/>
      </w:pPr>
      <w:r w:rsidRPr="00BA4F0F">
        <w:t xml:space="preserve">Рутинное исследование материала, взятого из носоглотки, ротоглотки, прямой кишки, а также посев мочи в отсутствие признаков поражения не представляет большой клинической ценности. </w:t>
      </w:r>
    </w:p>
    <w:p w14:paraId="68A02AA9" w14:textId="77777777" w:rsidR="0034590E" w:rsidRPr="00BA4F0F" w:rsidRDefault="0034590E" w:rsidP="0034590E">
      <w:pPr>
        <w:pStyle w:val="1fe"/>
        <w:spacing w:beforeAutospacing="0" w:afterAutospacing="0" w:line="360" w:lineRule="auto"/>
        <w:ind w:firstLine="709"/>
        <w:jc w:val="both"/>
      </w:pPr>
    </w:p>
    <w:p w14:paraId="63917CF2" w14:textId="77777777" w:rsidR="0034590E" w:rsidRPr="00D85998" w:rsidRDefault="0034590E" w:rsidP="0034590E">
      <w:pPr>
        <w:pStyle w:val="1fe"/>
        <w:spacing w:beforeAutospacing="0" w:afterAutospacing="0" w:line="360" w:lineRule="auto"/>
        <w:ind w:firstLine="709"/>
        <w:jc w:val="both"/>
        <w:rPr>
          <w:i/>
          <w:iCs/>
        </w:rPr>
      </w:pPr>
      <w:r w:rsidRPr="00D85998">
        <w:rPr>
          <w:i/>
          <w:iCs/>
        </w:rPr>
        <w:t>Микробиологическое исследование биоптатов кожи</w:t>
      </w:r>
    </w:p>
    <w:p w14:paraId="5F732ACD" w14:textId="77777777" w:rsidR="0034590E" w:rsidRPr="00BA4F0F" w:rsidRDefault="0034590E" w:rsidP="0034590E">
      <w:pPr>
        <w:pStyle w:val="1fe"/>
        <w:spacing w:beforeAutospacing="0" w:afterAutospacing="0" w:line="360" w:lineRule="auto"/>
        <w:ind w:firstLine="709"/>
        <w:jc w:val="both"/>
      </w:pPr>
      <w:r w:rsidRPr="00BA4F0F">
        <w:t xml:space="preserve">Показания — наличие септикопиемических очагов (инфильтраты в толще кожи — в дерме — любых размеров, болезненные при пальпации, возникшие при лихорадке) или других образований на коже. </w:t>
      </w:r>
    </w:p>
    <w:p w14:paraId="603DE0F9" w14:textId="77777777" w:rsidR="0034590E" w:rsidRPr="00BA4F0F" w:rsidRDefault="0034590E" w:rsidP="0034590E">
      <w:pPr>
        <w:pStyle w:val="1fe"/>
        <w:spacing w:beforeAutospacing="0" w:afterAutospacing="0" w:line="360" w:lineRule="auto"/>
        <w:ind w:firstLine="709"/>
        <w:jc w:val="both"/>
      </w:pPr>
      <w:r w:rsidRPr="00BA4F0F">
        <w:t xml:space="preserve">Проводят биопсию тех образований, давность которых составляет 1—2 суток. Биопсию проводят с захватом дермы. </w:t>
      </w:r>
    </w:p>
    <w:p w14:paraId="40EC9CE1" w14:textId="77777777" w:rsidR="0034590E" w:rsidRPr="00BA4F0F" w:rsidRDefault="0034590E" w:rsidP="0034590E">
      <w:pPr>
        <w:pStyle w:val="1fe"/>
        <w:spacing w:beforeAutospacing="0" w:afterAutospacing="0" w:line="360" w:lineRule="auto"/>
        <w:ind w:firstLine="709"/>
        <w:jc w:val="both"/>
      </w:pPr>
      <w:r w:rsidRPr="00BA4F0F">
        <w:t xml:space="preserve">Проводят гистологическое и микробиологическое исследование на наличие бактерий, включая микобактерии, и грибов. Кроме культурального исследования проводят </w:t>
      </w:r>
      <w:r w:rsidRPr="00BA4F0F">
        <w:lastRenderedPageBreak/>
        <w:t xml:space="preserve">микроскопию всех образцов (окраска по Граму, Цилю— Нильсену, калькофлюором белым). </w:t>
      </w:r>
    </w:p>
    <w:p w14:paraId="504B3735" w14:textId="77777777" w:rsidR="0034590E" w:rsidRPr="00BA4F0F" w:rsidRDefault="0034590E" w:rsidP="0034590E">
      <w:pPr>
        <w:pStyle w:val="1fe"/>
        <w:spacing w:beforeAutospacing="0" w:afterAutospacing="0" w:line="360" w:lineRule="auto"/>
        <w:ind w:firstLine="709"/>
        <w:jc w:val="both"/>
        <w:rPr>
          <w:u w:val="single"/>
        </w:rPr>
      </w:pPr>
    </w:p>
    <w:p w14:paraId="7091D36D" w14:textId="77777777" w:rsidR="0034590E" w:rsidRPr="00D85998" w:rsidRDefault="0034590E" w:rsidP="0034590E">
      <w:pPr>
        <w:pStyle w:val="1fe"/>
        <w:spacing w:beforeAutospacing="0" w:afterAutospacing="0" w:line="360" w:lineRule="auto"/>
        <w:ind w:firstLine="709"/>
        <w:jc w:val="both"/>
        <w:rPr>
          <w:i/>
          <w:iCs/>
        </w:rPr>
      </w:pPr>
      <w:r w:rsidRPr="00D85998">
        <w:rPr>
          <w:i/>
          <w:iCs/>
        </w:rPr>
        <w:t>Компьютерная томография легких</w:t>
      </w:r>
    </w:p>
    <w:p w14:paraId="2569015F" w14:textId="77777777" w:rsidR="0034590E" w:rsidRPr="00BA4F0F" w:rsidRDefault="0034590E" w:rsidP="0034590E">
      <w:pPr>
        <w:pStyle w:val="1fe"/>
        <w:spacing w:beforeAutospacing="0" w:afterAutospacing="0" w:line="360" w:lineRule="auto"/>
        <w:ind w:firstLine="709"/>
        <w:jc w:val="both"/>
      </w:pPr>
      <w:r w:rsidRPr="00BA4F0F">
        <w:t>Показания:</w:t>
      </w:r>
    </w:p>
    <w:p w14:paraId="48666E41" w14:textId="77777777" w:rsidR="0034590E" w:rsidRPr="00BA4F0F" w:rsidRDefault="0034590E" w:rsidP="00A72B1B">
      <w:pPr>
        <w:pStyle w:val="1fe"/>
        <w:numPr>
          <w:ilvl w:val="0"/>
          <w:numId w:val="76"/>
        </w:numPr>
        <w:spacing w:beforeAutospacing="0" w:afterAutospacing="0" w:line="360" w:lineRule="auto"/>
        <w:jc w:val="both"/>
      </w:pPr>
      <w:r w:rsidRPr="00BA4F0F">
        <w:t xml:space="preserve">Лихорадка неясной этиологии ≥ 5 дней в период нейтропении при нормальной физикальной картине в легких. </w:t>
      </w:r>
    </w:p>
    <w:p w14:paraId="1CA09E2A" w14:textId="77777777" w:rsidR="0034590E" w:rsidRPr="00BA4F0F" w:rsidRDefault="0034590E" w:rsidP="00A72B1B">
      <w:pPr>
        <w:pStyle w:val="1fe"/>
        <w:numPr>
          <w:ilvl w:val="0"/>
          <w:numId w:val="76"/>
        </w:numPr>
        <w:spacing w:beforeAutospacing="0" w:afterAutospacing="0" w:line="360" w:lineRule="auto"/>
        <w:jc w:val="both"/>
      </w:pPr>
      <w:r w:rsidRPr="00BA4F0F">
        <w:t xml:space="preserve">Контроль выявленных изменений в легких (первое контрольное исследование проводят через 7 дней от момента диагностики пневмонии и начала антибактериальной или противогрибковой терапии, далее — по мере необходимости). </w:t>
      </w:r>
    </w:p>
    <w:p w14:paraId="58E06FF9" w14:textId="77777777" w:rsidR="0034590E" w:rsidRPr="00BA4F0F" w:rsidRDefault="0034590E" w:rsidP="0034590E">
      <w:pPr>
        <w:pStyle w:val="1fe"/>
        <w:spacing w:beforeAutospacing="0" w:afterAutospacing="0" w:line="360" w:lineRule="auto"/>
        <w:ind w:firstLine="709"/>
        <w:jc w:val="both"/>
      </w:pPr>
      <w:r w:rsidRPr="00BA4F0F">
        <w:t xml:space="preserve">КТ легких следует проводить без предварительной рентгенографии грудной клетки. </w:t>
      </w:r>
    </w:p>
    <w:p w14:paraId="35347E92" w14:textId="77777777" w:rsidR="0034590E" w:rsidRPr="00BA4F0F" w:rsidRDefault="0034590E" w:rsidP="0034590E">
      <w:pPr>
        <w:pStyle w:val="1fe"/>
        <w:spacing w:beforeAutospacing="0" w:afterAutospacing="0" w:line="360" w:lineRule="auto"/>
        <w:ind w:firstLine="709"/>
        <w:jc w:val="both"/>
      </w:pPr>
      <w:r w:rsidRPr="00BA4F0F">
        <w:t xml:space="preserve">КТ легких при лихорадке в период нейтропении проводят независимо от аускультативной картины легких. </w:t>
      </w:r>
    </w:p>
    <w:p w14:paraId="39E87C15" w14:textId="77777777" w:rsidR="0034590E" w:rsidRPr="00BA4F0F" w:rsidRDefault="0034590E" w:rsidP="0034590E">
      <w:pPr>
        <w:pStyle w:val="1fe"/>
        <w:spacing w:beforeAutospacing="0" w:afterAutospacing="0" w:line="360" w:lineRule="auto"/>
        <w:ind w:firstLine="709"/>
        <w:jc w:val="both"/>
      </w:pPr>
      <w:r w:rsidRPr="00BA4F0F">
        <w:t xml:space="preserve">Рентгенография органов грудной клетки при нейтропении малоинформативна. С ее помощью нельзя своевременно диагностировать инвазивный аспергиллез, интерстициальные поражения легких (вирусные, грибковые). У больных с нейтропенией этот вид исследования, направленный на поиск инфекционного процесса в легких, необходимо исключить. </w:t>
      </w:r>
    </w:p>
    <w:p w14:paraId="26ED11B0" w14:textId="77777777" w:rsidR="0034590E" w:rsidRPr="00BA4F0F" w:rsidRDefault="0034590E" w:rsidP="0034590E">
      <w:pPr>
        <w:pStyle w:val="1fe"/>
        <w:spacing w:beforeAutospacing="0" w:afterAutospacing="0" w:line="360" w:lineRule="auto"/>
        <w:ind w:firstLine="709"/>
        <w:jc w:val="both"/>
        <w:rPr>
          <w:u w:val="single"/>
        </w:rPr>
      </w:pPr>
    </w:p>
    <w:p w14:paraId="6FCC6187" w14:textId="77777777" w:rsidR="0034590E" w:rsidRPr="00D85998" w:rsidRDefault="0034590E" w:rsidP="0034590E">
      <w:pPr>
        <w:pStyle w:val="1fe"/>
        <w:spacing w:beforeAutospacing="0" w:afterAutospacing="0" w:line="360" w:lineRule="auto"/>
        <w:ind w:firstLine="709"/>
        <w:jc w:val="both"/>
        <w:rPr>
          <w:i/>
          <w:iCs/>
        </w:rPr>
      </w:pPr>
      <w:r w:rsidRPr="00D85998">
        <w:rPr>
          <w:i/>
          <w:iCs/>
        </w:rPr>
        <w:t>Бронхоальвеолярный лаваж</w:t>
      </w:r>
    </w:p>
    <w:p w14:paraId="0EC67B05" w14:textId="77777777" w:rsidR="0034590E" w:rsidRPr="00BA4F0F" w:rsidRDefault="0034590E" w:rsidP="0034590E">
      <w:pPr>
        <w:pStyle w:val="1fe"/>
        <w:spacing w:beforeAutospacing="0" w:afterAutospacing="0" w:line="360" w:lineRule="auto"/>
        <w:ind w:firstLine="709"/>
        <w:jc w:val="both"/>
      </w:pPr>
      <w:r w:rsidRPr="00BA4F0F">
        <w:t>Показания: изменения в легких по данным КТ.</w:t>
      </w:r>
    </w:p>
    <w:p w14:paraId="6F6A35C5" w14:textId="77777777" w:rsidR="0034590E" w:rsidRPr="00BA4F0F" w:rsidRDefault="0034590E" w:rsidP="0034590E">
      <w:pPr>
        <w:pStyle w:val="1fe"/>
        <w:spacing w:beforeAutospacing="0" w:afterAutospacing="0" w:line="360" w:lineRule="auto"/>
        <w:ind w:firstLine="709"/>
        <w:jc w:val="both"/>
      </w:pPr>
      <w:r w:rsidRPr="00BA4F0F">
        <w:t>Перечень диагностических тестов:</w:t>
      </w:r>
    </w:p>
    <w:p w14:paraId="589DC74B" w14:textId="77777777" w:rsidR="0034590E" w:rsidRPr="00BA4F0F" w:rsidRDefault="0034590E" w:rsidP="00A72B1B">
      <w:pPr>
        <w:pStyle w:val="1fe"/>
        <w:numPr>
          <w:ilvl w:val="0"/>
          <w:numId w:val="77"/>
        </w:numPr>
        <w:spacing w:beforeAutospacing="0" w:afterAutospacing="0" w:line="360" w:lineRule="auto"/>
        <w:jc w:val="both"/>
      </w:pPr>
      <w:r w:rsidRPr="00BA4F0F">
        <w:t>Исследование жидкости бронхоальвеолярного лаважа (БАЛ):</w:t>
      </w:r>
    </w:p>
    <w:p w14:paraId="37F3647C" w14:textId="77777777" w:rsidR="0034590E" w:rsidRPr="00BA4F0F" w:rsidRDefault="0034590E" w:rsidP="00A72B1B">
      <w:pPr>
        <w:pStyle w:val="1fe"/>
        <w:numPr>
          <w:ilvl w:val="0"/>
          <w:numId w:val="77"/>
        </w:numPr>
        <w:spacing w:beforeAutospacing="0" w:afterAutospacing="0" w:line="360" w:lineRule="auto"/>
        <w:jc w:val="both"/>
      </w:pPr>
      <w:r w:rsidRPr="00BA4F0F">
        <w:t xml:space="preserve">Цитология мазков. </w:t>
      </w:r>
    </w:p>
    <w:p w14:paraId="0F62B387" w14:textId="77777777" w:rsidR="0034590E" w:rsidRPr="00BA4F0F" w:rsidRDefault="0034590E" w:rsidP="00A72B1B">
      <w:pPr>
        <w:pStyle w:val="1fe"/>
        <w:numPr>
          <w:ilvl w:val="0"/>
          <w:numId w:val="77"/>
        </w:numPr>
        <w:spacing w:beforeAutospacing="0" w:afterAutospacing="0" w:line="360" w:lineRule="auto"/>
        <w:jc w:val="both"/>
      </w:pPr>
      <w:r w:rsidRPr="00BA4F0F">
        <w:t xml:space="preserve">Микроскопия мазков (окраска по Граму, Цилю—Нильсену). </w:t>
      </w:r>
    </w:p>
    <w:p w14:paraId="588E0AA6" w14:textId="77777777" w:rsidR="0034590E" w:rsidRPr="00BA4F0F" w:rsidRDefault="0034590E" w:rsidP="00A72B1B">
      <w:pPr>
        <w:pStyle w:val="1fe"/>
        <w:numPr>
          <w:ilvl w:val="0"/>
          <w:numId w:val="77"/>
        </w:numPr>
        <w:spacing w:beforeAutospacing="0" w:afterAutospacing="0" w:line="360" w:lineRule="auto"/>
        <w:jc w:val="both"/>
      </w:pPr>
      <w:r w:rsidRPr="00BA4F0F">
        <w:t>Флюоресцентная микроскопия на грибы с калькофлуором белым.</w:t>
      </w:r>
    </w:p>
    <w:p w14:paraId="5C3B5C84" w14:textId="77777777" w:rsidR="0034590E" w:rsidRPr="00BA4F0F" w:rsidRDefault="0034590E" w:rsidP="00A72B1B">
      <w:pPr>
        <w:pStyle w:val="1fe"/>
        <w:numPr>
          <w:ilvl w:val="0"/>
          <w:numId w:val="77"/>
        </w:numPr>
        <w:spacing w:beforeAutospacing="0" w:afterAutospacing="0" w:line="360" w:lineRule="auto"/>
        <w:jc w:val="both"/>
      </w:pPr>
      <w:r w:rsidRPr="00BA4F0F">
        <w:t xml:space="preserve">Микробиологическое исследование (посев) на бактерии, включая нокардии, и грибы (обязательно на мицелиальные — посев на среду Чапека). </w:t>
      </w:r>
    </w:p>
    <w:p w14:paraId="6C592877" w14:textId="77777777" w:rsidR="0034590E" w:rsidRPr="00BA4F0F" w:rsidRDefault="0034590E" w:rsidP="00A72B1B">
      <w:pPr>
        <w:pStyle w:val="1fe"/>
        <w:numPr>
          <w:ilvl w:val="0"/>
          <w:numId w:val="77"/>
        </w:numPr>
        <w:spacing w:beforeAutospacing="0" w:afterAutospacing="0" w:line="360" w:lineRule="auto"/>
        <w:jc w:val="both"/>
      </w:pPr>
      <w:r w:rsidRPr="00BA4F0F">
        <w:t xml:space="preserve">Микробиологическое исследование (посев) на </w:t>
      </w:r>
      <w:r w:rsidRPr="00BA4F0F">
        <w:rPr>
          <w:lang w:val="en-US"/>
        </w:rPr>
        <w:t>Legionella</w:t>
      </w:r>
      <w:r w:rsidRPr="00BA4F0F">
        <w:t xml:space="preserve"> </w:t>
      </w:r>
      <w:r w:rsidRPr="00BA4F0F">
        <w:rPr>
          <w:lang w:val="en-US"/>
        </w:rPr>
        <w:t>spp</w:t>
      </w:r>
      <w:r w:rsidRPr="00BA4F0F">
        <w:t xml:space="preserve">. </w:t>
      </w:r>
    </w:p>
    <w:p w14:paraId="33724861" w14:textId="77777777" w:rsidR="0034590E" w:rsidRPr="00BA4F0F" w:rsidRDefault="0034590E" w:rsidP="00A72B1B">
      <w:pPr>
        <w:pStyle w:val="1fe"/>
        <w:numPr>
          <w:ilvl w:val="0"/>
          <w:numId w:val="77"/>
        </w:numPr>
        <w:spacing w:beforeAutospacing="0" w:afterAutospacing="0" w:line="360" w:lineRule="auto"/>
        <w:jc w:val="both"/>
      </w:pPr>
      <w:r w:rsidRPr="00BA4F0F">
        <w:t xml:space="preserve">Исследование на микобактерии (ПЦР). </w:t>
      </w:r>
    </w:p>
    <w:p w14:paraId="424F817D" w14:textId="77777777" w:rsidR="0034590E" w:rsidRPr="00BA4F0F" w:rsidRDefault="0034590E" w:rsidP="00A72B1B">
      <w:pPr>
        <w:pStyle w:val="1fe"/>
        <w:numPr>
          <w:ilvl w:val="0"/>
          <w:numId w:val="77"/>
        </w:numPr>
        <w:spacing w:beforeAutospacing="0" w:afterAutospacing="0" w:line="360" w:lineRule="auto"/>
        <w:jc w:val="both"/>
      </w:pPr>
      <w:r w:rsidRPr="00BA4F0F">
        <w:t xml:space="preserve">Флюоресцентная микроскопия на Pneumocystis jiroveci. </w:t>
      </w:r>
    </w:p>
    <w:p w14:paraId="7F27607D" w14:textId="77777777" w:rsidR="0034590E" w:rsidRPr="00BA4F0F" w:rsidRDefault="0034590E" w:rsidP="00A72B1B">
      <w:pPr>
        <w:pStyle w:val="1fe"/>
        <w:numPr>
          <w:ilvl w:val="0"/>
          <w:numId w:val="77"/>
        </w:numPr>
        <w:spacing w:beforeAutospacing="0" w:afterAutospacing="0" w:line="360" w:lineRule="auto"/>
        <w:jc w:val="both"/>
      </w:pPr>
      <w:r w:rsidRPr="00BA4F0F">
        <w:t xml:space="preserve">Определение ДНК </w:t>
      </w:r>
      <w:r w:rsidRPr="00BA4F0F">
        <w:rPr>
          <w:lang w:val="en-US"/>
        </w:rPr>
        <w:t>Pneumocystis</w:t>
      </w:r>
      <w:r w:rsidRPr="00BA4F0F">
        <w:t xml:space="preserve"> </w:t>
      </w:r>
      <w:r w:rsidRPr="00BA4F0F">
        <w:rPr>
          <w:lang w:val="en-US"/>
        </w:rPr>
        <w:t>jirovecii</w:t>
      </w:r>
      <w:r w:rsidRPr="00BA4F0F">
        <w:t xml:space="preserve"> (ПЦР).</w:t>
      </w:r>
    </w:p>
    <w:p w14:paraId="24AD9193" w14:textId="77777777" w:rsidR="0034590E" w:rsidRPr="00BA4F0F" w:rsidRDefault="0034590E" w:rsidP="00A72B1B">
      <w:pPr>
        <w:pStyle w:val="1fe"/>
        <w:numPr>
          <w:ilvl w:val="0"/>
          <w:numId w:val="77"/>
        </w:numPr>
        <w:spacing w:beforeAutospacing="0" w:afterAutospacing="0" w:line="360" w:lineRule="auto"/>
        <w:jc w:val="both"/>
      </w:pPr>
      <w:r w:rsidRPr="00BA4F0F">
        <w:t>Определение антигена Aspergillus (галактоманнан) в жидкости БАЛ.</w:t>
      </w:r>
    </w:p>
    <w:p w14:paraId="31B6791D" w14:textId="77777777" w:rsidR="0034590E" w:rsidRPr="00BA4F0F" w:rsidRDefault="0034590E" w:rsidP="00A72B1B">
      <w:pPr>
        <w:pStyle w:val="1fe"/>
        <w:numPr>
          <w:ilvl w:val="0"/>
          <w:numId w:val="77"/>
        </w:numPr>
        <w:spacing w:beforeAutospacing="0" w:afterAutospacing="0" w:line="360" w:lineRule="auto"/>
        <w:jc w:val="both"/>
      </w:pPr>
      <w:r w:rsidRPr="00BA4F0F">
        <w:lastRenderedPageBreak/>
        <w:t xml:space="preserve">Определение антигена </w:t>
      </w:r>
      <w:r w:rsidRPr="00BA4F0F">
        <w:rPr>
          <w:lang w:val="en-US"/>
        </w:rPr>
        <w:t>Legionella</w:t>
      </w:r>
      <w:r w:rsidRPr="00BA4F0F">
        <w:t xml:space="preserve"> </w:t>
      </w:r>
      <w:r w:rsidRPr="00BA4F0F">
        <w:rPr>
          <w:lang w:val="en-US"/>
        </w:rPr>
        <w:t>pneumophilia</w:t>
      </w:r>
      <w:r w:rsidRPr="00BA4F0F">
        <w:t xml:space="preserve"> в моче. </w:t>
      </w:r>
    </w:p>
    <w:p w14:paraId="405116AA" w14:textId="77777777" w:rsidR="0034590E" w:rsidRPr="00BA4F0F" w:rsidRDefault="0034590E" w:rsidP="00A72B1B">
      <w:pPr>
        <w:pStyle w:val="1fe"/>
        <w:numPr>
          <w:ilvl w:val="0"/>
          <w:numId w:val="77"/>
        </w:numPr>
        <w:spacing w:beforeAutospacing="0" w:afterAutospacing="0" w:line="360" w:lineRule="auto"/>
        <w:jc w:val="both"/>
      </w:pPr>
      <w:r w:rsidRPr="00BA4F0F">
        <w:t xml:space="preserve">Определение ДНК </w:t>
      </w:r>
      <w:r w:rsidRPr="00BA4F0F">
        <w:rPr>
          <w:lang w:val="en-US"/>
        </w:rPr>
        <w:t>Mycoplasma</w:t>
      </w:r>
      <w:r w:rsidRPr="00BA4F0F">
        <w:t xml:space="preserve"> </w:t>
      </w:r>
      <w:r w:rsidRPr="00BA4F0F">
        <w:rPr>
          <w:lang w:val="en-US"/>
        </w:rPr>
        <w:t>pneumonia</w:t>
      </w:r>
      <w:r w:rsidRPr="00BA4F0F">
        <w:t xml:space="preserve">, </w:t>
      </w:r>
      <w:r w:rsidRPr="00BA4F0F">
        <w:rPr>
          <w:lang w:val="en-US"/>
        </w:rPr>
        <w:t>Chlamydophila</w:t>
      </w:r>
      <w:r w:rsidRPr="00BA4F0F">
        <w:t xml:space="preserve"> </w:t>
      </w:r>
      <w:r w:rsidRPr="00BA4F0F">
        <w:rPr>
          <w:lang w:val="en-US"/>
        </w:rPr>
        <w:t>pneumoniae</w:t>
      </w:r>
      <w:r w:rsidRPr="00BA4F0F">
        <w:t xml:space="preserve"> в жидкости БАЛ. </w:t>
      </w:r>
    </w:p>
    <w:p w14:paraId="01DF5C64" w14:textId="77777777" w:rsidR="0034590E" w:rsidRPr="00BA4F0F" w:rsidRDefault="0034590E" w:rsidP="00A72B1B">
      <w:pPr>
        <w:pStyle w:val="1fe"/>
        <w:numPr>
          <w:ilvl w:val="0"/>
          <w:numId w:val="77"/>
        </w:numPr>
        <w:spacing w:beforeAutospacing="0" w:afterAutospacing="0" w:line="360" w:lineRule="auto"/>
        <w:jc w:val="both"/>
      </w:pPr>
      <w:r w:rsidRPr="00BA4F0F">
        <w:t xml:space="preserve">Определение ДНК вирусов (ЦМВ, вирусов гриппа, парагриппа, респираторного синтициального вируса, короновирусов, метапнемовируса человека, герпесвируса человека 6 типа) в жидкости БАЛ (ПЦР). </w:t>
      </w:r>
    </w:p>
    <w:p w14:paraId="70E819A1" w14:textId="77777777" w:rsidR="0034590E" w:rsidRPr="00BA4F0F" w:rsidRDefault="0034590E" w:rsidP="00A72B1B">
      <w:pPr>
        <w:pStyle w:val="1fe"/>
        <w:numPr>
          <w:ilvl w:val="0"/>
          <w:numId w:val="77"/>
        </w:numPr>
        <w:spacing w:beforeAutospacing="0" w:afterAutospacing="0" w:line="360" w:lineRule="auto"/>
        <w:jc w:val="both"/>
      </w:pPr>
      <w:r w:rsidRPr="00BA4F0F">
        <w:t>Определение антигенов грибов</w:t>
      </w:r>
    </w:p>
    <w:p w14:paraId="132C2343" w14:textId="77777777" w:rsidR="0034590E" w:rsidRPr="00BA4F0F" w:rsidRDefault="0034590E" w:rsidP="00A72B1B">
      <w:pPr>
        <w:pStyle w:val="1fe"/>
        <w:numPr>
          <w:ilvl w:val="0"/>
          <w:numId w:val="77"/>
        </w:numPr>
        <w:spacing w:beforeAutospacing="0" w:afterAutospacing="0" w:line="360" w:lineRule="auto"/>
        <w:jc w:val="both"/>
      </w:pPr>
      <w:r w:rsidRPr="00BA4F0F">
        <w:t xml:space="preserve">Антиген Aspergillus (галактоманнан) </w:t>
      </w:r>
    </w:p>
    <w:p w14:paraId="1F518FCB" w14:textId="77777777" w:rsidR="0034590E" w:rsidRPr="00BA4F0F" w:rsidRDefault="0034590E" w:rsidP="00A72B1B">
      <w:pPr>
        <w:pStyle w:val="1fe"/>
        <w:numPr>
          <w:ilvl w:val="0"/>
          <w:numId w:val="77"/>
        </w:numPr>
        <w:spacing w:beforeAutospacing="0" w:afterAutospacing="0" w:line="360" w:lineRule="auto"/>
        <w:jc w:val="both"/>
      </w:pPr>
      <w:r w:rsidRPr="00BA4F0F">
        <w:t>Обнаружение антигена Aspergillus включено в критерии диагностики инвазивного аспергиллеза.</w:t>
      </w:r>
    </w:p>
    <w:p w14:paraId="1706190B" w14:textId="77777777" w:rsidR="0034590E" w:rsidRPr="00BA4F0F" w:rsidRDefault="0034590E" w:rsidP="0034590E">
      <w:pPr>
        <w:pStyle w:val="1fe"/>
        <w:spacing w:beforeAutospacing="0" w:afterAutospacing="0" w:line="360" w:lineRule="auto"/>
        <w:ind w:firstLine="709"/>
        <w:jc w:val="both"/>
      </w:pPr>
      <w:r w:rsidRPr="00BA4F0F">
        <w:t xml:space="preserve">Образцы для исследования: </w:t>
      </w:r>
    </w:p>
    <w:p w14:paraId="5FFB7A9C" w14:textId="77777777" w:rsidR="0034590E" w:rsidRPr="00BA4F0F" w:rsidRDefault="0034590E" w:rsidP="00A72B1B">
      <w:pPr>
        <w:pStyle w:val="1fe"/>
        <w:numPr>
          <w:ilvl w:val="0"/>
          <w:numId w:val="78"/>
        </w:numPr>
        <w:spacing w:beforeAutospacing="0" w:afterAutospacing="0" w:line="360" w:lineRule="auto"/>
        <w:jc w:val="both"/>
      </w:pPr>
      <w:r w:rsidRPr="00BA4F0F">
        <w:t xml:space="preserve">кровь; </w:t>
      </w:r>
    </w:p>
    <w:p w14:paraId="4D9B94AD" w14:textId="77777777" w:rsidR="0034590E" w:rsidRPr="00BA4F0F" w:rsidRDefault="0034590E" w:rsidP="00A72B1B">
      <w:pPr>
        <w:pStyle w:val="1fe"/>
        <w:numPr>
          <w:ilvl w:val="0"/>
          <w:numId w:val="78"/>
        </w:numPr>
        <w:spacing w:beforeAutospacing="0" w:afterAutospacing="0" w:line="360" w:lineRule="auto"/>
        <w:jc w:val="both"/>
      </w:pPr>
      <w:r w:rsidRPr="00BA4F0F">
        <w:t xml:space="preserve">жидкость БАЛ; </w:t>
      </w:r>
    </w:p>
    <w:p w14:paraId="64A3A12A" w14:textId="77777777" w:rsidR="0034590E" w:rsidRPr="00BA4F0F" w:rsidRDefault="0034590E" w:rsidP="00A72B1B">
      <w:pPr>
        <w:pStyle w:val="1fe"/>
        <w:numPr>
          <w:ilvl w:val="0"/>
          <w:numId w:val="78"/>
        </w:numPr>
        <w:spacing w:beforeAutospacing="0" w:afterAutospacing="0" w:line="360" w:lineRule="auto"/>
        <w:jc w:val="both"/>
      </w:pPr>
      <w:r w:rsidRPr="00BA4F0F">
        <w:t xml:space="preserve">СМЖ. </w:t>
      </w:r>
    </w:p>
    <w:p w14:paraId="746AACCF" w14:textId="77777777" w:rsidR="0034590E" w:rsidRPr="00BA4F0F" w:rsidRDefault="0034590E" w:rsidP="0034590E">
      <w:pPr>
        <w:pStyle w:val="1fe"/>
        <w:spacing w:beforeAutospacing="0" w:afterAutospacing="0" w:line="360" w:lineRule="auto"/>
        <w:ind w:firstLine="709"/>
        <w:jc w:val="both"/>
      </w:pPr>
      <w:r w:rsidRPr="00BA4F0F">
        <w:t>Результат определения антигена Aspergillus считают положительным в крови при индексе оптической плотности ≥ 0,5, в жидкости БАЛ ≥ 1,0, в СМЖ ≥ 0,5.</w:t>
      </w:r>
    </w:p>
    <w:p w14:paraId="3B747843" w14:textId="77777777" w:rsidR="0034590E" w:rsidRPr="00BA4F0F" w:rsidRDefault="0034590E" w:rsidP="0034590E">
      <w:pPr>
        <w:pStyle w:val="1fe"/>
        <w:spacing w:beforeAutospacing="0" w:afterAutospacing="0" w:line="360" w:lineRule="auto"/>
        <w:ind w:firstLine="709"/>
        <w:jc w:val="both"/>
      </w:pPr>
      <w:r w:rsidRPr="00BA4F0F">
        <w:t>Проводят определение антигена Aspergillus у больных с клиническими признаками (или факторами риска) возможного инвазивного микоза.</w:t>
      </w:r>
    </w:p>
    <w:p w14:paraId="7E366DF0" w14:textId="77777777" w:rsidR="0034590E" w:rsidRPr="00BA4F0F" w:rsidRDefault="0034590E" w:rsidP="0034590E">
      <w:pPr>
        <w:pStyle w:val="1fe"/>
        <w:spacing w:beforeAutospacing="0" w:afterAutospacing="0" w:line="360" w:lineRule="auto"/>
        <w:ind w:firstLine="709"/>
        <w:jc w:val="both"/>
      </w:pPr>
    </w:p>
    <w:p w14:paraId="09249AF5" w14:textId="77777777" w:rsidR="0034590E" w:rsidRPr="00D85998" w:rsidRDefault="0034590E" w:rsidP="0034590E">
      <w:pPr>
        <w:pStyle w:val="1fe"/>
        <w:spacing w:beforeAutospacing="0" w:afterAutospacing="0" w:line="360" w:lineRule="auto"/>
        <w:ind w:firstLine="709"/>
        <w:jc w:val="both"/>
        <w:rPr>
          <w:i/>
          <w:iCs/>
        </w:rPr>
      </w:pPr>
      <w:r w:rsidRPr="00D85998">
        <w:rPr>
          <w:i/>
          <w:iCs/>
        </w:rPr>
        <w:t>Определение антигена Aspergillus</w:t>
      </w:r>
    </w:p>
    <w:p w14:paraId="5C596BC3" w14:textId="77777777" w:rsidR="0034590E" w:rsidRPr="00BA4F0F" w:rsidRDefault="0034590E" w:rsidP="0034590E">
      <w:pPr>
        <w:pStyle w:val="1fe"/>
        <w:spacing w:beforeAutospacing="0" w:afterAutospacing="0" w:line="360" w:lineRule="auto"/>
        <w:ind w:firstLine="709"/>
        <w:jc w:val="both"/>
      </w:pPr>
      <w:r w:rsidRPr="00BA4F0F">
        <w:t xml:space="preserve">Определение антигена Aspergillus (галактоманнана) показано реципиентам аутологичных стволовых клеток крови при подозрении у них инвазивного аспергиллеза на основании изменений в легких на КТ и наличия факторов риска, индуцирующих развитие инвазивного аспергиллеза (нейтропения от 10 дней и более, прием глюкокортикоидов, терапия флударабином или алемтузумабом). </w:t>
      </w:r>
    </w:p>
    <w:p w14:paraId="6D8811F8" w14:textId="77777777" w:rsidR="0034590E" w:rsidRPr="00BA4F0F" w:rsidRDefault="0034590E" w:rsidP="0034590E">
      <w:pPr>
        <w:pStyle w:val="1fe"/>
        <w:spacing w:beforeAutospacing="0" w:afterAutospacing="0" w:line="360" w:lineRule="auto"/>
        <w:ind w:firstLine="709"/>
        <w:jc w:val="both"/>
      </w:pPr>
      <w:r w:rsidRPr="00BA4F0F">
        <w:t>В этих случаях проводят однократное определение антигена Aspergillus в жидкости БАЛ или, если у больного нейтропения (гранулоцитов &lt; 0,5 × 10</w:t>
      </w:r>
      <w:r w:rsidRPr="00BA4F0F">
        <w:rPr>
          <w:vertAlign w:val="superscript"/>
        </w:rPr>
        <w:t>9</w:t>
      </w:r>
      <w:r w:rsidRPr="00BA4F0F">
        <w:t xml:space="preserve"> /л), определяют антиген Aspergillus в 2-3 образцах крови (не в одном!), взятых в течение суток или течение 2 дней.</w:t>
      </w:r>
    </w:p>
    <w:p w14:paraId="18265A25" w14:textId="77777777" w:rsidR="0034590E" w:rsidRPr="00BA4F0F" w:rsidRDefault="0034590E" w:rsidP="0034590E">
      <w:pPr>
        <w:pStyle w:val="1fe"/>
        <w:spacing w:beforeAutospacing="0" w:afterAutospacing="0" w:line="360" w:lineRule="auto"/>
        <w:ind w:firstLine="709"/>
        <w:jc w:val="both"/>
      </w:pPr>
      <w:r w:rsidRPr="00BA4F0F">
        <w:t xml:space="preserve">Исследование антигена Aspergillus проводят до назначения противогрибковых препаратов, активных в отношении мицелиальных грибов. </w:t>
      </w:r>
    </w:p>
    <w:p w14:paraId="125D0B72" w14:textId="77777777" w:rsidR="0034590E" w:rsidRPr="00BA4F0F" w:rsidRDefault="0034590E" w:rsidP="0034590E">
      <w:pPr>
        <w:pStyle w:val="1fe"/>
        <w:spacing w:beforeAutospacing="0" w:afterAutospacing="0" w:line="360" w:lineRule="auto"/>
        <w:ind w:firstLine="709"/>
        <w:jc w:val="both"/>
      </w:pPr>
      <w:r w:rsidRPr="00BA4F0F">
        <w:t>У категории больных (при лимфомах, множественной миеломе, у реципиентов аутологичных стволовых клеток крови) вероятность развития инвазивного аспергиллеза составляет 1</w:t>
      </w:r>
      <w:r w:rsidRPr="0004178E">
        <w:t>-</w:t>
      </w:r>
      <w:r w:rsidRPr="00BA4F0F">
        <w:t xml:space="preserve">5%. </w:t>
      </w:r>
    </w:p>
    <w:p w14:paraId="168CCB44" w14:textId="77777777" w:rsidR="0034590E" w:rsidRPr="00BA4F0F" w:rsidRDefault="0034590E" w:rsidP="0034590E">
      <w:pPr>
        <w:pStyle w:val="1fe"/>
        <w:spacing w:beforeAutospacing="0" w:afterAutospacing="0" w:line="360" w:lineRule="auto"/>
        <w:ind w:firstLine="709"/>
        <w:jc w:val="both"/>
      </w:pPr>
    </w:p>
    <w:p w14:paraId="325EA1AE" w14:textId="77777777" w:rsidR="0034590E" w:rsidRPr="009C42EB" w:rsidRDefault="0034590E" w:rsidP="0034590E">
      <w:pPr>
        <w:pStyle w:val="1fe"/>
        <w:spacing w:beforeAutospacing="0" w:afterAutospacing="0" w:line="360" w:lineRule="auto"/>
        <w:ind w:firstLine="709"/>
        <w:jc w:val="both"/>
        <w:rPr>
          <w:i/>
          <w:iCs/>
        </w:rPr>
      </w:pPr>
      <w:r w:rsidRPr="009C42EB">
        <w:rPr>
          <w:i/>
          <w:iCs/>
        </w:rPr>
        <w:lastRenderedPageBreak/>
        <w:t>Антиген Candida (маннан) и антитела к Candida (антиманнан)</w:t>
      </w:r>
    </w:p>
    <w:p w14:paraId="736D6FF7" w14:textId="77777777" w:rsidR="0034590E" w:rsidRPr="00BA4F0F" w:rsidRDefault="0034590E" w:rsidP="0034590E">
      <w:pPr>
        <w:pStyle w:val="1fe"/>
        <w:spacing w:beforeAutospacing="0" w:afterAutospacing="0" w:line="360" w:lineRule="auto"/>
        <w:ind w:firstLine="709"/>
        <w:jc w:val="both"/>
      </w:pPr>
      <w:r w:rsidRPr="00BA4F0F">
        <w:t xml:space="preserve">Образец для исследования — кровь. </w:t>
      </w:r>
    </w:p>
    <w:p w14:paraId="486D5C2D" w14:textId="77777777" w:rsidR="0034590E" w:rsidRPr="00BA4F0F" w:rsidRDefault="0034590E" w:rsidP="0034590E">
      <w:pPr>
        <w:pStyle w:val="1fe"/>
        <w:spacing w:beforeAutospacing="0" w:afterAutospacing="0" w:line="360" w:lineRule="auto"/>
        <w:ind w:firstLine="709"/>
        <w:jc w:val="both"/>
      </w:pPr>
      <w:r w:rsidRPr="00BA4F0F">
        <w:t xml:space="preserve">Результат определения считается положительным при следующих значениях: </w:t>
      </w:r>
    </w:p>
    <w:p w14:paraId="26761785" w14:textId="77777777" w:rsidR="0034590E" w:rsidRPr="00BA4F0F" w:rsidRDefault="0034590E" w:rsidP="00A72B1B">
      <w:pPr>
        <w:pStyle w:val="1fe"/>
        <w:numPr>
          <w:ilvl w:val="0"/>
          <w:numId w:val="79"/>
        </w:numPr>
        <w:spacing w:beforeAutospacing="0" w:afterAutospacing="0" w:line="360" w:lineRule="auto"/>
        <w:jc w:val="both"/>
      </w:pPr>
      <w:r w:rsidRPr="00BA4F0F">
        <w:t xml:space="preserve">антиген Candida (маннан): ≥ 125 пг/мл; </w:t>
      </w:r>
    </w:p>
    <w:p w14:paraId="1B7115BF" w14:textId="77777777" w:rsidR="0034590E" w:rsidRPr="00BA4F0F" w:rsidRDefault="0034590E" w:rsidP="00A72B1B">
      <w:pPr>
        <w:pStyle w:val="1fe"/>
        <w:numPr>
          <w:ilvl w:val="0"/>
          <w:numId w:val="79"/>
        </w:numPr>
        <w:spacing w:beforeAutospacing="0" w:afterAutospacing="0" w:line="360" w:lineRule="auto"/>
        <w:jc w:val="both"/>
      </w:pPr>
      <w:r w:rsidRPr="00BA4F0F">
        <w:t xml:space="preserve">антитела к Candida (антиманнан): ≥ 10 ME. </w:t>
      </w:r>
    </w:p>
    <w:p w14:paraId="5C5BFE5A" w14:textId="77777777" w:rsidR="0034590E" w:rsidRPr="00BA4F0F" w:rsidRDefault="0034590E" w:rsidP="0034590E">
      <w:pPr>
        <w:pStyle w:val="1fe"/>
        <w:spacing w:beforeAutospacing="0" w:afterAutospacing="0" w:line="360" w:lineRule="auto"/>
        <w:ind w:firstLine="709"/>
        <w:jc w:val="both"/>
      </w:pPr>
      <w:r w:rsidRPr="00BA4F0F">
        <w:t xml:space="preserve">Показания к проведению исследования: </w:t>
      </w:r>
    </w:p>
    <w:p w14:paraId="5039A4DA" w14:textId="77777777" w:rsidR="0034590E" w:rsidRPr="00BA4F0F" w:rsidRDefault="0034590E" w:rsidP="00A72B1B">
      <w:pPr>
        <w:pStyle w:val="1fe"/>
        <w:numPr>
          <w:ilvl w:val="0"/>
          <w:numId w:val="80"/>
        </w:numPr>
        <w:spacing w:beforeAutospacing="0" w:afterAutospacing="0" w:line="360" w:lineRule="auto"/>
        <w:jc w:val="both"/>
      </w:pPr>
      <w:r w:rsidRPr="00BA4F0F">
        <w:t xml:space="preserve">множественные очаги в печени и/или селезенке (подозрение на гепатолиенальный кандидоз); </w:t>
      </w:r>
    </w:p>
    <w:p w14:paraId="4E761716" w14:textId="77777777" w:rsidR="0034590E" w:rsidRPr="00BA4F0F" w:rsidRDefault="0034590E" w:rsidP="00A72B1B">
      <w:pPr>
        <w:pStyle w:val="1fe"/>
        <w:numPr>
          <w:ilvl w:val="0"/>
          <w:numId w:val="80"/>
        </w:numPr>
        <w:spacing w:beforeAutospacing="0" w:afterAutospacing="0" w:line="360" w:lineRule="auto"/>
        <w:jc w:val="both"/>
      </w:pPr>
      <w:r w:rsidRPr="00BA4F0F">
        <w:t xml:space="preserve">предполагаемый инвазивный кандидоз. </w:t>
      </w:r>
    </w:p>
    <w:p w14:paraId="2360834E" w14:textId="77777777" w:rsidR="0034590E" w:rsidRPr="00BA4F0F" w:rsidRDefault="0034590E" w:rsidP="0034590E">
      <w:pPr>
        <w:pStyle w:val="1fe"/>
        <w:spacing w:beforeAutospacing="0" w:afterAutospacing="0" w:line="360" w:lineRule="auto"/>
        <w:ind w:firstLine="709"/>
        <w:jc w:val="both"/>
      </w:pPr>
      <w:r w:rsidRPr="00BA4F0F">
        <w:t xml:space="preserve">Чувствительность и специфичность исследования составляют около 50—60%. Интерпретация результатов должна быть осторожной, поскольку высока частота ложноположительных результатов. У больных с колонизацией слизистых оболочек кандидами выявляются положительные результаты определения антиманнана. </w:t>
      </w:r>
    </w:p>
    <w:p w14:paraId="489A18C8" w14:textId="77777777" w:rsidR="0034590E" w:rsidRPr="00BA4F0F" w:rsidRDefault="0034590E" w:rsidP="0034590E">
      <w:pPr>
        <w:pStyle w:val="1fe"/>
        <w:spacing w:beforeAutospacing="0" w:afterAutospacing="0" w:line="360" w:lineRule="auto"/>
        <w:ind w:firstLine="709"/>
        <w:jc w:val="both"/>
      </w:pPr>
    </w:p>
    <w:p w14:paraId="5AB59B81" w14:textId="77777777" w:rsidR="0034590E" w:rsidRPr="0004178E" w:rsidRDefault="0034590E" w:rsidP="0034590E">
      <w:pPr>
        <w:pStyle w:val="1fe"/>
        <w:spacing w:beforeAutospacing="0" w:afterAutospacing="0" w:line="360" w:lineRule="auto"/>
        <w:ind w:firstLine="709"/>
        <w:jc w:val="both"/>
        <w:rPr>
          <w:i/>
          <w:iCs/>
        </w:rPr>
      </w:pPr>
      <w:r w:rsidRPr="0004178E">
        <w:rPr>
          <w:i/>
          <w:iCs/>
        </w:rPr>
        <w:t>Антиген Cryptococcus (глюкуроноксиломаннан)</w:t>
      </w:r>
    </w:p>
    <w:p w14:paraId="041B7E75" w14:textId="77777777" w:rsidR="0034590E" w:rsidRPr="00BA4F0F" w:rsidRDefault="0034590E" w:rsidP="0034590E">
      <w:pPr>
        <w:pStyle w:val="1fe"/>
        <w:spacing w:beforeAutospacing="0" w:afterAutospacing="0" w:line="360" w:lineRule="auto"/>
        <w:ind w:firstLine="709"/>
        <w:jc w:val="both"/>
      </w:pPr>
      <w:r w:rsidRPr="00BA4F0F">
        <w:t xml:space="preserve">Обнаружение антигена Cryptococcus (глюкуроноксиломаннана) включено в критерии диагностики инвазивного криптоккоза. </w:t>
      </w:r>
    </w:p>
    <w:p w14:paraId="2DCEF2C5" w14:textId="77777777" w:rsidR="0034590E" w:rsidRPr="00BA4F0F" w:rsidRDefault="0034590E" w:rsidP="0034590E">
      <w:pPr>
        <w:pStyle w:val="1fe"/>
        <w:spacing w:beforeAutospacing="0" w:afterAutospacing="0" w:line="360" w:lineRule="auto"/>
        <w:ind w:firstLine="709"/>
        <w:jc w:val="both"/>
      </w:pPr>
      <w:r w:rsidRPr="00BA4F0F">
        <w:t xml:space="preserve">Образцы для исследования: </w:t>
      </w:r>
    </w:p>
    <w:p w14:paraId="7744461B" w14:textId="77777777" w:rsidR="0034590E" w:rsidRPr="00BA4F0F" w:rsidRDefault="0034590E" w:rsidP="00A72B1B">
      <w:pPr>
        <w:pStyle w:val="1fe"/>
        <w:numPr>
          <w:ilvl w:val="0"/>
          <w:numId w:val="81"/>
        </w:numPr>
        <w:spacing w:beforeAutospacing="0" w:afterAutospacing="0" w:line="360" w:lineRule="auto"/>
        <w:jc w:val="both"/>
      </w:pPr>
      <w:r w:rsidRPr="00BA4F0F">
        <w:t xml:space="preserve">кровь; </w:t>
      </w:r>
    </w:p>
    <w:p w14:paraId="11427226" w14:textId="77777777" w:rsidR="0034590E" w:rsidRPr="00BA4F0F" w:rsidRDefault="0034590E" w:rsidP="00A72B1B">
      <w:pPr>
        <w:pStyle w:val="1fe"/>
        <w:numPr>
          <w:ilvl w:val="0"/>
          <w:numId w:val="81"/>
        </w:numPr>
        <w:spacing w:beforeAutospacing="0" w:afterAutospacing="0" w:line="360" w:lineRule="auto"/>
        <w:jc w:val="both"/>
      </w:pPr>
      <w:r w:rsidRPr="00BA4F0F">
        <w:t xml:space="preserve">жидкость БАЛ; </w:t>
      </w:r>
    </w:p>
    <w:p w14:paraId="3D21C47E" w14:textId="77777777" w:rsidR="0034590E" w:rsidRPr="00BA4F0F" w:rsidRDefault="0034590E" w:rsidP="00A72B1B">
      <w:pPr>
        <w:pStyle w:val="1fe"/>
        <w:numPr>
          <w:ilvl w:val="0"/>
          <w:numId w:val="81"/>
        </w:numPr>
        <w:spacing w:beforeAutospacing="0" w:afterAutospacing="0" w:line="360" w:lineRule="auto"/>
        <w:jc w:val="both"/>
      </w:pPr>
      <w:r w:rsidRPr="00BA4F0F">
        <w:t xml:space="preserve">СМЖ; </w:t>
      </w:r>
    </w:p>
    <w:p w14:paraId="537BE173" w14:textId="77777777" w:rsidR="0034590E" w:rsidRPr="00BA4F0F" w:rsidRDefault="0034590E" w:rsidP="00A72B1B">
      <w:pPr>
        <w:pStyle w:val="1fe"/>
        <w:numPr>
          <w:ilvl w:val="0"/>
          <w:numId w:val="81"/>
        </w:numPr>
        <w:spacing w:beforeAutospacing="0" w:afterAutospacing="0" w:line="360" w:lineRule="auto"/>
        <w:jc w:val="both"/>
      </w:pPr>
      <w:r w:rsidRPr="00BA4F0F">
        <w:t xml:space="preserve">моча. </w:t>
      </w:r>
    </w:p>
    <w:p w14:paraId="5284E426" w14:textId="77777777" w:rsidR="0034590E" w:rsidRPr="00BA4F0F" w:rsidRDefault="0034590E" w:rsidP="0034590E">
      <w:pPr>
        <w:pStyle w:val="1fe"/>
        <w:spacing w:beforeAutospacing="0" w:afterAutospacing="0" w:line="360" w:lineRule="auto"/>
        <w:ind w:firstLine="709"/>
        <w:jc w:val="both"/>
      </w:pPr>
      <w:r w:rsidRPr="00BA4F0F">
        <w:t xml:space="preserve">Высокой чувствительностью и специфичностью обладает латекс-тест (анализ качественный - положительный или отрицательный). </w:t>
      </w:r>
    </w:p>
    <w:p w14:paraId="4F316ACF" w14:textId="77777777" w:rsidR="0034590E" w:rsidRPr="00BA4F0F" w:rsidRDefault="0034590E" w:rsidP="0034590E">
      <w:pPr>
        <w:pStyle w:val="1fe"/>
        <w:spacing w:beforeAutospacing="0" w:afterAutospacing="0" w:line="360" w:lineRule="auto"/>
        <w:ind w:firstLine="709"/>
        <w:jc w:val="both"/>
      </w:pPr>
      <w:r w:rsidRPr="00BA4F0F">
        <w:t xml:space="preserve">Показания к определению антигена Cryptococcus (глюкуроноксиломаннан): </w:t>
      </w:r>
    </w:p>
    <w:p w14:paraId="35DB5B58" w14:textId="77777777" w:rsidR="0034590E" w:rsidRPr="00BA4F0F" w:rsidRDefault="0034590E" w:rsidP="00A72B1B">
      <w:pPr>
        <w:pStyle w:val="1fe"/>
        <w:numPr>
          <w:ilvl w:val="0"/>
          <w:numId w:val="82"/>
        </w:numPr>
        <w:spacing w:beforeAutospacing="0" w:afterAutospacing="0" w:line="360" w:lineRule="auto"/>
        <w:jc w:val="both"/>
      </w:pPr>
      <w:r w:rsidRPr="00BA4F0F">
        <w:t xml:space="preserve">исследование всех первых образцов СМЖ при симптомах инфекции ЦНС у больных опухолями системы крови; </w:t>
      </w:r>
    </w:p>
    <w:p w14:paraId="3B4C1822" w14:textId="77777777" w:rsidR="0034590E" w:rsidRPr="00BA4F0F" w:rsidRDefault="0034590E" w:rsidP="00A72B1B">
      <w:pPr>
        <w:pStyle w:val="1fe"/>
        <w:numPr>
          <w:ilvl w:val="0"/>
          <w:numId w:val="82"/>
        </w:numPr>
        <w:spacing w:beforeAutospacing="0" w:afterAutospacing="0" w:line="360" w:lineRule="auto"/>
        <w:jc w:val="both"/>
      </w:pPr>
      <w:r w:rsidRPr="00BA4F0F">
        <w:t xml:space="preserve">исследование второго образца спинномозговой жидкости при некупируемой инфекции ЦНС; </w:t>
      </w:r>
    </w:p>
    <w:p w14:paraId="7146B008" w14:textId="77777777" w:rsidR="0034590E" w:rsidRPr="00BA4F0F" w:rsidRDefault="0034590E" w:rsidP="00A72B1B">
      <w:pPr>
        <w:pStyle w:val="1fe"/>
        <w:numPr>
          <w:ilvl w:val="0"/>
          <w:numId w:val="82"/>
        </w:numPr>
        <w:spacing w:beforeAutospacing="0" w:afterAutospacing="0" w:line="360" w:lineRule="auto"/>
        <w:jc w:val="both"/>
      </w:pPr>
      <w:r w:rsidRPr="00BA4F0F">
        <w:t xml:space="preserve">исследование антигена Cryptococcus (глюкуроноксиломаннан) в крови в случае предполагаемой криптококковой инфекции. </w:t>
      </w:r>
    </w:p>
    <w:p w14:paraId="3FDC2163" w14:textId="77777777" w:rsidR="0034590E" w:rsidRPr="00BA4F0F" w:rsidRDefault="0034590E" w:rsidP="0034590E">
      <w:pPr>
        <w:pStyle w:val="1fe"/>
        <w:spacing w:beforeAutospacing="0" w:afterAutospacing="0" w:line="360" w:lineRule="auto"/>
        <w:ind w:firstLine="709"/>
        <w:jc w:val="both"/>
      </w:pPr>
      <w:r w:rsidRPr="00BA4F0F">
        <w:t xml:space="preserve">Криптококкоз развивается, прежде всего, у больных с Т-клеточным иммунодефицитом (лимфома, хронический лимфолейкоз). Группу риска составляют </w:t>
      </w:r>
      <w:r w:rsidRPr="00BA4F0F">
        <w:lastRenderedPageBreak/>
        <w:t xml:space="preserve">больные, которые получают лечение глюкокортикоидами, флударабином, алемтузумабом, циклоспорином. </w:t>
      </w:r>
    </w:p>
    <w:p w14:paraId="7AF99DD1" w14:textId="77777777" w:rsidR="0034590E" w:rsidRPr="00BA4F0F" w:rsidRDefault="0034590E" w:rsidP="0034590E">
      <w:pPr>
        <w:pStyle w:val="1fe"/>
        <w:spacing w:beforeAutospacing="0" w:afterAutospacing="0" w:line="360" w:lineRule="auto"/>
        <w:rPr>
          <w:u w:val="single"/>
        </w:rPr>
      </w:pPr>
    </w:p>
    <w:p w14:paraId="5528465F" w14:textId="77777777" w:rsidR="0034590E" w:rsidRPr="0004178E" w:rsidRDefault="0034590E" w:rsidP="0034590E">
      <w:pPr>
        <w:pStyle w:val="1fe"/>
        <w:spacing w:beforeAutospacing="0" w:afterAutospacing="0" w:line="360" w:lineRule="auto"/>
        <w:ind w:firstLine="709"/>
        <w:jc w:val="both"/>
        <w:rPr>
          <w:i/>
          <w:iCs/>
        </w:rPr>
      </w:pPr>
      <w:r w:rsidRPr="0004178E">
        <w:rPr>
          <w:i/>
          <w:iCs/>
        </w:rPr>
        <w:t>Исследование крови на антитела к Мycoplasma pneumoniae (IgM, IgG), Chlamydia pneumoniae (IgM, IgG) в крови</w:t>
      </w:r>
    </w:p>
    <w:p w14:paraId="052096A3" w14:textId="77777777" w:rsidR="0034590E" w:rsidRPr="00BA4F0F" w:rsidRDefault="0034590E" w:rsidP="0034590E">
      <w:pPr>
        <w:pStyle w:val="1fe"/>
        <w:spacing w:beforeAutospacing="0" w:afterAutospacing="0" w:line="360" w:lineRule="auto"/>
        <w:ind w:firstLine="709"/>
        <w:jc w:val="both"/>
      </w:pPr>
      <w:r w:rsidRPr="00BA4F0F">
        <w:t xml:space="preserve">Показания — пневмония. </w:t>
      </w:r>
    </w:p>
    <w:p w14:paraId="4E3FA2D0" w14:textId="77777777" w:rsidR="0034590E" w:rsidRPr="00BA4F0F" w:rsidRDefault="0034590E" w:rsidP="0034590E">
      <w:pPr>
        <w:pStyle w:val="1fe"/>
        <w:spacing w:beforeAutospacing="0" w:afterAutospacing="0" w:line="360" w:lineRule="auto"/>
        <w:ind w:firstLine="709"/>
        <w:jc w:val="both"/>
      </w:pPr>
      <w:r w:rsidRPr="00BA4F0F">
        <w:t xml:space="preserve">При положительных результатах определения IgG и наличии лихорадки исследование повторяют через 10—14 дней. </w:t>
      </w:r>
    </w:p>
    <w:p w14:paraId="7A55D6DB" w14:textId="77777777" w:rsidR="0034590E" w:rsidRPr="00BA4F0F" w:rsidRDefault="0034590E" w:rsidP="0034590E">
      <w:pPr>
        <w:pStyle w:val="1fe"/>
        <w:spacing w:beforeAutospacing="0" w:afterAutospacing="0" w:line="360" w:lineRule="auto"/>
        <w:ind w:firstLine="709"/>
        <w:jc w:val="both"/>
      </w:pPr>
    </w:p>
    <w:p w14:paraId="4A2092D5" w14:textId="77777777" w:rsidR="0034590E" w:rsidRPr="0004178E" w:rsidRDefault="0034590E" w:rsidP="0034590E">
      <w:pPr>
        <w:pStyle w:val="1fe"/>
        <w:spacing w:beforeAutospacing="0" w:afterAutospacing="0" w:line="360" w:lineRule="auto"/>
        <w:ind w:firstLine="709"/>
        <w:jc w:val="both"/>
        <w:rPr>
          <w:i/>
          <w:iCs/>
        </w:rPr>
      </w:pPr>
      <w:r w:rsidRPr="0004178E">
        <w:rPr>
          <w:i/>
          <w:iCs/>
        </w:rPr>
        <w:t>МРТ головного мозга</w:t>
      </w:r>
    </w:p>
    <w:p w14:paraId="5EADD835" w14:textId="77777777" w:rsidR="0034590E" w:rsidRPr="00BA4F0F" w:rsidRDefault="0034590E" w:rsidP="0034590E">
      <w:pPr>
        <w:pStyle w:val="1fe"/>
        <w:spacing w:beforeAutospacing="0" w:afterAutospacing="0" w:line="360" w:lineRule="auto"/>
        <w:ind w:firstLine="709"/>
        <w:jc w:val="both"/>
      </w:pPr>
      <w:r w:rsidRPr="00BA4F0F">
        <w:t xml:space="preserve">Показания – появление неврологической симптоматики, симптомов менингита. Развитие на фоне фебрильной нейтропении мозговой симптоматики. </w:t>
      </w:r>
    </w:p>
    <w:p w14:paraId="4E4C597F" w14:textId="77777777" w:rsidR="0034590E" w:rsidRPr="00BA4F0F" w:rsidRDefault="0034590E" w:rsidP="0034590E">
      <w:pPr>
        <w:pStyle w:val="1fe"/>
        <w:spacing w:beforeAutospacing="0" w:afterAutospacing="0" w:line="360" w:lineRule="auto"/>
        <w:ind w:firstLine="709"/>
        <w:jc w:val="both"/>
      </w:pPr>
      <w:r w:rsidRPr="00BA4F0F">
        <w:t xml:space="preserve">При выявлении очага (очагов) в веществе головного мозга необходимо выполнение люмбальной пункции с последующими цитологическим и микробиологическими исследованиями. </w:t>
      </w:r>
    </w:p>
    <w:p w14:paraId="62123AB8" w14:textId="77777777" w:rsidR="0034590E" w:rsidRPr="00BA4F0F" w:rsidRDefault="0034590E" w:rsidP="0034590E">
      <w:pPr>
        <w:pStyle w:val="1fe"/>
        <w:spacing w:beforeAutospacing="0" w:afterAutospacing="0" w:line="360" w:lineRule="auto"/>
        <w:ind w:firstLine="709"/>
        <w:jc w:val="both"/>
        <w:rPr>
          <w:u w:val="single"/>
        </w:rPr>
      </w:pPr>
    </w:p>
    <w:p w14:paraId="7063A006" w14:textId="77777777" w:rsidR="0034590E" w:rsidRPr="0004178E" w:rsidRDefault="0034590E" w:rsidP="0034590E">
      <w:pPr>
        <w:pStyle w:val="1fe"/>
        <w:spacing w:beforeAutospacing="0" w:afterAutospacing="0" w:line="360" w:lineRule="auto"/>
        <w:ind w:firstLine="709"/>
        <w:jc w:val="both"/>
        <w:rPr>
          <w:i/>
          <w:iCs/>
        </w:rPr>
      </w:pPr>
      <w:r w:rsidRPr="0004178E">
        <w:rPr>
          <w:i/>
          <w:iCs/>
        </w:rPr>
        <w:t>Ультразвуковое исследование или компьютерная томография органов брюшной полости</w:t>
      </w:r>
    </w:p>
    <w:p w14:paraId="38FEF7B2" w14:textId="77777777" w:rsidR="0034590E" w:rsidRPr="00BA4F0F" w:rsidRDefault="0034590E" w:rsidP="0034590E">
      <w:pPr>
        <w:pStyle w:val="1fe"/>
        <w:spacing w:beforeAutospacing="0" w:afterAutospacing="0" w:line="360" w:lineRule="auto"/>
        <w:ind w:firstLine="709"/>
        <w:jc w:val="both"/>
      </w:pPr>
      <w:r w:rsidRPr="00BA4F0F">
        <w:t>Показания — сохраняющаяся лихорадка (колебания температуры в течение суток от 37 до 39°С) при восстановлении числа нейтрофилов (число гранулоцитов &gt; 0,5 × 10</w:t>
      </w:r>
      <w:r w:rsidRPr="00BA4F0F">
        <w:rPr>
          <w:vertAlign w:val="superscript"/>
        </w:rPr>
        <w:t>9</w:t>
      </w:r>
      <w:r w:rsidRPr="00BA4F0F">
        <w:t xml:space="preserve"> /л). </w:t>
      </w:r>
    </w:p>
    <w:p w14:paraId="287148B3" w14:textId="77777777" w:rsidR="0034590E" w:rsidRPr="00BA4F0F" w:rsidRDefault="0034590E" w:rsidP="0034590E">
      <w:pPr>
        <w:pStyle w:val="1fe"/>
        <w:spacing w:beforeAutospacing="0" w:afterAutospacing="0" w:line="360" w:lineRule="auto"/>
        <w:ind w:firstLine="709"/>
        <w:jc w:val="both"/>
      </w:pPr>
      <w:r w:rsidRPr="00BA4F0F">
        <w:t xml:space="preserve">УЗИ и КТ при гепатолиенальном кандидозе не являются взаимоисключающими диагностическими процедурами. У части больных очаги в печени и/или селезенке могут быть обнаружены только при УЗИ, у других — только при КТ. Наибольшее диагностическое значение имеет МРТ печени и селезенки. </w:t>
      </w:r>
    </w:p>
    <w:p w14:paraId="1CFEB71F" w14:textId="77777777" w:rsidR="0034590E" w:rsidRPr="00BA4F0F" w:rsidRDefault="0034590E" w:rsidP="0034590E">
      <w:pPr>
        <w:pStyle w:val="1fe"/>
        <w:spacing w:beforeAutospacing="0" w:afterAutospacing="0" w:line="360" w:lineRule="auto"/>
        <w:ind w:firstLine="709"/>
        <w:jc w:val="both"/>
      </w:pPr>
      <w:r w:rsidRPr="00BA4F0F">
        <w:t>При диагностике гепатолиенального кандидоза контрольное исследование проводят не ранее чем через 3—4 недели терапии системными противогрибковыми препаратами ввиду крайне медленной регрессии очагов.</w:t>
      </w:r>
    </w:p>
    <w:p w14:paraId="72C3EDA9" w14:textId="77777777" w:rsidR="0034590E" w:rsidRPr="00BA4F0F" w:rsidRDefault="0034590E" w:rsidP="0034590E">
      <w:pPr>
        <w:pStyle w:val="1fe"/>
        <w:spacing w:beforeAutospacing="0" w:afterAutospacing="0" w:line="360" w:lineRule="auto"/>
        <w:ind w:firstLine="709"/>
        <w:jc w:val="both"/>
      </w:pPr>
      <w:r w:rsidRPr="00BA4F0F">
        <w:t>Оценивать состояние очагов (размеры, плотность) в печени и селезенке необходимо всегда при числе гранулоцитов &gt; 0,5 × 10</w:t>
      </w:r>
      <w:r w:rsidRPr="00BA4F0F">
        <w:rPr>
          <w:vertAlign w:val="superscript"/>
        </w:rPr>
        <w:t>9</w:t>
      </w:r>
      <w:r w:rsidRPr="00BA4F0F">
        <w:t xml:space="preserve"> /л. Проведение исследования в период нейтропении дает ложную информацию о меньшем размере очагов. </w:t>
      </w:r>
    </w:p>
    <w:p w14:paraId="61815E95" w14:textId="77777777" w:rsidR="0034590E" w:rsidRPr="00BA4F0F" w:rsidRDefault="0034590E" w:rsidP="0034590E">
      <w:pPr>
        <w:pStyle w:val="1fe"/>
        <w:spacing w:beforeAutospacing="0" w:afterAutospacing="0" w:line="360" w:lineRule="auto"/>
        <w:ind w:firstLine="709"/>
        <w:jc w:val="both"/>
        <w:rPr>
          <w:u w:val="single"/>
        </w:rPr>
      </w:pPr>
    </w:p>
    <w:p w14:paraId="3B167370" w14:textId="77777777" w:rsidR="0034590E" w:rsidRPr="0004178E" w:rsidRDefault="0034590E" w:rsidP="0034590E">
      <w:pPr>
        <w:pStyle w:val="1fe"/>
        <w:spacing w:beforeAutospacing="0" w:afterAutospacing="0" w:line="360" w:lineRule="auto"/>
        <w:ind w:firstLine="709"/>
        <w:jc w:val="both"/>
        <w:rPr>
          <w:i/>
          <w:iCs/>
        </w:rPr>
      </w:pPr>
      <w:r w:rsidRPr="0004178E">
        <w:rPr>
          <w:i/>
          <w:iCs/>
        </w:rPr>
        <w:t>Дополнительные исследования</w:t>
      </w:r>
    </w:p>
    <w:p w14:paraId="67576C72" w14:textId="77777777" w:rsidR="0034590E" w:rsidRPr="00BA4F0F" w:rsidRDefault="0034590E" w:rsidP="0034590E">
      <w:pPr>
        <w:pStyle w:val="1fe"/>
        <w:spacing w:beforeAutospacing="0" w:afterAutospacing="0" w:line="360" w:lineRule="auto"/>
        <w:ind w:firstLine="709"/>
        <w:jc w:val="both"/>
      </w:pPr>
      <w:r w:rsidRPr="00BA4F0F">
        <w:t xml:space="preserve">В случае внезапно развившейся нейтропении или тромбоцитопении либо длительно существующей необъяснимой нейтропении или тромбоцитопении необходимо провести </w:t>
      </w:r>
      <w:r w:rsidRPr="00BA4F0F">
        <w:lastRenderedPageBreak/>
        <w:t>исследования на ЦМВ (определение ДНК ЦМВ в крови), особенно у больных лифопролиферативными заболеваниями, а также у пациентов, длительно принимавших глюкокортикоиды.</w:t>
      </w:r>
    </w:p>
    <w:p w14:paraId="1FE84CAC" w14:textId="77777777" w:rsidR="0034590E" w:rsidRPr="00BA4F0F" w:rsidRDefault="0034590E" w:rsidP="0034590E">
      <w:pPr>
        <w:pStyle w:val="1fe"/>
        <w:spacing w:beforeAutospacing="0" w:afterAutospacing="0" w:line="360" w:lineRule="auto"/>
        <w:ind w:firstLine="709"/>
        <w:jc w:val="both"/>
      </w:pPr>
      <w:r w:rsidRPr="00BA4F0F">
        <w:t xml:space="preserve">При тяжелой инфекции, особенно при бактериемии, может изменяться содержание С-реактивного белка, интерлейкинов (ИЛ-6, ИЛ-8) и прокальцитонина. Однако повышение этих маркеров происходит не всегда, особенно при вирусной или грибковой инфекции. Обнаружение биологически активных соединений в крови или повышение их уровня не является основанием для назначения антимикробных препаратов или изменения терапии инфекционных осложнений при стабильной клинической ситуации в период нейтропении. Не следует определять прокальцитонин и другие маркеры в первые часы повышения температуры, так как в любом случае при фебрильной нейтропении будет назначен антибиотик, и значения прокальцитонина не влияют на выбор антимикробного препарата. </w:t>
      </w:r>
    </w:p>
    <w:p w14:paraId="2DD2349B" w14:textId="77777777" w:rsidR="0034590E" w:rsidRPr="00BA4F0F" w:rsidRDefault="0034590E" w:rsidP="0034590E">
      <w:pPr>
        <w:pStyle w:val="1fe"/>
        <w:spacing w:beforeAutospacing="0" w:afterAutospacing="0" w:line="360" w:lineRule="auto"/>
        <w:ind w:firstLine="709"/>
        <w:jc w:val="both"/>
        <w:rPr>
          <w:u w:val="single"/>
        </w:rPr>
      </w:pPr>
    </w:p>
    <w:p w14:paraId="7438FB24" w14:textId="77777777" w:rsidR="0034590E" w:rsidRPr="00BA4F0F" w:rsidRDefault="0034590E" w:rsidP="0034590E">
      <w:pPr>
        <w:pStyle w:val="1fe"/>
        <w:spacing w:beforeAutospacing="0" w:afterAutospacing="0" w:line="360" w:lineRule="auto"/>
        <w:ind w:firstLine="709"/>
        <w:jc w:val="both"/>
        <w:rPr>
          <w:u w:val="single"/>
        </w:rPr>
      </w:pPr>
      <w:r w:rsidRPr="00BA4F0F">
        <w:rPr>
          <w:u w:val="single"/>
        </w:rPr>
        <w:t>Профилактика инфекционных осложнений</w:t>
      </w:r>
    </w:p>
    <w:p w14:paraId="4907964E" w14:textId="35172486" w:rsidR="0034590E" w:rsidRPr="00C40CBC" w:rsidRDefault="0034590E" w:rsidP="0034590E">
      <w:pPr>
        <w:pStyle w:val="1fe"/>
        <w:spacing w:beforeAutospacing="0" w:afterAutospacing="0" w:line="360" w:lineRule="auto"/>
        <w:ind w:firstLine="709"/>
        <w:jc w:val="both"/>
        <w:rPr>
          <w:i/>
          <w:iCs/>
        </w:rPr>
      </w:pPr>
      <w:r w:rsidRPr="00C40CBC">
        <w:rPr>
          <w:i/>
          <w:iCs/>
        </w:rPr>
        <w:t xml:space="preserve">Противогрибковая профилактика </w:t>
      </w:r>
      <w:r w:rsidRPr="00C40CBC">
        <w:rPr>
          <w:i/>
          <w:iCs/>
        </w:rPr>
        <w:fldChar w:fldCharType="begin" w:fldLock="1"/>
      </w:r>
      <w:r w:rsidR="00F44253">
        <w:rPr>
          <w:i/>
          <w:iCs/>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2cd270b2-efaf-4da9-a95d-66324661ea35","http://www.mendeley.com/documents/?uuid=fe583573-532c-46dc-b4f4-f9d01345e27c","http://www.mendeley.com/documents/?uuid=26da25a5-bd21-4509-8e88-e4e6744fab98","http://www.mendeley.com/documents/?uuid=a1e2f5d6-ef05-4351-9481-13fad4fd103b","http://www.mendeley.com/documents/?uuid=478d6ce1-e425-4912-87db-adfee39f1ce9","http://www.mendeley.com/documents/?uuid=9cac36ab-7685-4894-b1cb-f141a1797526","http://www.mendeley.com/documents/?uuid=c0eae3a3-34ee-40e1-8813-566cb7fa2b4a"]}],"mendeley":{"formattedCitation":"[140]","plainTextFormattedCitation":"[140]","previouslyFormattedCitation":"[140]"},"properties":{"noteIndex":0},"schema":"https://github.com/citation-style-language/schema/raw/master/csl-citation.json"}</w:instrText>
      </w:r>
      <w:r w:rsidRPr="00C40CBC">
        <w:rPr>
          <w:i/>
          <w:iCs/>
        </w:rPr>
        <w:fldChar w:fldCharType="separate"/>
      </w:r>
      <w:r w:rsidR="004D13EB" w:rsidRPr="004D13EB">
        <w:rPr>
          <w:iCs/>
          <w:noProof/>
        </w:rPr>
        <w:t>[140]</w:t>
      </w:r>
      <w:r w:rsidRPr="00C40CBC">
        <w:rPr>
          <w:i/>
          <w:iCs/>
        </w:rPr>
        <w:fldChar w:fldCharType="end"/>
      </w:r>
    </w:p>
    <w:p w14:paraId="431DFC7C" w14:textId="77777777" w:rsidR="0034590E" w:rsidRPr="00BA4F0F" w:rsidRDefault="0034590E" w:rsidP="0034590E">
      <w:pPr>
        <w:pStyle w:val="1fe"/>
        <w:spacing w:beforeAutospacing="0" w:afterAutospacing="0" w:line="360" w:lineRule="auto"/>
        <w:ind w:firstLine="709"/>
        <w:jc w:val="both"/>
      </w:pPr>
      <w:r w:rsidRPr="00BA4F0F">
        <w:t>Проводится пациентам с отягощенным анамнезом (острый диссеминированный кандидоз, хронический диссеминированный кандидоз, мукормикоз или инвазивный аспергиллез).</w:t>
      </w:r>
    </w:p>
    <w:p w14:paraId="706C0C31" w14:textId="77777777" w:rsidR="0034590E" w:rsidRPr="00BA4F0F" w:rsidRDefault="0034590E" w:rsidP="0034590E">
      <w:pPr>
        <w:pStyle w:val="1fe"/>
        <w:spacing w:beforeAutospacing="0" w:afterAutospacing="0" w:line="360" w:lineRule="auto"/>
        <w:ind w:firstLine="709"/>
        <w:jc w:val="both"/>
      </w:pPr>
      <w:r w:rsidRPr="00BA4F0F">
        <w:t xml:space="preserve">Назначают препарат, при использовании которого было достигнуто излечение от инвазивного микоза. </w:t>
      </w:r>
    </w:p>
    <w:p w14:paraId="7C1CAA42" w14:textId="77777777" w:rsidR="0034590E" w:rsidRPr="00BA4F0F" w:rsidRDefault="0034590E" w:rsidP="0034590E">
      <w:pPr>
        <w:pStyle w:val="1fe"/>
        <w:spacing w:beforeAutospacing="0" w:afterAutospacing="0" w:line="360" w:lineRule="auto"/>
        <w:ind w:firstLine="709"/>
        <w:jc w:val="both"/>
      </w:pPr>
      <w:r w:rsidRPr="00BA4F0F">
        <w:t>Пациенты с наличием в анамнезе острого или хронического диссеминированного кандидоза (обычно один препарат из перечня):</w:t>
      </w:r>
    </w:p>
    <w:p w14:paraId="72BCACEB" w14:textId="77777777" w:rsidR="0034590E" w:rsidRPr="00BA4F0F" w:rsidRDefault="0034590E" w:rsidP="00A72B1B">
      <w:pPr>
        <w:pStyle w:val="1fe"/>
        <w:numPr>
          <w:ilvl w:val="0"/>
          <w:numId w:val="83"/>
        </w:numPr>
        <w:spacing w:beforeAutospacing="0" w:afterAutospacing="0" w:line="360" w:lineRule="auto"/>
        <w:jc w:val="both"/>
      </w:pPr>
      <w:r w:rsidRPr="00BA4F0F">
        <w:t>Флуконазол, по 400 мг в сутки, внутривенно или внутрь.</w:t>
      </w:r>
    </w:p>
    <w:p w14:paraId="4B42B8D1" w14:textId="77777777" w:rsidR="0034590E" w:rsidRPr="00BA4F0F" w:rsidRDefault="0034590E" w:rsidP="00A72B1B">
      <w:pPr>
        <w:pStyle w:val="1fe"/>
        <w:numPr>
          <w:ilvl w:val="0"/>
          <w:numId w:val="83"/>
        </w:numPr>
        <w:spacing w:beforeAutospacing="0" w:afterAutospacing="0" w:line="360" w:lineRule="auto"/>
        <w:jc w:val="both"/>
      </w:pPr>
      <w:r w:rsidRPr="00BA4F0F">
        <w:t>Каспофунгин, по 50 мг в сутки внутривенно.</w:t>
      </w:r>
    </w:p>
    <w:p w14:paraId="59B91718" w14:textId="77777777" w:rsidR="0034590E" w:rsidRPr="00BA4F0F" w:rsidRDefault="0034590E" w:rsidP="00A72B1B">
      <w:pPr>
        <w:pStyle w:val="1fe"/>
        <w:numPr>
          <w:ilvl w:val="0"/>
          <w:numId w:val="83"/>
        </w:numPr>
        <w:spacing w:beforeAutospacing="0" w:afterAutospacing="0" w:line="360" w:lineRule="auto"/>
        <w:jc w:val="both"/>
      </w:pPr>
      <w:r w:rsidRPr="00BA4F0F">
        <w:t>Микафунгин, по 100 мг в сутки внутривенно.</w:t>
      </w:r>
    </w:p>
    <w:p w14:paraId="2CB7E683" w14:textId="77777777" w:rsidR="0034590E" w:rsidRPr="00BA4F0F" w:rsidRDefault="0034590E" w:rsidP="00A72B1B">
      <w:pPr>
        <w:pStyle w:val="1fe"/>
        <w:numPr>
          <w:ilvl w:val="0"/>
          <w:numId w:val="83"/>
        </w:numPr>
        <w:spacing w:beforeAutospacing="0" w:afterAutospacing="0" w:line="360" w:lineRule="auto"/>
        <w:jc w:val="both"/>
      </w:pPr>
      <w:r w:rsidRPr="00BA4F0F">
        <w:t>Анидулафунгин, по 100 мг в сутки внутривенно.</w:t>
      </w:r>
    </w:p>
    <w:p w14:paraId="2612ED8F" w14:textId="77777777" w:rsidR="0034590E" w:rsidRPr="00BA4F0F" w:rsidRDefault="0034590E" w:rsidP="0034590E">
      <w:pPr>
        <w:pStyle w:val="1fe"/>
        <w:spacing w:beforeAutospacing="0" w:afterAutospacing="0" w:line="360" w:lineRule="auto"/>
        <w:ind w:firstLine="709"/>
        <w:jc w:val="both"/>
      </w:pPr>
      <w:r w:rsidRPr="00BA4F0F">
        <w:t>Пациенты с наличием в анамнезе инвазивного аспергиллеза (обычно один препарат из перечня):</w:t>
      </w:r>
    </w:p>
    <w:p w14:paraId="3F3042BE" w14:textId="77777777" w:rsidR="0034590E" w:rsidRPr="00BA4F0F" w:rsidRDefault="0034590E" w:rsidP="00A72B1B">
      <w:pPr>
        <w:pStyle w:val="1fe"/>
        <w:numPr>
          <w:ilvl w:val="0"/>
          <w:numId w:val="84"/>
        </w:numPr>
        <w:spacing w:beforeAutospacing="0" w:afterAutospacing="0" w:line="360" w:lineRule="auto"/>
        <w:jc w:val="both"/>
      </w:pPr>
      <w:r w:rsidRPr="00BA4F0F">
        <w:t>Вориконазол, по 200 мг 2 раза в сутки внутрь (в таблетках, натощак) или внутривенно.</w:t>
      </w:r>
    </w:p>
    <w:p w14:paraId="397D4AEA" w14:textId="77777777" w:rsidR="0034590E" w:rsidRPr="00BA4F0F" w:rsidRDefault="0034590E" w:rsidP="00A72B1B">
      <w:pPr>
        <w:pStyle w:val="1fe"/>
        <w:numPr>
          <w:ilvl w:val="0"/>
          <w:numId w:val="84"/>
        </w:numPr>
        <w:spacing w:beforeAutospacing="0" w:afterAutospacing="0" w:line="360" w:lineRule="auto"/>
        <w:jc w:val="both"/>
      </w:pPr>
      <w:r w:rsidRPr="00BA4F0F">
        <w:t>Позаконазол (суспензия), по 200 мг 3 раза в сутки внутрь (после еды).</w:t>
      </w:r>
    </w:p>
    <w:p w14:paraId="16AFCF53" w14:textId="77777777" w:rsidR="0034590E" w:rsidRPr="00BA4F0F" w:rsidRDefault="0034590E" w:rsidP="00A72B1B">
      <w:pPr>
        <w:pStyle w:val="1fe"/>
        <w:numPr>
          <w:ilvl w:val="0"/>
          <w:numId w:val="84"/>
        </w:numPr>
        <w:spacing w:beforeAutospacing="0" w:afterAutospacing="0" w:line="360" w:lineRule="auto"/>
        <w:jc w:val="both"/>
      </w:pPr>
      <w:r w:rsidRPr="00BA4F0F">
        <w:t>Итраконазол (суспензия), по 200 мг 2 раза в сутки внутрь (натощак).</w:t>
      </w:r>
    </w:p>
    <w:p w14:paraId="71B14E3C" w14:textId="77777777" w:rsidR="0034590E" w:rsidRPr="00BA4F0F" w:rsidRDefault="0034590E" w:rsidP="00A72B1B">
      <w:pPr>
        <w:pStyle w:val="1fe"/>
        <w:numPr>
          <w:ilvl w:val="0"/>
          <w:numId w:val="84"/>
        </w:numPr>
        <w:spacing w:beforeAutospacing="0" w:afterAutospacing="0" w:line="360" w:lineRule="auto"/>
        <w:jc w:val="both"/>
      </w:pPr>
      <w:r w:rsidRPr="00BA4F0F">
        <w:t>Пациенты с наличием в анамнезе мукормикоза:</w:t>
      </w:r>
    </w:p>
    <w:p w14:paraId="3A133EA5" w14:textId="77777777" w:rsidR="0034590E" w:rsidRPr="00BA4F0F" w:rsidRDefault="0034590E" w:rsidP="00A72B1B">
      <w:pPr>
        <w:pStyle w:val="1fe"/>
        <w:numPr>
          <w:ilvl w:val="0"/>
          <w:numId w:val="84"/>
        </w:numPr>
        <w:spacing w:beforeAutospacing="0" w:afterAutospacing="0" w:line="360" w:lineRule="auto"/>
        <w:jc w:val="both"/>
      </w:pPr>
      <w:r w:rsidRPr="00BA4F0F">
        <w:t xml:space="preserve">Позаконазол (суспензия), по 200 мг 3 раза в сутки внутрь (после еды). </w:t>
      </w:r>
    </w:p>
    <w:p w14:paraId="0F571AAF" w14:textId="77777777" w:rsidR="0034590E" w:rsidRPr="00BA4F0F" w:rsidRDefault="0034590E" w:rsidP="0034590E">
      <w:pPr>
        <w:pStyle w:val="1fe"/>
        <w:spacing w:beforeAutospacing="0" w:afterAutospacing="0" w:line="360" w:lineRule="auto"/>
      </w:pPr>
    </w:p>
    <w:p w14:paraId="1BA75DC7" w14:textId="3B87521A" w:rsidR="0034590E" w:rsidRPr="00C40CBC" w:rsidRDefault="0034590E" w:rsidP="0034590E">
      <w:pPr>
        <w:pStyle w:val="1fe"/>
        <w:spacing w:beforeAutospacing="0" w:afterAutospacing="0" w:line="360" w:lineRule="auto"/>
        <w:ind w:firstLine="709"/>
        <w:jc w:val="both"/>
        <w:rPr>
          <w:i/>
          <w:iCs/>
        </w:rPr>
      </w:pPr>
      <w:r w:rsidRPr="00C40CBC">
        <w:rPr>
          <w:i/>
          <w:iCs/>
        </w:rPr>
        <w:t xml:space="preserve">Противовирусная профилактика </w:t>
      </w:r>
      <w:r w:rsidRPr="00C40CBC">
        <w:rPr>
          <w:i/>
          <w:iCs/>
        </w:rPr>
        <w:fldChar w:fldCharType="begin" w:fldLock="1"/>
      </w:r>
      <w:r w:rsidR="00F44253">
        <w:rPr>
          <w:i/>
          <w:iCs/>
        </w:rPr>
        <w:instrText>ADDIN CSL_CITATION {"citationItems":[{"id":"ITEM-1","itemData":{"DOI":"10.3324/haematol.2014.117176","ISSN":"15928721","PMID":"26432383","abstract":"The European Myeloma Network provides recommendations for the management of the most common complications of multiple myeloma. Whole body low-dose computed tomography is more sensitive than conventional radiography in depicting osteolytic disease and thus we recommend it as the novel standard for the detection of lytic lesions in myeloma (grade 1A). Myeloma patients with adequate renal function and bone disease at diagnosis should be treated with zoledronic acid or pamidronate (grade 1A). Symptomatic patients without lytic lesions on conventional radiography can be treated with zoledronic acid (grade 1B), but its advantage is not clear for patients with no bone involvement on computed tomography or magnetic resonance imaging. In asymptomatic myeloma, bisphosphonates are not recommended (grade 1A). Zoledronic acid should be given continuously, but it is not clear if patients who achieve at least a very good partial response benefit from its continuous use (grade 1B). Treatment with erythropoietic-stimulating agents may be initiated in patients with persistent symptomatic anemia (hemoglobin &lt;10g/dL) in whom other causes of anemia have been excluded (grade 1B). Erythropoietic agents should be stopped after 6-8 weeks if no adequate hemoglobin response is achieved. For renal impairment, bortezomib-based regimens are the current standard of care (grade 1A). For the management of treatment-induced peripheral neuropathy, drug modification is needed (grade 1C). Vaccination against influenza is recommended; vaccination against streptococcus pneumonia and hemophilus influenza is appropriate, but efficacy is not guaranteed due to suboptimal immune response (grade 1C). Prophylactic aciclovir (or valacyclovir) is recommended for patients receiving proteasome inhibitors, autologous or allogeneic transplantation (grade 1A).","author":[{"dropping-particle":"","family":"Terpos","given":"Evangelos","non-dropping-particle":"","parse-names":false,"suffix":""},{"dropping-particle":"","family":"Kleber","given":"Martina","non-dropping-particle":"","parse-names":false,"suffix":""},{"dropping-particle":"","family":"Engelhardt","given":"Monika","non-dropping-particle":"","parse-names":false,"suffix":""},{"dropping-particle":"","family":"Zweegman","given":"Sonja","non-dropping-particle":"","parse-names":false,"suffix":""},{"dropping-particle":"","family":"Gay","given":"Francesca","non-dropping-particle":"","parse-names":false,"suffix":""},{"dropping-particle":"","family":"Kastritis","given":"Efstathios","non-dropping-particle":"","parse-names":false,"suffix":""},{"dropping-particle":"","family":"Donk","given":"Niels W.C.J.","non-dropping-particle":"van de","parse-names":false,"suffix":""},{"dropping-particle":"","family":"Bruno","given":"Benedetto","non-dropping-particle":"","parse-names":false,"suffix":""},{"dropping-particle":"","family":"Sezer","given":"Orhan","non-dropping-particle":"","parse-names":false,"suffix":""},{"dropping-particle":"","family":"Broij","given":"Annemiek","non-dropping-particle":"","parse-names":false,"suffix":""},{"dropping-particle":"","family":"Bringhen","given":"Sara","non-dropping-particle":"","parse-names":false,"suffix":""},{"dropping-particle":"","family":"Beksac","given":"Meral","non-dropping-particle":"","parse-names":false,"suffix":""},{"dropping-particle":"","family":"Larocca","given":"Alessandra","non-dropping-particle":"","parse-names":false,"suffix":""},{"dropping-particle":"","family":"Hajek","given":"Roman","non-dropping-particle":"","parse-names":false,"suffix":""},{"dropping-particle":"","family":"Musto","given":"Pellegrino","non-dropping-particle":"","parse-names":false,"suffix":""},{"dropping-particle":"","family":"Johnsen","given":"Hans Erik","non-dropping-particle":"","parse-names":false,"suffix":""},{"dropping-particle":"","family":"Morabito","given":"Fortunato","non-dropping-particle":"","parse-names":false,"suffix":""},{"dropping-particle":"","family":"Ludwig","given":"Heinz","non-dropping-particle":"","parse-names":false,"suffix":""},{"dropping-particle":"","family":"Cavo","given":"Michele","non-dropping-particle":"","parse-names":false,"suffix":""},{"dropping-particle":"","family":"Einsele","given":"Hermann","non-dropping-particle":"","parse-names":false,"suffix":""},{"dropping-particle":"","family":"Sonneveld","given":"Pieter","non-dropping-particle":"","parse-names":false,"suffix":""},{"dropping-particle":"","family":"Dimopoulos","given":"Meletios A.","non-dropping-particle":"","parse-names":false,"suffix":""},{"dropping-particle":"","family":"Palumbo","given":"Antonio","non-dropping-particle":"","parse-names":false,"suffix":""}],"container-title":"Haematologica","id":"ITEM-1","issue":"10","issued":{"date-parts":[["2015","10"]]},"page":"1254-1266","publisher":"Ferrata Storti Foundation","title":"European myeloma network guidelines for the management of multiple myeloma-related complications","type":"article-journal","volume":"100"},"uris":["http://www.mendeley.com/documents/?uuid=aac7b897-8190-3c23-bc91-e35f2f0c34c2","http://www.mendeley.com/documents/?uuid=d764576b-b83c-433d-b5a2-7dad0d44d988","http://www.mendeley.com/documents/?uuid=ee597520-c0cc-44d1-88eb-388774bd8550","http://www.mendeley.com/documents/?uuid=c0612fc3-d7f0-4ab2-9abe-e086965714f4","http://www.mendeley.com/documents/?uuid=6d6938c8-1c2d-40c8-b1d1-d79df765c05d","http://www.mendeley.com/documents/?uuid=37f5270f-10ba-4092-bf91-5d27dd1c06ee","http://www.mendeley.com/documents/?uuid=b5a58553-9f9f-4514-b08b-dacb77967682","http://www.mendeley.com/documents/?uuid=a2dc2d73-6f14-4a34-af5c-17ae34364204"]}],"mendeley":{"formattedCitation":"[141]","plainTextFormattedCitation":"[141]","previouslyFormattedCitation":"[141]"},"properties":{"noteIndex":0},"schema":"https://github.com/citation-style-language/schema/raw/master/csl-citation.json"}</w:instrText>
      </w:r>
      <w:r w:rsidRPr="00C40CBC">
        <w:rPr>
          <w:i/>
          <w:iCs/>
        </w:rPr>
        <w:fldChar w:fldCharType="separate"/>
      </w:r>
      <w:r w:rsidR="004D13EB" w:rsidRPr="004D13EB">
        <w:rPr>
          <w:iCs/>
          <w:noProof/>
        </w:rPr>
        <w:t>[141]</w:t>
      </w:r>
      <w:r w:rsidRPr="00C40CBC">
        <w:rPr>
          <w:i/>
          <w:iCs/>
        </w:rPr>
        <w:fldChar w:fldCharType="end"/>
      </w:r>
    </w:p>
    <w:p w14:paraId="7EC56997" w14:textId="77777777" w:rsidR="0034590E" w:rsidRPr="00BA4F0F" w:rsidRDefault="0034590E" w:rsidP="0034590E">
      <w:pPr>
        <w:pStyle w:val="1fe"/>
        <w:spacing w:beforeAutospacing="0" w:afterAutospacing="0" w:line="360" w:lineRule="auto"/>
        <w:ind w:firstLine="709"/>
        <w:jc w:val="both"/>
      </w:pPr>
      <w:r w:rsidRPr="00BA4F0F">
        <w:t xml:space="preserve">Показана пациентам, имеющим отягощенный анамнез (частые, рецидивирующие эпизоды герпетических инфекций). </w:t>
      </w:r>
    </w:p>
    <w:p w14:paraId="7670BEF0" w14:textId="77777777" w:rsidR="0034590E" w:rsidRPr="00BA4F0F" w:rsidRDefault="0034590E" w:rsidP="0034590E">
      <w:pPr>
        <w:pStyle w:val="1fe"/>
        <w:spacing w:beforeAutospacing="0" w:afterAutospacing="0" w:line="360" w:lineRule="auto"/>
        <w:ind w:firstLine="709"/>
        <w:jc w:val="both"/>
      </w:pPr>
      <w:r w:rsidRPr="00BA4F0F">
        <w:t>Проводится пероральная профилактика валацикловиром в дозе 500 мг 2 раза в сутки или ацикловиром 250 мг/м</w:t>
      </w:r>
      <w:r w:rsidRPr="00BA4F0F">
        <w:rPr>
          <w:vertAlign w:val="superscript"/>
        </w:rPr>
        <w:t>2</w:t>
      </w:r>
      <w:r w:rsidRPr="00BA4F0F">
        <w:t xml:space="preserve"> х 2 раза в сутки с момента начала предтрансплантационного кондиционирования. </w:t>
      </w:r>
    </w:p>
    <w:p w14:paraId="5E59EB68" w14:textId="77777777" w:rsidR="0034590E" w:rsidRPr="00BA4F0F" w:rsidRDefault="0034590E" w:rsidP="0034590E">
      <w:pPr>
        <w:pStyle w:val="1fe"/>
        <w:spacing w:beforeAutospacing="0" w:afterAutospacing="0" w:line="360" w:lineRule="auto"/>
      </w:pPr>
    </w:p>
    <w:p w14:paraId="3AA8D61D" w14:textId="1D604ADB" w:rsidR="0034590E" w:rsidRPr="00C40CBC" w:rsidRDefault="0034590E" w:rsidP="0034590E">
      <w:pPr>
        <w:pStyle w:val="1fe"/>
        <w:spacing w:beforeAutospacing="0" w:afterAutospacing="0" w:line="360" w:lineRule="auto"/>
        <w:ind w:firstLine="709"/>
        <w:jc w:val="both"/>
        <w:rPr>
          <w:i/>
          <w:iCs/>
        </w:rPr>
      </w:pPr>
      <w:r w:rsidRPr="00C40CBC">
        <w:rPr>
          <w:i/>
          <w:iCs/>
        </w:rPr>
        <w:t xml:space="preserve">Профилактика пневмоцистной пневмонии </w:t>
      </w:r>
      <w:r w:rsidRPr="00C40CBC">
        <w:rPr>
          <w:i/>
          <w:iCs/>
        </w:rPr>
        <w:fldChar w:fldCharType="begin" w:fldLock="1"/>
      </w:r>
      <w:r w:rsidR="00F44253">
        <w:rPr>
          <w:i/>
          <w:iCs/>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2cd270b2-efaf-4da9-a95d-66324661ea35","http://www.mendeley.com/documents/?uuid=fe583573-532c-46dc-b4f4-f9d01345e27c","http://www.mendeley.com/documents/?uuid=26da25a5-bd21-4509-8e88-e4e6744fab98","http://www.mendeley.com/documents/?uuid=a1e2f5d6-ef05-4351-9481-13fad4fd103b","http://www.mendeley.com/documents/?uuid=478d6ce1-e425-4912-87db-adfee39f1ce9","http://www.mendeley.com/documents/?uuid=9cac36ab-7685-4894-b1cb-f141a1797526","http://www.mendeley.com/documents/?uuid=c0eae3a3-34ee-40e1-8813-566cb7fa2b4a"]},{"id":"ITEM-2","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given":"Anna","non-dropping-particle":"","parse-names":false,"suffix":""},{"dropping-particle":"","family":"Rizzi-Puechal","given":"Valérie","non-dropping-particle":"","parse-names":false,"suffix":""},{"dropping-particle":"","family":"Sinko","given":"Janos","non-dropping-particle":"","parse-names":false,"suffix":""},{"dropping-particle":"","family":"Slavin","given":"Monica","non-dropping-particle":"","parse-names":false,"suffix":""},{"dropping-particle":"","family":"Styczynski","given":"Jan","non-dropping-particle":"","parse-names":false,"suffix":""},{"dropping-particle":"","family":"Tweddle","given":"Lorraine","non-dropping-particle":"","parse-names":false,"suffix":""},{"dropping-particle":"","family":"Wood","given":"Craig","non-dropping-particle":"","parse-names":false,"suffix":""}],"container-title":"Journal of Antimicrobial Chemotherapy","id":"ITEM-2","issue":"9","issued":{"date-parts":[["2016","9","1"]]},"page":"1-8","publisher":"Oxford University Press","title":"ECIL guidelines for preventing Pneumocystis jirovecii pneumonia in patients with haematological malignancies and stem cell transplant recipients","type":"bill","volume":"71"},"uris":["http://www.mendeley.com/documents/?uuid=a0eb48bc-4417-4d24-8796-9587f2cfd3b7"]}],"mendeley":{"formattedCitation":"[140,142]","plainTextFormattedCitation":"[140,142]","previouslyFormattedCitation":"[140,142]"},"properties":{"noteIndex":0},"schema":"https://github.com/citation-style-language/schema/raw/master/csl-citation.json"}</w:instrText>
      </w:r>
      <w:r w:rsidRPr="00C40CBC">
        <w:rPr>
          <w:i/>
          <w:iCs/>
        </w:rPr>
        <w:fldChar w:fldCharType="separate"/>
      </w:r>
      <w:r w:rsidR="004D13EB" w:rsidRPr="004D13EB">
        <w:rPr>
          <w:iCs/>
          <w:noProof/>
        </w:rPr>
        <w:t>[140,142]</w:t>
      </w:r>
      <w:r w:rsidRPr="00C40CBC">
        <w:rPr>
          <w:i/>
          <w:iCs/>
        </w:rPr>
        <w:fldChar w:fldCharType="end"/>
      </w:r>
    </w:p>
    <w:p w14:paraId="7A2AEE7F" w14:textId="77777777" w:rsidR="0034590E" w:rsidRPr="00BA4F0F" w:rsidRDefault="0034590E" w:rsidP="0034590E">
      <w:pPr>
        <w:pStyle w:val="1fe"/>
        <w:spacing w:beforeAutospacing="0" w:afterAutospacing="0" w:line="360" w:lineRule="auto"/>
        <w:ind w:firstLine="709"/>
        <w:jc w:val="both"/>
      </w:pPr>
      <w:r w:rsidRPr="00BA4F0F">
        <w:t>Показания:</w:t>
      </w:r>
    </w:p>
    <w:p w14:paraId="5C0C87C7" w14:textId="77777777" w:rsidR="0034590E" w:rsidRPr="00BA4F0F" w:rsidRDefault="0034590E" w:rsidP="00A72B1B">
      <w:pPr>
        <w:pStyle w:val="1fe"/>
        <w:numPr>
          <w:ilvl w:val="0"/>
          <w:numId w:val="85"/>
        </w:numPr>
        <w:spacing w:beforeAutospacing="0" w:afterAutospacing="0" w:line="360" w:lineRule="auto"/>
        <w:jc w:val="both"/>
      </w:pPr>
      <w:r w:rsidRPr="00BA4F0F">
        <w:t xml:space="preserve">Терапия глюкокортикоидами. </w:t>
      </w:r>
    </w:p>
    <w:p w14:paraId="67C1D10E" w14:textId="77777777" w:rsidR="0034590E" w:rsidRPr="00BA4F0F" w:rsidRDefault="0034590E" w:rsidP="00A72B1B">
      <w:pPr>
        <w:pStyle w:val="1fe"/>
        <w:numPr>
          <w:ilvl w:val="0"/>
          <w:numId w:val="85"/>
        </w:numPr>
        <w:spacing w:beforeAutospacing="0" w:afterAutospacing="0" w:line="360" w:lineRule="auto"/>
        <w:jc w:val="both"/>
      </w:pPr>
      <w:r w:rsidRPr="00BA4F0F">
        <w:t>Лечение препаратами, приводящими к снижению числа лимфоцитов CD4.</w:t>
      </w:r>
    </w:p>
    <w:p w14:paraId="117DF848" w14:textId="77777777" w:rsidR="0034590E" w:rsidRPr="00BA4F0F" w:rsidRDefault="0034590E" w:rsidP="00A72B1B">
      <w:pPr>
        <w:pStyle w:val="1fe"/>
        <w:numPr>
          <w:ilvl w:val="0"/>
          <w:numId w:val="85"/>
        </w:numPr>
        <w:spacing w:beforeAutospacing="0" w:afterAutospacing="0" w:line="360" w:lineRule="auto"/>
        <w:jc w:val="both"/>
      </w:pPr>
      <w:r w:rsidRPr="00BA4F0F">
        <w:t>Пациенты, имеющие в анамнезе пневмоцистную пневмонию.</w:t>
      </w:r>
    </w:p>
    <w:p w14:paraId="28AA8EBE" w14:textId="77777777" w:rsidR="0034590E" w:rsidRPr="00BA4F0F" w:rsidRDefault="0034590E" w:rsidP="0034590E">
      <w:pPr>
        <w:pStyle w:val="1fe"/>
        <w:spacing w:beforeAutospacing="0" w:afterAutospacing="0" w:line="360" w:lineRule="auto"/>
        <w:ind w:firstLine="709"/>
        <w:jc w:val="both"/>
      </w:pPr>
      <w:r w:rsidRPr="00BA4F0F">
        <w:t>Назначают один из следующих препаратов:</w:t>
      </w:r>
    </w:p>
    <w:p w14:paraId="3232C56C" w14:textId="77777777" w:rsidR="0034590E" w:rsidRPr="00BA4F0F" w:rsidRDefault="0034590E" w:rsidP="00A72B1B">
      <w:pPr>
        <w:pStyle w:val="1fe"/>
        <w:numPr>
          <w:ilvl w:val="0"/>
          <w:numId w:val="86"/>
        </w:numPr>
        <w:spacing w:beforeAutospacing="0" w:afterAutospacing="0" w:line="360" w:lineRule="auto"/>
        <w:jc w:val="both"/>
      </w:pPr>
      <w:r w:rsidRPr="00BA4F0F">
        <w:t xml:space="preserve">Триметоприм/сульфаметоксазол назначают по 480 мг ежедневно. </w:t>
      </w:r>
    </w:p>
    <w:p w14:paraId="60CC9520" w14:textId="77777777" w:rsidR="0034590E" w:rsidRPr="00BA4F0F" w:rsidRDefault="0034590E" w:rsidP="00A72B1B">
      <w:pPr>
        <w:pStyle w:val="1fe"/>
        <w:numPr>
          <w:ilvl w:val="0"/>
          <w:numId w:val="86"/>
        </w:numPr>
        <w:spacing w:beforeAutospacing="0" w:afterAutospacing="0" w:line="360" w:lineRule="auto"/>
        <w:jc w:val="both"/>
      </w:pPr>
      <w:r w:rsidRPr="00BA4F0F">
        <w:t>Дапсон, 100 мг внутрь ежедневно.</w:t>
      </w:r>
    </w:p>
    <w:p w14:paraId="2381E51D" w14:textId="77777777" w:rsidR="0034590E" w:rsidRPr="00BA4F0F" w:rsidRDefault="0034590E" w:rsidP="00A72B1B">
      <w:pPr>
        <w:pStyle w:val="1fe"/>
        <w:numPr>
          <w:ilvl w:val="0"/>
          <w:numId w:val="86"/>
        </w:numPr>
        <w:spacing w:beforeAutospacing="0" w:afterAutospacing="0" w:line="360" w:lineRule="auto"/>
        <w:jc w:val="both"/>
      </w:pPr>
      <w:r w:rsidRPr="00BA4F0F">
        <w:t>Пентамидин, 300 мг в виде аэрозоля через респираторный ингалятор или внутривенно каждые 3—4 недели.</w:t>
      </w:r>
    </w:p>
    <w:p w14:paraId="493F4002" w14:textId="77777777" w:rsidR="0034590E" w:rsidRPr="00BA4F0F" w:rsidRDefault="0034590E" w:rsidP="0034590E">
      <w:pPr>
        <w:pStyle w:val="1fe"/>
        <w:spacing w:beforeAutospacing="0" w:afterAutospacing="0" w:line="360" w:lineRule="auto"/>
        <w:ind w:firstLine="709"/>
        <w:jc w:val="both"/>
      </w:pPr>
      <w:r w:rsidRPr="00BA4F0F">
        <w:t>Препараты применяют в период цитостатической терапии и в течение всего периода нейтропении.</w:t>
      </w:r>
    </w:p>
    <w:p w14:paraId="1A876897" w14:textId="77777777" w:rsidR="0034590E" w:rsidRPr="00BA4F0F" w:rsidRDefault="0034590E" w:rsidP="0034590E">
      <w:pPr>
        <w:pStyle w:val="1fe"/>
        <w:spacing w:beforeAutospacing="0" w:afterAutospacing="0" w:line="360" w:lineRule="auto"/>
        <w:ind w:firstLine="709"/>
        <w:jc w:val="both"/>
      </w:pPr>
      <w:r w:rsidRPr="00BA4F0F">
        <w:t xml:space="preserve">Использование триметоприма/сульфаметоксазола одновременно предупреждает инфекции, вызываемые Toxoplasma gondii, Listeria monocytogenes, Nocardia asteroides. </w:t>
      </w:r>
    </w:p>
    <w:p w14:paraId="57C436DB" w14:textId="77777777" w:rsidR="0034590E" w:rsidRPr="00BA4F0F" w:rsidRDefault="0034590E" w:rsidP="0034590E">
      <w:pPr>
        <w:pStyle w:val="1fe"/>
        <w:spacing w:beforeAutospacing="0" w:afterAutospacing="0" w:line="360" w:lineRule="auto"/>
        <w:ind w:firstLine="709"/>
        <w:jc w:val="both"/>
      </w:pPr>
      <w:r w:rsidRPr="00BA4F0F">
        <w:t>Пациенты, инфицированные Pneumocystis jiroveci, не должны находиться в одной палате с другими иммунокомпрометированными больными.</w:t>
      </w:r>
      <w:r w:rsidRPr="00BA4F0F">
        <w:cr/>
      </w:r>
    </w:p>
    <w:p w14:paraId="1D794CC6" w14:textId="77777777" w:rsidR="0034590E" w:rsidRPr="00C40CBC" w:rsidRDefault="0034590E" w:rsidP="0034590E">
      <w:pPr>
        <w:pStyle w:val="1fe"/>
        <w:spacing w:beforeAutospacing="0" w:afterAutospacing="0" w:line="360" w:lineRule="auto"/>
        <w:ind w:firstLine="709"/>
        <w:jc w:val="both"/>
        <w:rPr>
          <w:i/>
          <w:iCs/>
        </w:rPr>
      </w:pPr>
      <w:r w:rsidRPr="00C40CBC">
        <w:rPr>
          <w:i/>
          <w:iCs/>
        </w:rPr>
        <w:t>Иммуноглобулин человеческий</w:t>
      </w:r>
    </w:p>
    <w:p w14:paraId="5182F9E8" w14:textId="77777777" w:rsidR="0034590E" w:rsidRPr="00BA4F0F" w:rsidRDefault="0034590E" w:rsidP="0034590E">
      <w:pPr>
        <w:pStyle w:val="1fe"/>
        <w:spacing w:beforeAutospacing="0" w:afterAutospacing="0" w:line="360" w:lineRule="auto"/>
        <w:ind w:firstLine="709"/>
        <w:jc w:val="both"/>
      </w:pPr>
      <w:r w:rsidRPr="00BA4F0F">
        <w:t xml:space="preserve">У пациентов после ауто-ТГСК развивается вторичный иммунодефицит. Для коррекции гипогаммаглобулинемии применяют препараты человеческого иммуноглобулина. Человеческий иммуноглобулин, восполняя дефицит антител, снижает риск развития инфекций у больных со вторичным иммунодефицитом. </w:t>
      </w:r>
    </w:p>
    <w:p w14:paraId="28BA190B" w14:textId="77777777" w:rsidR="0034590E" w:rsidRPr="00BA4F0F" w:rsidRDefault="0034590E" w:rsidP="0034590E">
      <w:pPr>
        <w:pStyle w:val="1fe"/>
        <w:spacing w:beforeAutospacing="0" w:afterAutospacing="0" w:line="360" w:lineRule="auto"/>
        <w:ind w:firstLine="709"/>
        <w:jc w:val="both"/>
      </w:pPr>
      <w:r w:rsidRPr="00BA4F0F">
        <w:t xml:space="preserve">До выхода больного из МТА рекомендовано введение препарата внутривенно капельно в дозе 0,4 г/кг еженедельно. При тяжелых бактериальных и вирусных инфекциях рекомендовано 0.4-1 г/кг ежедневно в течение 1-4 дней. Перед введением препарат следует </w:t>
      </w:r>
      <w:r w:rsidRPr="00BA4F0F">
        <w:lastRenderedPageBreak/>
        <w:t>согреть до комнатной температуры или температуры тела. Начальная скорость инфузии - 30 кап/мин (1.65 мл/мин), через 10 мин скорость увеличивают до 40 кап/мин (2.2 мл/мин).</w:t>
      </w:r>
    </w:p>
    <w:p w14:paraId="065F73B8" w14:textId="77777777" w:rsidR="0034590E" w:rsidRPr="00BA4F0F" w:rsidRDefault="0034590E" w:rsidP="0034590E">
      <w:pPr>
        <w:pStyle w:val="1fe"/>
        <w:spacing w:beforeAutospacing="0" w:afterAutospacing="0" w:line="360" w:lineRule="auto"/>
        <w:ind w:firstLine="709"/>
        <w:jc w:val="both"/>
        <w:rPr>
          <w:highlight w:val="green"/>
        </w:rPr>
      </w:pPr>
    </w:p>
    <w:p w14:paraId="16E72094" w14:textId="77777777" w:rsidR="0034590E" w:rsidRPr="00C40CBC" w:rsidRDefault="0034590E" w:rsidP="0034590E">
      <w:pPr>
        <w:pStyle w:val="1fe"/>
        <w:spacing w:beforeAutospacing="0" w:afterAutospacing="0" w:line="360" w:lineRule="auto"/>
        <w:ind w:firstLine="709"/>
        <w:jc w:val="both"/>
        <w:rPr>
          <w:u w:val="single"/>
        </w:rPr>
      </w:pPr>
      <w:bookmarkStart w:id="156" w:name="_Toc44926640"/>
      <w:r w:rsidRPr="00C40CBC">
        <w:rPr>
          <w:u w:val="single"/>
        </w:rPr>
        <w:t>Лабораторный и инструментальный мониторинг в раннем посттрансплантационном периоде</w:t>
      </w:r>
      <w:bookmarkEnd w:id="156"/>
    </w:p>
    <w:p w14:paraId="3BD9933A" w14:textId="77777777" w:rsidR="0034590E" w:rsidRPr="00BA4F0F" w:rsidRDefault="0034590E" w:rsidP="0034590E">
      <w:pPr>
        <w:pStyle w:val="1fe"/>
        <w:spacing w:beforeAutospacing="0" w:afterAutospacing="0" w:line="360" w:lineRule="auto"/>
        <w:ind w:firstLine="709"/>
        <w:jc w:val="both"/>
        <w:rPr>
          <w:rFonts w:eastAsia="Calibri"/>
        </w:rPr>
      </w:pPr>
      <w:r w:rsidRPr="00BA4F0F">
        <w:rPr>
          <w:rFonts w:eastAsia="Calibri"/>
        </w:rPr>
        <w:t xml:space="preserve">Всем пациентам в раннем посттрансплантационном периоде проводится регулярное исследование общего анализа крови (с целью коррекции анемии и тромбоцитопении), биохимических параметров (с целью коррекции электролитов, гипоальбуминемии), показателей коагулограммы с целью контроля гемостаза, общий анализ мочи, электрокардиограмма и др. методы исследования при необходимости, включая КТ легких, МРТ головного мозга, ХОЛТЕР-ЭКГ. </w:t>
      </w:r>
    </w:p>
    <w:p w14:paraId="24F1DA29" w14:textId="77777777" w:rsidR="0034590E" w:rsidRPr="00BA4F0F" w:rsidRDefault="0034590E" w:rsidP="0034590E">
      <w:pPr>
        <w:pStyle w:val="1fe"/>
        <w:spacing w:beforeAutospacing="0" w:afterAutospacing="0" w:line="360" w:lineRule="auto"/>
        <w:ind w:firstLine="709"/>
        <w:jc w:val="both"/>
        <w:rPr>
          <w:rFonts w:eastAsia="Calibri"/>
        </w:rPr>
      </w:pPr>
      <w:r w:rsidRPr="00BA4F0F">
        <w:rPr>
          <w:rFonts w:eastAsia="Calibri"/>
        </w:rPr>
        <w:t>Частота исследования данных показателей может изменяться в зависимости от конкретной клинической ситуации.</w:t>
      </w:r>
    </w:p>
    <w:p w14:paraId="6D4B124F" w14:textId="77777777" w:rsidR="0034590E" w:rsidRPr="00C40CBC" w:rsidRDefault="0034590E" w:rsidP="00A72B1B">
      <w:pPr>
        <w:pStyle w:val="1fe"/>
        <w:numPr>
          <w:ilvl w:val="0"/>
          <w:numId w:val="85"/>
        </w:numPr>
        <w:spacing w:beforeAutospacing="0" w:afterAutospacing="0" w:line="360" w:lineRule="auto"/>
        <w:jc w:val="both"/>
      </w:pPr>
      <w:r w:rsidRPr="00C40CBC">
        <w:t>Общий анализ крови 1 раз в 2–3 дня.</w:t>
      </w:r>
    </w:p>
    <w:p w14:paraId="740A6279" w14:textId="77777777" w:rsidR="0034590E" w:rsidRPr="00C40CBC" w:rsidRDefault="0034590E" w:rsidP="00A72B1B">
      <w:pPr>
        <w:pStyle w:val="1fe"/>
        <w:numPr>
          <w:ilvl w:val="0"/>
          <w:numId w:val="85"/>
        </w:numPr>
        <w:spacing w:beforeAutospacing="0" w:afterAutospacing="0" w:line="360" w:lineRule="auto"/>
        <w:jc w:val="both"/>
      </w:pPr>
      <w:r w:rsidRPr="00C40CBC">
        <w:t>Биохимический анализ крови 1 раз в 2–3 дня.</w:t>
      </w:r>
    </w:p>
    <w:p w14:paraId="4D70ACE0" w14:textId="77777777" w:rsidR="0034590E" w:rsidRPr="00C40CBC" w:rsidRDefault="0034590E" w:rsidP="00A72B1B">
      <w:pPr>
        <w:pStyle w:val="1fe"/>
        <w:numPr>
          <w:ilvl w:val="0"/>
          <w:numId w:val="85"/>
        </w:numPr>
        <w:spacing w:beforeAutospacing="0" w:afterAutospacing="0" w:line="360" w:lineRule="auto"/>
        <w:jc w:val="both"/>
      </w:pPr>
      <w:r w:rsidRPr="00C40CBC">
        <w:t>Коагулограмма 1 раз в 3–4 дня.</w:t>
      </w:r>
    </w:p>
    <w:p w14:paraId="76A4DD05" w14:textId="77777777" w:rsidR="0034590E" w:rsidRPr="00C40CBC" w:rsidRDefault="0034590E" w:rsidP="00A72B1B">
      <w:pPr>
        <w:pStyle w:val="1fe"/>
        <w:numPr>
          <w:ilvl w:val="0"/>
          <w:numId w:val="85"/>
        </w:numPr>
        <w:spacing w:beforeAutospacing="0" w:afterAutospacing="0" w:line="360" w:lineRule="auto"/>
        <w:jc w:val="both"/>
      </w:pPr>
      <w:r w:rsidRPr="00C40CBC">
        <w:t>Глюкоза крови 1 раз в 3–4 дня.</w:t>
      </w:r>
    </w:p>
    <w:p w14:paraId="2DC00C3E" w14:textId="77777777" w:rsidR="0034590E" w:rsidRPr="00C40CBC" w:rsidRDefault="0034590E" w:rsidP="00A72B1B">
      <w:pPr>
        <w:pStyle w:val="1fe"/>
        <w:numPr>
          <w:ilvl w:val="0"/>
          <w:numId w:val="85"/>
        </w:numPr>
        <w:spacing w:beforeAutospacing="0" w:afterAutospacing="0" w:line="360" w:lineRule="auto"/>
        <w:jc w:val="both"/>
      </w:pPr>
      <w:r w:rsidRPr="00C40CBC">
        <w:t>Общий анализ мочи - еженедельно.</w:t>
      </w:r>
    </w:p>
    <w:p w14:paraId="3BA27114" w14:textId="77777777" w:rsidR="0034590E" w:rsidRPr="00C40CBC" w:rsidRDefault="0034590E" w:rsidP="00A72B1B">
      <w:pPr>
        <w:pStyle w:val="1fe"/>
        <w:numPr>
          <w:ilvl w:val="0"/>
          <w:numId w:val="85"/>
        </w:numPr>
        <w:spacing w:beforeAutospacing="0" w:afterAutospacing="0" w:line="360" w:lineRule="auto"/>
        <w:jc w:val="both"/>
      </w:pPr>
      <w:r w:rsidRPr="00C40CBC">
        <w:t>Электрокардиограмма - еженедельно.</w:t>
      </w:r>
    </w:p>
    <w:p w14:paraId="61D8DBD6" w14:textId="77777777" w:rsidR="0034590E" w:rsidRPr="00BA4F0F" w:rsidRDefault="0034590E" w:rsidP="0034590E">
      <w:pPr>
        <w:pStyle w:val="1fe"/>
        <w:spacing w:beforeAutospacing="0" w:afterAutospacing="0" w:line="360" w:lineRule="auto"/>
        <w:rPr>
          <w:highlight w:val="green"/>
        </w:rPr>
      </w:pPr>
      <w:bookmarkStart w:id="157" w:name="_Toc44926641"/>
    </w:p>
    <w:p w14:paraId="57769D32" w14:textId="77777777" w:rsidR="0034590E" w:rsidRPr="00C40CBC" w:rsidRDefault="0034590E" w:rsidP="0034590E">
      <w:pPr>
        <w:pStyle w:val="1fe"/>
        <w:spacing w:beforeAutospacing="0" w:afterAutospacing="0" w:line="360" w:lineRule="auto"/>
        <w:ind w:firstLine="709"/>
        <w:jc w:val="both"/>
        <w:rPr>
          <w:u w:val="single"/>
        </w:rPr>
      </w:pPr>
      <w:r w:rsidRPr="00C40CBC">
        <w:rPr>
          <w:u w:val="single"/>
        </w:rPr>
        <w:t>Нутритивная терапия</w:t>
      </w:r>
      <w:bookmarkEnd w:id="157"/>
    </w:p>
    <w:p w14:paraId="7C797C0D" w14:textId="77777777" w:rsidR="0034590E" w:rsidRPr="00BA4F0F" w:rsidRDefault="0034590E" w:rsidP="0034590E">
      <w:pPr>
        <w:pStyle w:val="1fe"/>
        <w:spacing w:beforeAutospacing="0" w:afterAutospacing="0" w:line="360" w:lineRule="auto"/>
        <w:ind w:firstLine="709"/>
        <w:jc w:val="both"/>
      </w:pPr>
      <w:r w:rsidRPr="00BA4F0F">
        <w:t>Высокодозная химиотерапия с последующей ауто-ТГСК, длительный период гранулоцитопении, инфекционные осложнения, продолжительный период нахождения в стационаре – основные причины, приводящие к снижению поступления питательных веществ в организм и как следствие общей слабости, снижению физической активности, значимому уменьшению массы тела.</w:t>
      </w:r>
    </w:p>
    <w:p w14:paraId="5B98E659" w14:textId="489C581F" w:rsidR="0034590E" w:rsidRPr="00BA4F0F" w:rsidRDefault="0034590E" w:rsidP="0034590E">
      <w:pPr>
        <w:pStyle w:val="1fe"/>
        <w:spacing w:beforeAutospacing="0" w:afterAutospacing="0" w:line="360" w:lineRule="auto"/>
        <w:ind w:firstLine="709"/>
        <w:jc w:val="both"/>
      </w:pPr>
      <w:r w:rsidRPr="00BA4F0F">
        <w:t xml:space="preserve">Недостаточным следует считать питание, при котором пациент не может сам обеспечить поступление более чем 60% от своих энергетических потребностей в течение 1–2 недель </w:t>
      </w:r>
      <w:r w:rsidRPr="00BA4F0F">
        <w:fldChar w:fldCharType="begin" w:fldLock="1"/>
      </w:r>
      <w:r w:rsidR="00F44253">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d1a841f7-cf41-3658-b869-ec5c58850b6d","http://www.mendeley.com/documents/?uuid=b7d0213d-9037-458b-9137-8ba92417f389","http://www.mendeley.com/documents/?uuid=09a52a75-b0e4-4371-af21-5958257d9c6b","http://www.mendeley.com/documents/?uuid=a93dd076-f883-470f-9078-09d5bea12d18","http://www.mendeley.com/documents/?uuid=260337e2-8643-4a98-b22a-51f427e64df0","http://www.mendeley.com/documents/?uuid=d8f4044a-9d39-4071-8266-cbd0ae05b0d9","http://www.mendeley.com/documents/?uuid=a6673349-099e-4c86-922d-b6b69b73ee38"]},{"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555471fe-b9e3-303f-adcc-eecf69d63698","http://www.mendeley.com/documents/?uuid=ed2f4812-c506-484a-afb7-1bb5dae57ffb","http://www.mendeley.com/documents/?uuid=ddeb6586-712b-4c69-81e8-8e7e497e2d57","http://www.mendeley.com/documents/?uuid=99911acc-feb8-4597-a8e1-899d1f00b719","http://www.mendeley.com/documents/?uuid=dc45015e-2bbd-4e0a-8302-25dcb06c3c4c","http://www.mendeley.com/documents/?uuid=4a1cad31-99e3-4cf2-93ad-17d966d60db9","http://www.mendeley.com/documents/?uuid=c83d4cd9-a0be-448a-84b5-000651ccfa6e"]}],"mendeley":{"formattedCitation":"[143,144]","plainTextFormattedCitation":"[143,144]","previouslyFormattedCitation":"[143,144]"},"properties":{"noteIndex":0},"schema":"https://github.com/citation-style-language/schema/raw/master/csl-citation.json"}</w:instrText>
      </w:r>
      <w:r w:rsidRPr="00BA4F0F">
        <w:fldChar w:fldCharType="separate"/>
      </w:r>
      <w:r w:rsidR="004D13EB" w:rsidRPr="004D13EB">
        <w:rPr>
          <w:noProof/>
        </w:rPr>
        <w:t>[143,144]</w:t>
      </w:r>
      <w:r w:rsidRPr="00BA4F0F">
        <w:fldChar w:fldCharType="end"/>
      </w:r>
      <w:r w:rsidRPr="00BA4F0F">
        <w:t>.</w:t>
      </w:r>
    </w:p>
    <w:p w14:paraId="13C9C644" w14:textId="3457C0E9" w:rsidR="0034590E" w:rsidRPr="00BA4F0F" w:rsidRDefault="0034590E" w:rsidP="0034590E">
      <w:pPr>
        <w:pStyle w:val="1fe"/>
        <w:spacing w:beforeAutospacing="0" w:afterAutospacing="0" w:line="360" w:lineRule="auto"/>
        <w:ind w:firstLine="709"/>
        <w:jc w:val="both"/>
      </w:pPr>
      <w:r w:rsidRPr="00BA4F0F">
        <w:t xml:space="preserve">По данным ESPEN от 46 до 88% больных онкологического профиля в процессе противоопухолевого лечения требуют дополнительной нутритивной поддержке </w:t>
      </w:r>
      <w:r w:rsidRPr="00BA4F0F">
        <w:fldChar w:fldCharType="begin" w:fldLock="1"/>
      </w:r>
      <w:r w:rsidR="00F44253">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fa470355-bcfd-3bef-a7a1-086215509c2d","http://www.mendeley.com/documents/?uuid=2da28a52-fa64-480f-9c45-312b59a7027b","http://www.mendeley.com/documents/?uuid=17acaf09-3d29-4b25-b43e-598e8835165d","http://www.mendeley.com/documents/?uuid=113bc17a-cb71-4ba2-afb9-083757d46c9b","http://www.mendeley.com/documents/?uuid=2db47854-c914-42bd-bd4d-a19b47e78e0d","http://www.mendeley.com/documents/?uuid=2475f28c-b7e0-408d-8d85-bd890e4862de","http://www.mendeley.com/documents/?uuid=59e000a3-48e0-4529-8954-5598c41cc72e"]}],"mendeley":{"formattedCitation":"[144,145]","plainTextFormattedCitation":"[144,145]","previouslyFormattedCitation":"[144,145]"},"properties":{"noteIndex":0},"schema":"https://github.com/citation-style-language/schema/raw/master/csl-citation.json"}</w:instrText>
      </w:r>
      <w:r w:rsidRPr="00BA4F0F">
        <w:fldChar w:fldCharType="separate"/>
      </w:r>
      <w:r w:rsidR="004D13EB" w:rsidRPr="004D13EB">
        <w:rPr>
          <w:noProof/>
        </w:rPr>
        <w:t>[144,145]</w:t>
      </w:r>
      <w:r w:rsidRPr="00BA4F0F">
        <w:fldChar w:fldCharType="end"/>
      </w:r>
      <w:r w:rsidRPr="00BA4F0F">
        <w:t>.</w:t>
      </w:r>
    </w:p>
    <w:p w14:paraId="3EC7E1B0" w14:textId="07808905" w:rsidR="0034590E" w:rsidRPr="00BA4F0F" w:rsidRDefault="0034590E" w:rsidP="0034590E">
      <w:pPr>
        <w:pStyle w:val="1fe"/>
        <w:spacing w:beforeAutospacing="0" w:afterAutospacing="0" w:line="360" w:lineRule="auto"/>
        <w:ind w:firstLine="709"/>
        <w:jc w:val="both"/>
      </w:pPr>
      <w:r w:rsidRPr="00BA4F0F">
        <w:t xml:space="preserve">Нутритивная поддержка – это способ обеспечения полноценного питания больных с использованием специальных средств, максимально сбалансированных в количественном и качественном соотношении. Нутритивная поддержка необходима не только для </w:t>
      </w:r>
      <w:r w:rsidRPr="00BA4F0F">
        <w:lastRenderedPageBreak/>
        <w:t xml:space="preserve">поддержания метаболических резервов организма, но и для повышения его устойчивости к проводимой терапии </w:t>
      </w:r>
      <w:r w:rsidRPr="00BA4F0F">
        <w:fldChar w:fldCharType="begin" w:fldLock="1"/>
      </w:r>
      <w:r w:rsidR="00F44253">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[143,146]","plainTextFormattedCitation":"[143,146]","previouslyFormattedCitation":"[143,146]"},"properties":{"noteIndex":0},"schema":"https://github.com/citation-style-language/schema/raw/master/csl-citation.json"}</w:instrText>
      </w:r>
      <w:r w:rsidRPr="00BA4F0F">
        <w:fldChar w:fldCharType="separate"/>
      </w:r>
      <w:r w:rsidR="004D13EB" w:rsidRPr="004D13EB">
        <w:rPr>
          <w:noProof/>
        </w:rPr>
        <w:t>[143,146]</w:t>
      </w:r>
      <w:r w:rsidRPr="00BA4F0F">
        <w:fldChar w:fldCharType="end"/>
      </w:r>
      <w:r w:rsidRPr="00BA4F0F">
        <w:t>.</w:t>
      </w:r>
    </w:p>
    <w:p w14:paraId="152A059E" w14:textId="2468074F" w:rsidR="0034590E" w:rsidRPr="00C40CBC" w:rsidRDefault="0034590E" w:rsidP="0034590E">
      <w:pPr>
        <w:pStyle w:val="1fe"/>
        <w:spacing w:beforeAutospacing="0" w:afterAutospacing="0" w:line="360" w:lineRule="auto"/>
        <w:ind w:firstLine="709"/>
        <w:jc w:val="both"/>
        <w:rPr>
          <w:u w:val="single"/>
        </w:rPr>
      </w:pPr>
      <w:r w:rsidRPr="00C40CBC">
        <w:t>Цели нутритивной поддержки</w:t>
      </w:r>
      <w:r w:rsidRPr="00C40CBC">
        <w:rPr>
          <w:lang w:val="en-US"/>
        </w:rPr>
        <w:t xml:space="preserve"> </w:t>
      </w:r>
      <w:r w:rsidRPr="00BA4F0F">
        <w:fldChar w:fldCharType="begin" w:fldLock="1"/>
      </w:r>
      <w:r w:rsidR="00F44253">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d1a841f7-cf41-3658-b869-ec5c58850b6d","http://www.mendeley.com/documents/?uuid=b7d0213d-9037-458b-9137-8ba92417f389","http://www.mendeley.com/documents/?uuid=09a52a75-b0e4-4371-af21-5958257d9c6b","http://www.mendeley.com/documents/?uuid=a93dd076-f883-470f-9078-09d5bea12d18","http://www.mendeley.com/documents/?uuid=260337e2-8643-4a98-b22a-51f427e64df0","http://www.mendeley.com/documents/?uuid=d8f4044a-9d39-4071-8266-cbd0ae05b0d9","http://www.mendeley.com/documents/?uuid=a6673349-099e-4c86-922d-b6b69b73ee38"]},{"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555471fe-b9e3-303f-adcc-eecf69d63698","http://www.mendeley.com/documents/?uuid=ed2f4812-c506-484a-afb7-1bb5dae57ffb","http://www.mendeley.com/documents/?uuid=ddeb6586-712b-4c69-81e8-8e7e497e2d57","http://www.mendeley.com/documents/?uuid=99911acc-feb8-4597-a8e1-899d1f00b719","http://www.mendeley.com/documents/?uuid=dc45015e-2bbd-4e0a-8302-25dcb06c3c4c","http://www.mendeley.com/documents/?uuid=4a1cad31-99e3-4cf2-93ad-17d966d60db9","http://www.mendeley.com/documents/?uuid=c83d4cd9-a0be-448a-84b5-000651ccfa6e"]}],"mendeley":{"formattedCitation":"[143,144]","plainTextFormattedCitation":"[143,144]","previouslyFormattedCitation":"[143,144]"},"properties":{"noteIndex":0},"schema":"https://github.com/citation-style-language/schema/raw/master/csl-citation.json"}</w:instrText>
      </w:r>
      <w:r w:rsidRPr="00BA4F0F">
        <w:fldChar w:fldCharType="separate"/>
      </w:r>
      <w:r w:rsidR="004D13EB" w:rsidRPr="004D13EB">
        <w:rPr>
          <w:noProof/>
        </w:rPr>
        <w:t>[143,144]</w:t>
      </w:r>
      <w:r w:rsidRPr="00BA4F0F">
        <w:fldChar w:fldCharType="end"/>
      </w:r>
      <w:r w:rsidRPr="00C40CBC">
        <w:t>:</w:t>
      </w:r>
    </w:p>
    <w:p w14:paraId="0826285D" w14:textId="77777777" w:rsidR="0034590E" w:rsidRPr="00BA4F0F" w:rsidRDefault="0034590E" w:rsidP="00A72B1B">
      <w:pPr>
        <w:pStyle w:val="1fe"/>
        <w:numPr>
          <w:ilvl w:val="0"/>
          <w:numId w:val="85"/>
        </w:numPr>
        <w:spacing w:beforeAutospacing="0" w:afterAutospacing="0" w:line="360" w:lineRule="auto"/>
        <w:jc w:val="both"/>
      </w:pPr>
      <w:r w:rsidRPr="00BA4F0F">
        <w:t>Поддержание оптимальной массы тела.</w:t>
      </w:r>
    </w:p>
    <w:p w14:paraId="3AE72079" w14:textId="77777777" w:rsidR="0034590E" w:rsidRPr="00BA4F0F" w:rsidRDefault="0034590E" w:rsidP="00A72B1B">
      <w:pPr>
        <w:pStyle w:val="1fe"/>
        <w:numPr>
          <w:ilvl w:val="0"/>
          <w:numId w:val="85"/>
        </w:numPr>
        <w:spacing w:beforeAutospacing="0" w:afterAutospacing="0" w:line="360" w:lineRule="auto"/>
        <w:jc w:val="both"/>
      </w:pPr>
      <w:r w:rsidRPr="00BA4F0F">
        <w:t>Предотвращение или коррекция дефицита макро- и микронутриентов.</w:t>
      </w:r>
    </w:p>
    <w:p w14:paraId="4FD58DA2" w14:textId="77777777" w:rsidR="0034590E" w:rsidRPr="00BA4F0F" w:rsidRDefault="0034590E" w:rsidP="00A72B1B">
      <w:pPr>
        <w:pStyle w:val="1fe"/>
        <w:numPr>
          <w:ilvl w:val="0"/>
          <w:numId w:val="85"/>
        </w:numPr>
        <w:spacing w:beforeAutospacing="0" w:afterAutospacing="0" w:line="360" w:lineRule="auto"/>
        <w:jc w:val="both"/>
      </w:pPr>
      <w:r w:rsidRPr="00BA4F0F">
        <w:t>Повышение переносимости высокодозной ХТ.</w:t>
      </w:r>
    </w:p>
    <w:p w14:paraId="4EA76B39" w14:textId="77777777" w:rsidR="0034590E" w:rsidRPr="00BA4F0F" w:rsidRDefault="0034590E" w:rsidP="00A72B1B">
      <w:pPr>
        <w:pStyle w:val="1fe"/>
        <w:numPr>
          <w:ilvl w:val="0"/>
          <w:numId w:val="85"/>
        </w:numPr>
        <w:spacing w:beforeAutospacing="0" w:afterAutospacing="0" w:line="360" w:lineRule="auto"/>
        <w:jc w:val="both"/>
      </w:pPr>
      <w:r w:rsidRPr="00BA4F0F">
        <w:t>Снижение выраженности побочных эффектов ХТ.</w:t>
      </w:r>
    </w:p>
    <w:p w14:paraId="07C94EB7" w14:textId="77777777" w:rsidR="0034590E" w:rsidRPr="00BA4F0F" w:rsidRDefault="0034590E" w:rsidP="00A72B1B">
      <w:pPr>
        <w:pStyle w:val="1fe"/>
        <w:numPr>
          <w:ilvl w:val="0"/>
          <w:numId w:val="85"/>
        </w:numPr>
        <w:spacing w:beforeAutospacing="0" w:afterAutospacing="0" w:line="360" w:lineRule="auto"/>
        <w:jc w:val="both"/>
      </w:pPr>
      <w:r w:rsidRPr="00BA4F0F">
        <w:t>Повышение качества жизни.</w:t>
      </w:r>
    </w:p>
    <w:p w14:paraId="50DD7043" w14:textId="77777777" w:rsidR="0034590E" w:rsidRPr="00BA4F0F" w:rsidRDefault="0034590E" w:rsidP="0034590E">
      <w:pPr>
        <w:pStyle w:val="1fe"/>
        <w:spacing w:beforeAutospacing="0" w:afterAutospacing="0" w:line="360" w:lineRule="auto"/>
        <w:ind w:firstLine="709"/>
        <w:jc w:val="both"/>
        <w:rPr>
          <w:u w:val="single"/>
        </w:rPr>
      </w:pPr>
    </w:p>
    <w:p w14:paraId="5A289381" w14:textId="77777777" w:rsidR="0034590E" w:rsidRPr="00C40CBC" w:rsidRDefault="0034590E" w:rsidP="0034590E">
      <w:pPr>
        <w:pStyle w:val="1fe"/>
        <w:spacing w:beforeAutospacing="0" w:afterAutospacing="0" w:line="360" w:lineRule="auto"/>
        <w:ind w:firstLine="709"/>
        <w:jc w:val="both"/>
        <w:rPr>
          <w:i/>
          <w:iCs/>
        </w:rPr>
      </w:pPr>
      <w:r w:rsidRPr="00C40CBC">
        <w:rPr>
          <w:i/>
          <w:iCs/>
        </w:rPr>
        <w:t xml:space="preserve">Показания к нутритивной поддержке </w:t>
      </w:r>
    </w:p>
    <w:p w14:paraId="61AF9B8C" w14:textId="77777777" w:rsidR="0034590E" w:rsidRPr="00BA4F0F" w:rsidRDefault="0034590E" w:rsidP="0034590E">
      <w:pPr>
        <w:pStyle w:val="1fe"/>
        <w:spacing w:beforeAutospacing="0" w:afterAutospacing="0" w:line="360" w:lineRule="auto"/>
        <w:ind w:firstLine="709"/>
        <w:jc w:val="both"/>
      </w:pPr>
      <w:r w:rsidRPr="00BA4F0F">
        <w:t>Скрининг недостаточности питания должен проводиться на протяжении всего периода лечения. Для диагностики степени недостаточности питания предложено много критериев, основными из которых являются:</w:t>
      </w:r>
    </w:p>
    <w:p w14:paraId="28EF21FA" w14:textId="77777777" w:rsidR="0034590E" w:rsidRPr="00BA4F0F" w:rsidRDefault="0034590E" w:rsidP="00A72B1B">
      <w:pPr>
        <w:pStyle w:val="1fe"/>
        <w:numPr>
          <w:ilvl w:val="0"/>
          <w:numId w:val="85"/>
        </w:numPr>
        <w:spacing w:beforeAutospacing="0" w:afterAutospacing="0" w:line="360" w:lineRule="auto"/>
        <w:jc w:val="both"/>
      </w:pPr>
      <w:r w:rsidRPr="00BA4F0F">
        <w:t>индекс массы тела &lt; 20 кг/м</w:t>
      </w:r>
      <w:r w:rsidRPr="00C40CBC">
        <w:rPr>
          <w:vertAlign w:val="superscript"/>
        </w:rPr>
        <w:t>2</w:t>
      </w:r>
      <w:r w:rsidRPr="00BA4F0F">
        <w:t>;</w:t>
      </w:r>
    </w:p>
    <w:p w14:paraId="78F73EAC" w14:textId="77777777" w:rsidR="0034590E" w:rsidRPr="00BA4F0F" w:rsidRDefault="0034590E" w:rsidP="00A72B1B">
      <w:pPr>
        <w:pStyle w:val="1fe"/>
        <w:numPr>
          <w:ilvl w:val="0"/>
          <w:numId w:val="85"/>
        </w:numPr>
        <w:spacing w:beforeAutospacing="0" w:afterAutospacing="0" w:line="360" w:lineRule="auto"/>
        <w:jc w:val="both"/>
      </w:pPr>
      <w:r w:rsidRPr="00BA4F0F">
        <w:t>темп потери массы тела;</w:t>
      </w:r>
    </w:p>
    <w:p w14:paraId="402C37EF" w14:textId="77777777" w:rsidR="0034590E" w:rsidRPr="00BA4F0F" w:rsidRDefault="0034590E" w:rsidP="00A72B1B">
      <w:pPr>
        <w:pStyle w:val="1fe"/>
        <w:numPr>
          <w:ilvl w:val="0"/>
          <w:numId w:val="85"/>
        </w:numPr>
        <w:spacing w:beforeAutospacing="0" w:afterAutospacing="0" w:line="360" w:lineRule="auto"/>
        <w:jc w:val="both"/>
      </w:pPr>
      <w:r w:rsidRPr="00BA4F0F">
        <w:t>гипопротеинемия &lt; 60 г/л или гипоальбуминемия &lt; 30 г/л.;</w:t>
      </w:r>
    </w:p>
    <w:p w14:paraId="7B6A9194" w14:textId="77777777" w:rsidR="0034590E" w:rsidRPr="00BA4F0F" w:rsidRDefault="0034590E" w:rsidP="00A72B1B">
      <w:pPr>
        <w:pStyle w:val="1fe"/>
        <w:numPr>
          <w:ilvl w:val="0"/>
          <w:numId w:val="85"/>
        </w:numPr>
        <w:spacing w:beforeAutospacing="0" w:afterAutospacing="0" w:line="360" w:lineRule="auto"/>
        <w:jc w:val="both"/>
      </w:pPr>
      <w:r w:rsidRPr="00BA4F0F">
        <w:t>невозможность адекватного энтерального питания;</w:t>
      </w:r>
    </w:p>
    <w:p w14:paraId="425FDF17" w14:textId="77777777" w:rsidR="0034590E" w:rsidRPr="00BA4F0F" w:rsidRDefault="0034590E" w:rsidP="00A72B1B">
      <w:pPr>
        <w:pStyle w:val="1fe"/>
        <w:numPr>
          <w:ilvl w:val="0"/>
          <w:numId w:val="85"/>
        </w:numPr>
        <w:spacing w:beforeAutospacing="0" w:afterAutospacing="0" w:line="360" w:lineRule="auto"/>
        <w:jc w:val="both"/>
      </w:pPr>
      <w:r w:rsidRPr="00BA4F0F">
        <w:t xml:space="preserve">побочные проявления высокодозной химиотерапии: </w:t>
      </w:r>
    </w:p>
    <w:p w14:paraId="72FE46CD" w14:textId="77777777" w:rsidR="0034590E" w:rsidRPr="00BA4F0F" w:rsidRDefault="0034590E" w:rsidP="00A72B1B">
      <w:pPr>
        <w:pStyle w:val="1fe"/>
        <w:numPr>
          <w:ilvl w:val="0"/>
          <w:numId w:val="85"/>
        </w:numPr>
        <w:spacing w:beforeAutospacing="0" w:afterAutospacing="0" w:line="360" w:lineRule="auto"/>
        <w:jc w:val="both"/>
      </w:pPr>
      <w:r w:rsidRPr="00BA4F0F">
        <w:t>тошнота,</w:t>
      </w:r>
    </w:p>
    <w:p w14:paraId="1FEF1153" w14:textId="77777777" w:rsidR="0034590E" w:rsidRPr="00BA4F0F" w:rsidRDefault="0034590E" w:rsidP="00A72B1B">
      <w:pPr>
        <w:pStyle w:val="1fe"/>
        <w:numPr>
          <w:ilvl w:val="0"/>
          <w:numId w:val="85"/>
        </w:numPr>
        <w:spacing w:beforeAutospacing="0" w:afterAutospacing="0" w:line="360" w:lineRule="auto"/>
        <w:jc w:val="both"/>
      </w:pPr>
      <w:r w:rsidRPr="00BA4F0F">
        <w:t xml:space="preserve">рвота, </w:t>
      </w:r>
    </w:p>
    <w:p w14:paraId="31785187" w14:textId="77777777" w:rsidR="0034590E" w:rsidRPr="00BA4F0F" w:rsidRDefault="0034590E" w:rsidP="00A72B1B">
      <w:pPr>
        <w:pStyle w:val="1fe"/>
        <w:numPr>
          <w:ilvl w:val="0"/>
          <w:numId w:val="85"/>
        </w:numPr>
        <w:spacing w:beforeAutospacing="0" w:afterAutospacing="0" w:line="360" w:lineRule="auto"/>
        <w:jc w:val="both"/>
      </w:pPr>
      <w:r w:rsidRPr="00BA4F0F">
        <w:t xml:space="preserve">потеря аппетита, </w:t>
      </w:r>
    </w:p>
    <w:p w14:paraId="6FDC809B" w14:textId="77777777" w:rsidR="0034590E" w:rsidRPr="00BA4F0F" w:rsidRDefault="0034590E" w:rsidP="00A72B1B">
      <w:pPr>
        <w:pStyle w:val="1fe"/>
        <w:numPr>
          <w:ilvl w:val="0"/>
          <w:numId w:val="85"/>
        </w:numPr>
        <w:spacing w:beforeAutospacing="0" w:afterAutospacing="0" w:line="360" w:lineRule="auto"/>
        <w:jc w:val="both"/>
      </w:pPr>
      <w:r w:rsidRPr="00BA4F0F">
        <w:t xml:space="preserve">дисфагия, </w:t>
      </w:r>
    </w:p>
    <w:p w14:paraId="793EAEF8" w14:textId="77777777" w:rsidR="0034590E" w:rsidRPr="00BA4F0F" w:rsidRDefault="0034590E" w:rsidP="00A72B1B">
      <w:pPr>
        <w:pStyle w:val="1fe"/>
        <w:numPr>
          <w:ilvl w:val="0"/>
          <w:numId w:val="85"/>
        </w:numPr>
        <w:spacing w:beforeAutospacing="0" w:afterAutospacing="0" w:line="360" w:lineRule="auto"/>
        <w:jc w:val="both"/>
      </w:pPr>
      <w:r w:rsidRPr="00BA4F0F">
        <w:t>мукозиты различной степени тяжести,</w:t>
      </w:r>
    </w:p>
    <w:p w14:paraId="74CB5940" w14:textId="77777777" w:rsidR="0034590E" w:rsidRPr="00BA4F0F" w:rsidRDefault="0034590E" w:rsidP="00A72B1B">
      <w:pPr>
        <w:pStyle w:val="1fe"/>
        <w:numPr>
          <w:ilvl w:val="0"/>
          <w:numId w:val="85"/>
        </w:numPr>
        <w:spacing w:beforeAutospacing="0" w:afterAutospacing="0" w:line="360" w:lineRule="auto"/>
        <w:jc w:val="both"/>
      </w:pPr>
      <w:r w:rsidRPr="00BA4F0F">
        <w:t xml:space="preserve">нарушения вкуса и обоняния, </w:t>
      </w:r>
    </w:p>
    <w:p w14:paraId="382BE183" w14:textId="77777777" w:rsidR="0034590E" w:rsidRPr="00BA4F0F" w:rsidRDefault="0034590E" w:rsidP="00A72B1B">
      <w:pPr>
        <w:pStyle w:val="1fe"/>
        <w:numPr>
          <w:ilvl w:val="0"/>
          <w:numId w:val="85"/>
        </w:numPr>
        <w:spacing w:beforeAutospacing="0" w:afterAutospacing="0" w:line="360" w:lineRule="auto"/>
        <w:jc w:val="both"/>
      </w:pPr>
      <w:r w:rsidRPr="00BA4F0F">
        <w:t>некротическая энтеропатия средней и тяжелой степени.</w:t>
      </w:r>
    </w:p>
    <w:p w14:paraId="067742C6" w14:textId="7BA909CB" w:rsidR="0034590E" w:rsidRPr="00BA4F0F" w:rsidRDefault="0034590E" w:rsidP="0034590E">
      <w:pPr>
        <w:pStyle w:val="1fe"/>
        <w:spacing w:beforeAutospacing="0" w:afterAutospacing="0" w:line="360" w:lineRule="auto"/>
        <w:ind w:firstLine="709"/>
        <w:jc w:val="both"/>
      </w:pPr>
      <w:r w:rsidRPr="00BA4F0F">
        <w:t xml:space="preserve">Своевременное выявление пациентов из группы нутритивного риска позволяет защитить пациента от прогрессирующей потери массы тела и развития рефрактерной кахексии. Для первичного скрининга можно использовать хорошо зарекомендовавшие себя шкалы, такие как NRS-2002, ИНР (индекс нарушения питания по Buzby G.P.), бальную шкалу А.Б.В.Г. (ESMO, 2008), индекс массы тела по Кетле и другие </w:t>
      </w:r>
      <w:r>
        <w:fldChar w:fldCharType="begin" w:fldLock="1"/>
      </w:r>
      <w:r w:rsidR="00F44253">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-3","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А.И.","non-dropping-particle":"","parse-names":false,"suffix":""}],"id":"ITEM-3","issued":{"date-parts":[["2014"]]},"title":"Клинические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[143–145]","plainTextFormattedCitation":"[143–145]","previouslyFormattedCitation":"[143–145]"},"properties":{"noteIndex":0},"schema":"https://github.com/citation-style-language/schema/raw/master/csl-citation.json"}</w:instrText>
      </w:r>
      <w:r>
        <w:fldChar w:fldCharType="separate"/>
      </w:r>
      <w:r w:rsidR="004D13EB" w:rsidRPr="004D13EB">
        <w:rPr>
          <w:noProof/>
        </w:rPr>
        <w:t>[143–145]</w:t>
      </w:r>
      <w:r>
        <w:fldChar w:fldCharType="end"/>
      </w:r>
      <w:r w:rsidRPr="00BA4F0F">
        <w:t xml:space="preserve">. </w:t>
      </w:r>
    </w:p>
    <w:p w14:paraId="284953CA" w14:textId="7EE96AE3" w:rsidR="0034590E" w:rsidRPr="00BA4F0F" w:rsidRDefault="0034590E" w:rsidP="0034590E">
      <w:pPr>
        <w:pStyle w:val="1fe"/>
        <w:spacing w:beforeAutospacing="0" w:afterAutospacing="0" w:line="360" w:lineRule="auto"/>
        <w:ind w:firstLine="709"/>
        <w:jc w:val="both"/>
      </w:pPr>
      <w:r w:rsidRPr="00BA4F0F">
        <w:t xml:space="preserve">В том случае, если проведение энтерального питания невозможно или неэффективно, необходимо назначать парентеральное питание </w:t>
      </w:r>
      <w:r w:rsidRPr="00BA4F0F">
        <w:fldChar w:fldCharType="begin" w:fldLock="1"/>
      </w:r>
      <w:r w:rsidR="00F44253">
        <w:instrText>ADDIN CSL_CITATION {"citationItems":[{"id":"ITEM-1","itemData":{"DOI":"10.20960/nh.1361","ISSN":"0212-1611","abstract":"Introducción: La malnutrición es un problema médico frecuente de los pacientes oncológicos que impacta de forma negativa en la calidad de vida. Objetivo: analizar y dar respuesta a diferentes cuestiones a la hora de afrontar el manejo nutricional de un paciente oncológico en la práctica clínica. Métodos: Un grupo multidisciplinar de expertos en Oncología Médica, Farmacia y Nutrición elaboró una lista de temas relacionados con el estado nutricional del paciente oncológico, que fueron agrupados en tres bloques: soporte nutricional; nutrición parenteral (NP) y NP domiciliaria (NPD) en el paciente oncológico. Se realizó una revisión de la literatura que incluyó artículos publicados en español, inglés y francés hasta abril de 2017. El documento se estructuró como un cuestionario con aquellas preguntas que, según el criterio del panel, podrían generar mayor controversia o duda. Resultados: De las 17 cuestiones abordadas, 9 versaron sobre el soporte nutricional; 5 relacionadas con la NP y 3 trataron sobre la NPD. Dentro de las recomendaciones del panel destacar que, en el paciente oncológico, la NP está indicada principalmente cuando no es posible el uso del tubo digestivo y/o la alimentación oral y/o la nutrición enteral no es suficiente o posible. Además, el objetivo de la NPD es mejorar o mantener, el estado de nutrición de un paciente en el ámbito domiciliario. Conclusiones: Esta revisión constituye una herramienta para oncólogos y especialistas responsables del manejo nutricional del paciente con cáncer.","author":[{"dropping-particle":"","family":"Camblor-Álvarez","given":"Miguel","non-dropping-particle":"","parse-names":false,"suffix":""},{"dropping-particle":"","family":"Ocón-Bretón","given":"María Julia","non-dropping-particle":"","parse-names":false,"suffix":""},{"dropping-particle":"","family":"Luengo-Pérez","given":"Luis Miguel","non-dropping-particle":"","parse-names":false,"suffix":""},{"dropping-particle":"","family":"Viruzuela","given":"Juan Antonio","non-dropping-particle":"","parse-names":false,"suffix":""},{"dropping-particle":"","family":"Sendrós-Maroño","given":"María José","non-dropping-particle":"","parse-names":false,"suffix":""},{"dropping-particle":"","family":"Cervera-Peris","given":"Mercedes","non-dropping-particle":"","parse-names":false,"suffix":""},{"dropping-particle":"","family":"Grande","given":"Enrique","non-dropping-particle":"","parse-names":false,"suffix":""},{"dropping-particle":"","family":"Álvarez-Hernández","given":"Julia","non-dropping-particle":"","parse-names":false,"suffix":""},{"dropping-particle":"","family":"Jiménez-Fonseca","given":"Paula","non-dropping-particle":"","parse-names":false,"suffix":""}],"container-title":"Nutrición Hospitalaria","id":"ITEM-1","issue":"1","issued":{"date-parts":[["2018","1"]]},"publisher":"ARAN Ediciones","title":"Soporte nutricional y nutrición parenteral en el paciente oncológico: informe de consenso de un grupo de expertos","type":"article-journal","volume":"35"},"uris":["http://www.mendeley.com/documents/?uuid=2ba4ee95-2957-35dd-a5da-6ddc4066a510","http://www.mendeley.com/documents/?uuid=5fd60395-903b-4161-9de5-593401276b22","http://www.mendeley.com/documents/?uuid=77af6aa2-54a9-4922-85a6-2ba2782c1d0d","http://www.mendeley.com/documents/?uuid=15f2deaa-96e5-4d61-b18b-9ea61e38867f","http://www.mendeley.com/documents/?uuid=bb38c52a-b9be-49b0-b569-e7226cad9509","http://www.mendeley.com/documents/?uuid=cfbf8252-0ba3-48e8-9511-8226f1fa6b44","http://www.mendeley.com/documents/?uuid=28ec27e8-82e5-449f-987c-7f22bad4f962"]}],"mendeley":{"formattedCitation":"[147]","plainTextFormattedCitation":"[147]","previouslyFormattedCitation":"[147]"},"properties":{"noteIndex":0},"schema":"https://github.com/citation-style-language/schema/raw/master/csl-citation.json"}</w:instrText>
      </w:r>
      <w:r w:rsidRPr="00BA4F0F">
        <w:fldChar w:fldCharType="separate"/>
      </w:r>
      <w:r w:rsidR="004D13EB" w:rsidRPr="004D13EB">
        <w:rPr>
          <w:noProof/>
        </w:rPr>
        <w:t>[147]</w:t>
      </w:r>
      <w:r w:rsidRPr="00BA4F0F">
        <w:fldChar w:fldCharType="end"/>
      </w:r>
      <w:r w:rsidRPr="00BA4F0F">
        <w:t xml:space="preserve">. Доставка белка должна быть не менее 1 г/кг/сут, однако при возможности нужно стремиться к 1,5 г/кг/сут. </w:t>
      </w:r>
    </w:p>
    <w:p w14:paraId="20202628" w14:textId="5B659C5A" w:rsidR="0034590E" w:rsidRPr="00BA4F0F" w:rsidRDefault="0034590E" w:rsidP="0034590E">
      <w:pPr>
        <w:pStyle w:val="1fe"/>
        <w:spacing w:beforeAutospacing="0" w:afterAutospacing="0" w:line="360" w:lineRule="auto"/>
        <w:ind w:firstLine="709"/>
        <w:jc w:val="both"/>
      </w:pPr>
      <w:r w:rsidRPr="00BA4F0F">
        <w:lastRenderedPageBreak/>
        <w:t xml:space="preserve">У больных с сопутствующей хронической почечной недостаточностью белковое обеспечение не должно превышать 1–1,2 г/кг/сут. Энергетическое обеспечение больного с онкологическим заболеванием следует поддерживать на уровне 25–30 ккал/кг/сут </w:t>
      </w:r>
      <w:r>
        <w:fldChar w:fldCharType="begin" w:fldLock="1"/>
      </w:r>
      <w:r w:rsidR="00F44253">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[143,144]","plainTextFormattedCitation":"[143,144]","previouslyFormattedCitation":"[143,144]"},"properties":{"noteIndex":0},"schema":"https://github.com/citation-style-language/schema/raw/master/csl-citation.json"}</w:instrText>
      </w:r>
      <w:r>
        <w:fldChar w:fldCharType="separate"/>
      </w:r>
      <w:r w:rsidR="004D13EB" w:rsidRPr="004D13EB">
        <w:rPr>
          <w:noProof/>
        </w:rPr>
        <w:t>[143,144]</w:t>
      </w:r>
      <w:r>
        <w:fldChar w:fldCharType="end"/>
      </w:r>
      <w:r w:rsidRPr="00BA4F0F">
        <w:t>.</w:t>
      </w:r>
    </w:p>
    <w:p w14:paraId="0C6481BC" w14:textId="77777777" w:rsidR="0034590E" w:rsidRPr="00BA4F0F" w:rsidRDefault="0034590E" w:rsidP="0034590E">
      <w:pPr>
        <w:pStyle w:val="1fe"/>
        <w:spacing w:beforeAutospacing="0" w:afterAutospacing="0" w:line="360" w:lineRule="auto"/>
        <w:ind w:firstLine="709"/>
        <w:jc w:val="both"/>
        <w:rPr>
          <w:u w:val="single"/>
        </w:rPr>
      </w:pPr>
    </w:p>
    <w:p w14:paraId="06D1BB6D" w14:textId="10208C9D" w:rsidR="0034590E" w:rsidRPr="00BA4F0F" w:rsidRDefault="0034590E" w:rsidP="0034590E">
      <w:pPr>
        <w:pStyle w:val="1fe"/>
        <w:spacing w:beforeAutospacing="0" w:afterAutospacing="0" w:line="360" w:lineRule="auto"/>
        <w:ind w:firstLine="709"/>
        <w:jc w:val="both"/>
        <w:rPr>
          <w:u w:val="single"/>
        </w:rPr>
      </w:pPr>
      <w:r w:rsidRPr="009A54BC">
        <w:rPr>
          <w:i/>
          <w:iCs/>
        </w:rPr>
        <w:t>Виды нутритивной поддержки</w:t>
      </w:r>
      <w:r w:rsidRPr="00C63399">
        <w:t xml:space="preserve"> </w:t>
      </w:r>
      <w:r w:rsidRPr="00BA4F0F">
        <w:rPr>
          <w:u w:val="single"/>
        </w:rPr>
        <w:fldChar w:fldCharType="begin" w:fldLock="1"/>
      </w:r>
      <w:r w:rsidR="00F44253">
        <w:rPr>
          <w:u w:val="single"/>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-3","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Nutrition","id":"ITEM-3","issue":"1","issued":{"date-parts":[["2017"]]},"page":"11-48","publisher":"Churchill Livingstone","title":"ESPEN guidelines on nutrition in cancer patients","type":"article-journal","volume":"36"},"uris":["http://www.mendeley.com/documents/?uuid=2586b0c4-9eb6-4463-a0ba-87fe84fbad8f"]}],"mendeley":{"formattedCitation":"[143,144,146]","plainTextFormattedCitation":"[143,144,146]","previouslyFormattedCitation":"[143,144,146]"},"properties":{"noteIndex":0},"schema":"https://github.com/citation-style-language/schema/raw/master/csl-citation.json"}</w:instrText>
      </w:r>
      <w:r w:rsidRPr="00BA4F0F">
        <w:rPr>
          <w:u w:val="single"/>
        </w:rPr>
        <w:fldChar w:fldCharType="separate"/>
      </w:r>
      <w:r w:rsidR="004D13EB" w:rsidRPr="004D13EB">
        <w:rPr>
          <w:noProof/>
        </w:rPr>
        <w:t>[143,144,146]</w:t>
      </w:r>
      <w:r w:rsidRPr="00BA4F0F">
        <w:rPr>
          <w:u w:val="single"/>
        </w:rPr>
        <w:fldChar w:fldCharType="end"/>
      </w:r>
    </w:p>
    <w:p w14:paraId="37100BEE" w14:textId="77777777" w:rsidR="0034590E" w:rsidRPr="00BA4F0F" w:rsidRDefault="0034590E" w:rsidP="0034590E">
      <w:pPr>
        <w:pStyle w:val="1fe"/>
        <w:spacing w:beforeAutospacing="0" w:afterAutospacing="0" w:line="360" w:lineRule="auto"/>
        <w:ind w:firstLine="709"/>
        <w:jc w:val="both"/>
      </w:pPr>
      <w:r w:rsidRPr="00BA4F0F">
        <w:t xml:space="preserve">Выделяют три вида нутритивной поддержки: </w:t>
      </w:r>
    </w:p>
    <w:p w14:paraId="7DA6804D" w14:textId="77777777" w:rsidR="0034590E" w:rsidRPr="00BA4F0F" w:rsidRDefault="0034590E" w:rsidP="00A72B1B">
      <w:pPr>
        <w:pStyle w:val="1fe"/>
        <w:numPr>
          <w:ilvl w:val="0"/>
          <w:numId w:val="85"/>
        </w:numPr>
        <w:spacing w:beforeAutospacing="0" w:afterAutospacing="0" w:line="360" w:lineRule="auto"/>
        <w:jc w:val="both"/>
      </w:pPr>
      <w:r w:rsidRPr="00BA4F0F">
        <w:t xml:space="preserve">дополнение к пероральному питанию (сипинг) – пероральный прием лечебного (специализированного) питания маленькими глотками; </w:t>
      </w:r>
    </w:p>
    <w:p w14:paraId="7794F7D1" w14:textId="77777777" w:rsidR="0034590E" w:rsidRPr="00BA4F0F" w:rsidRDefault="0034590E" w:rsidP="00A72B1B">
      <w:pPr>
        <w:pStyle w:val="1fe"/>
        <w:numPr>
          <w:ilvl w:val="0"/>
          <w:numId w:val="85"/>
        </w:numPr>
        <w:spacing w:beforeAutospacing="0" w:afterAutospacing="0" w:line="360" w:lineRule="auto"/>
        <w:jc w:val="both"/>
      </w:pPr>
      <w:r w:rsidRPr="00BA4F0F">
        <w:t xml:space="preserve">энтеральное питание – возможно через назогастральный/назоинтестинальный зонд или через стому (чрескожную, эндоскопическую, лапароскопическую, лапаротомную); </w:t>
      </w:r>
    </w:p>
    <w:p w14:paraId="28F3F1DB" w14:textId="77777777" w:rsidR="0034590E" w:rsidRPr="00BA4F0F" w:rsidRDefault="0034590E" w:rsidP="00A72B1B">
      <w:pPr>
        <w:pStyle w:val="1fe"/>
        <w:numPr>
          <w:ilvl w:val="0"/>
          <w:numId w:val="85"/>
        </w:numPr>
        <w:spacing w:beforeAutospacing="0" w:afterAutospacing="0" w:line="360" w:lineRule="auto"/>
        <w:jc w:val="both"/>
      </w:pPr>
      <w:r w:rsidRPr="00BA4F0F">
        <w:t xml:space="preserve">парентеральное питание. </w:t>
      </w:r>
    </w:p>
    <w:p w14:paraId="31922BD0" w14:textId="77777777" w:rsidR="0034590E" w:rsidRPr="00BA4F0F" w:rsidRDefault="0034590E" w:rsidP="0034590E">
      <w:pPr>
        <w:pStyle w:val="1fe"/>
        <w:spacing w:beforeAutospacing="0" w:afterAutospacing="0" w:line="360" w:lineRule="auto"/>
        <w:ind w:firstLine="709"/>
        <w:jc w:val="both"/>
      </w:pPr>
      <w:r w:rsidRPr="00BA4F0F">
        <w:t>Энтеральное питание является предпочтительным способом нутритивной поддержки за счет его физиологичности, способности поддерживать функцию кишечника, уменьшать гиперметаболический ответ на повреждение, уменьшать транслокацию бактерий и токсинов из кишечника.</w:t>
      </w:r>
    </w:p>
    <w:p w14:paraId="4FA78874" w14:textId="77777777" w:rsidR="0034590E" w:rsidRPr="00BA4F0F" w:rsidRDefault="0034590E" w:rsidP="0034590E">
      <w:pPr>
        <w:pStyle w:val="1fe"/>
        <w:spacing w:beforeAutospacing="0" w:afterAutospacing="0" w:line="360" w:lineRule="auto"/>
        <w:ind w:firstLine="709"/>
        <w:jc w:val="both"/>
      </w:pPr>
      <w:r w:rsidRPr="00BA4F0F">
        <w:t>Энтеральное питание может проводиться при наличии хотя бы частичной функции ЖКТ. Отсутствие выслушиваемой перистальтики не является противопоказанием для энтерального питания.</w:t>
      </w:r>
    </w:p>
    <w:p w14:paraId="692AA553" w14:textId="77668AFE" w:rsidR="0034590E" w:rsidRPr="00BA4F0F" w:rsidRDefault="0034590E" w:rsidP="0034590E">
      <w:pPr>
        <w:pStyle w:val="1fe"/>
        <w:spacing w:beforeAutospacing="0" w:afterAutospacing="0" w:line="360" w:lineRule="auto"/>
        <w:ind w:firstLine="709"/>
        <w:jc w:val="both"/>
      </w:pPr>
      <w:r w:rsidRPr="00BA4F0F">
        <w:t xml:space="preserve">Классификация смесей для энтерального питания </w:t>
      </w:r>
      <w:r w:rsidRPr="00BA4F0F">
        <w:fldChar w:fldCharType="begin" w:fldLock="1"/>
      </w:r>
      <w:r w:rsidR="00F44253">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[143]","plainTextFormattedCitation":"[143]","previouslyFormattedCitation":"[143]"},"properties":{"noteIndex":0},"schema":"https://github.com/citation-style-language/schema/raw/master/csl-citation.json"}</w:instrText>
      </w:r>
      <w:r w:rsidRPr="00BA4F0F">
        <w:fldChar w:fldCharType="separate"/>
      </w:r>
      <w:r w:rsidR="004D13EB" w:rsidRPr="004D13EB">
        <w:rPr>
          <w:noProof/>
        </w:rPr>
        <w:t>[143]</w:t>
      </w:r>
      <w:r w:rsidRPr="00BA4F0F">
        <w:fldChar w:fldCharType="end"/>
      </w:r>
    </w:p>
    <w:p w14:paraId="24156388" w14:textId="77777777" w:rsidR="0034590E" w:rsidRPr="00BA4F0F" w:rsidRDefault="0034590E" w:rsidP="00A72B1B">
      <w:pPr>
        <w:pStyle w:val="1fe"/>
        <w:numPr>
          <w:ilvl w:val="0"/>
          <w:numId w:val="85"/>
        </w:numPr>
        <w:spacing w:beforeAutospacing="0" w:afterAutospacing="0" w:line="360" w:lineRule="auto"/>
        <w:jc w:val="both"/>
      </w:pPr>
      <w:r w:rsidRPr="00BA4F0F">
        <w:t xml:space="preserve">полимерные: состоят из неизмененных белков, жиров и углеводов; </w:t>
      </w:r>
    </w:p>
    <w:p w14:paraId="63980DFA" w14:textId="77777777" w:rsidR="0034590E" w:rsidRPr="00BA4F0F" w:rsidRDefault="0034590E" w:rsidP="00A72B1B">
      <w:pPr>
        <w:pStyle w:val="1fe"/>
        <w:numPr>
          <w:ilvl w:val="0"/>
          <w:numId w:val="85"/>
        </w:numPr>
        <w:spacing w:beforeAutospacing="0" w:afterAutospacing="0" w:line="360" w:lineRule="auto"/>
        <w:jc w:val="both"/>
      </w:pPr>
      <w:r w:rsidRPr="00BA4F0F">
        <w:t xml:space="preserve">олигомерные (полуэлементные): состоят из расщепленных белков и простых углеводов и содержат масла среднецепочечных триглицеридов; </w:t>
      </w:r>
    </w:p>
    <w:p w14:paraId="5B5D2B27" w14:textId="77777777" w:rsidR="0034590E" w:rsidRPr="00BA4F0F" w:rsidRDefault="0034590E" w:rsidP="00A72B1B">
      <w:pPr>
        <w:pStyle w:val="1fe"/>
        <w:numPr>
          <w:ilvl w:val="0"/>
          <w:numId w:val="85"/>
        </w:numPr>
        <w:spacing w:beforeAutospacing="0" w:afterAutospacing="0" w:line="360" w:lineRule="auto"/>
        <w:jc w:val="both"/>
      </w:pPr>
      <w:r w:rsidRPr="00BA4F0F">
        <w:t xml:space="preserve">смеси для определенных состояний, изготовленные с учетом потребностей конкретного пациента, страдающего тем или иным заболеванием (сахарный диабет, заболевания почек, печени, легких). </w:t>
      </w:r>
    </w:p>
    <w:p w14:paraId="204D5043" w14:textId="72439B0C" w:rsidR="0034590E" w:rsidRPr="00BA4F0F" w:rsidRDefault="0034590E" w:rsidP="0034590E">
      <w:pPr>
        <w:pStyle w:val="1fe"/>
        <w:spacing w:beforeAutospacing="0" w:afterAutospacing="0" w:line="360" w:lineRule="auto"/>
        <w:ind w:firstLine="709"/>
        <w:jc w:val="both"/>
      </w:pPr>
      <w:r w:rsidRPr="00BA4F0F">
        <w:t xml:space="preserve">Противопоказания к энтеральному питанию </w:t>
      </w:r>
      <w:r>
        <w:fldChar w:fldCharType="begin" w:fldLock="1"/>
      </w:r>
      <w:r w:rsidR="00F44253">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[143,145]","plainTextFormattedCitation":"[143,145]","previouslyFormattedCitation":"[143,145]"},"properties":{"noteIndex":0},"schema":"https://github.com/citation-style-language/schema/raw/master/csl-citation.json"}</w:instrText>
      </w:r>
      <w:r>
        <w:fldChar w:fldCharType="separate"/>
      </w:r>
      <w:r w:rsidR="004D13EB" w:rsidRPr="004D13EB">
        <w:rPr>
          <w:noProof/>
        </w:rPr>
        <w:t>[143,145]</w:t>
      </w:r>
      <w:r>
        <w:fldChar w:fldCharType="end"/>
      </w:r>
    </w:p>
    <w:p w14:paraId="510CCCB1" w14:textId="77777777" w:rsidR="0034590E" w:rsidRPr="00BA4F0F" w:rsidRDefault="0034590E" w:rsidP="00A72B1B">
      <w:pPr>
        <w:pStyle w:val="1fe"/>
        <w:numPr>
          <w:ilvl w:val="0"/>
          <w:numId w:val="85"/>
        </w:numPr>
        <w:spacing w:beforeAutospacing="0" w:afterAutospacing="0" w:line="360" w:lineRule="auto"/>
        <w:jc w:val="both"/>
      </w:pPr>
      <w:r w:rsidRPr="00BA4F0F">
        <w:t xml:space="preserve">механическая кишечная непроходимость; </w:t>
      </w:r>
    </w:p>
    <w:p w14:paraId="73157E89" w14:textId="77777777" w:rsidR="0034590E" w:rsidRPr="00BA4F0F" w:rsidRDefault="0034590E" w:rsidP="00A72B1B">
      <w:pPr>
        <w:pStyle w:val="1fe"/>
        <w:numPr>
          <w:ilvl w:val="0"/>
          <w:numId w:val="85"/>
        </w:numPr>
        <w:spacing w:beforeAutospacing="0" w:afterAutospacing="0" w:line="360" w:lineRule="auto"/>
        <w:jc w:val="both"/>
      </w:pPr>
      <w:r w:rsidRPr="00BA4F0F">
        <w:t xml:space="preserve">выраженная тошнота и рвота, не купирующаяся антиэметической терапией; </w:t>
      </w:r>
    </w:p>
    <w:p w14:paraId="1AA43E9D" w14:textId="77777777" w:rsidR="0034590E" w:rsidRPr="00BA4F0F" w:rsidRDefault="0034590E" w:rsidP="00A72B1B">
      <w:pPr>
        <w:pStyle w:val="1fe"/>
        <w:numPr>
          <w:ilvl w:val="0"/>
          <w:numId w:val="85"/>
        </w:numPr>
        <w:spacing w:beforeAutospacing="0" w:afterAutospacing="0" w:line="360" w:lineRule="auto"/>
        <w:jc w:val="both"/>
      </w:pPr>
      <w:r w:rsidRPr="00BA4F0F">
        <w:t xml:space="preserve">гипоксия (раО2 70 мм рт. ст.). </w:t>
      </w:r>
    </w:p>
    <w:p w14:paraId="2A02D5CB" w14:textId="7FE683D1" w:rsidR="0034590E" w:rsidRPr="00BA4F0F" w:rsidRDefault="0034590E" w:rsidP="0034590E">
      <w:pPr>
        <w:pStyle w:val="1fe"/>
        <w:spacing w:beforeAutospacing="0" w:afterAutospacing="0" w:line="360" w:lineRule="auto"/>
        <w:ind w:firstLine="709"/>
        <w:jc w:val="both"/>
      </w:pPr>
      <w:r w:rsidRPr="00BA4F0F">
        <w:t xml:space="preserve">Показанием к парентеральному питанию является невозможность адекватного энтерального питания более 3 суток </w:t>
      </w:r>
      <w:r w:rsidRPr="00BA4F0F">
        <w:fldChar w:fldCharType="begin" w:fldLock="1"/>
      </w:r>
      <w:r w:rsidR="00F44253">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[144]","plainTextFormattedCitation":"[144]","previouslyFormattedCitation":"[144]"},"properties":{"noteIndex":0},"schema":"https://github.com/citation-style-language/schema/raw/master/csl-citation.json"}</w:instrText>
      </w:r>
      <w:r w:rsidRPr="00BA4F0F">
        <w:fldChar w:fldCharType="separate"/>
      </w:r>
      <w:r w:rsidR="004D13EB" w:rsidRPr="004D13EB">
        <w:rPr>
          <w:noProof/>
        </w:rPr>
        <w:t>[144]</w:t>
      </w:r>
      <w:r w:rsidRPr="00BA4F0F">
        <w:fldChar w:fldCharType="end"/>
      </w:r>
      <w:r w:rsidRPr="00BA4F0F">
        <w:t>. В зависимости от продолжительности парентеральное питание подразделяется на:</w:t>
      </w:r>
    </w:p>
    <w:p w14:paraId="49D08E88" w14:textId="77777777" w:rsidR="0034590E" w:rsidRPr="00BA4F0F" w:rsidRDefault="0034590E" w:rsidP="00A72B1B">
      <w:pPr>
        <w:pStyle w:val="1fe"/>
        <w:numPr>
          <w:ilvl w:val="0"/>
          <w:numId w:val="85"/>
        </w:numPr>
        <w:spacing w:beforeAutospacing="0" w:afterAutospacing="0" w:line="360" w:lineRule="auto"/>
        <w:jc w:val="both"/>
      </w:pPr>
      <w:r w:rsidRPr="00BA4F0F">
        <w:lastRenderedPageBreak/>
        <w:t>краткосрочное ПП (10–15 суток):</w:t>
      </w:r>
    </w:p>
    <w:p w14:paraId="60F8E3AD" w14:textId="77777777" w:rsidR="0034590E" w:rsidRPr="00BA4F0F" w:rsidRDefault="0034590E" w:rsidP="00A72B1B">
      <w:pPr>
        <w:pStyle w:val="1fe"/>
        <w:numPr>
          <w:ilvl w:val="1"/>
          <w:numId w:val="85"/>
        </w:numPr>
        <w:spacing w:beforeAutospacing="0" w:afterAutospacing="0" w:line="360" w:lineRule="auto"/>
        <w:jc w:val="both"/>
      </w:pPr>
      <w:r w:rsidRPr="00BA4F0F">
        <w:t>острый и тяжелый мукозит, илеус, некупируемая рвота;</w:t>
      </w:r>
    </w:p>
    <w:p w14:paraId="47434FBF" w14:textId="77777777" w:rsidR="0034590E" w:rsidRPr="00BA4F0F" w:rsidRDefault="0034590E" w:rsidP="00A72B1B">
      <w:pPr>
        <w:pStyle w:val="1fe"/>
        <w:numPr>
          <w:ilvl w:val="0"/>
          <w:numId w:val="85"/>
        </w:numPr>
        <w:spacing w:beforeAutospacing="0" w:afterAutospacing="0" w:line="360" w:lineRule="auto"/>
        <w:jc w:val="both"/>
      </w:pPr>
      <w:r w:rsidRPr="00BA4F0F">
        <w:t>длительное (более 30 суток):</w:t>
      </w:r>
    </w:p>
    <w:p w14:paraId="7C571B70" w14:textId="77777777" w:rsidR="0034590E" w:rsidRPr="00BA4F0F" w:rsidRDefault="0034590E" w:rsidP="00A72B1B">
      <w:pPr>
        <w:pStyle w:val="1fe"/>
        <w:numPr>
          <w:ilvl w:val="1"/>
          <w:numId w:val="85"/>
        </w:numPr>
        <w:spacing w:beforeAutospacing="0" w:afterAutospacing="0" w:line="360" w:lineRule="auto"/>
        <w:jc w:val="both"/>
      </w:pPr>
      <w:r w:rsidRPr="00BA4F0F">
        <w:t>тяжелая мальабсорбция;</w:t>
      </w:r>
    </w:p>
    <w:p w14:paraId="34C49BB6" w14:textId="77777777" w:rsidR="0034590E" w:rsidRPr="00BA4F0F" w:rsidRDefault="0034590E" w:rsidP="00A72B1B">
      <w:pPr>
        <w:pStyle w:val="1fe"/>
        <w:numPr>
          <w:ilvl w:val="1"/>
          <w:numId w:val="85"/>
        </w:numPr>
        <w:spacing w:beforeAutospacing="0" w:afterAutospacing="0" w:line="360" w:lineRule="auto"/>
        <w:jc w:val="both"/>
      </w:pPr>
      <w:r w:rsidRPr="00BA4F0F">
        <w:t>подострый или хронический энтерит;</w:t>
      </w:r>
    </w:p>
    <w:p w14:paraId="7596710D" w14:textId="2A7CD0C6" w:rsidR="0034590E" w:rsidRPr="00BA4F0F" w:rsidRDefault="0034590E" w:rsidP="00A72B1B">
      <w:pPr>
        <w:pStyle w:val="1fe"/>
        <w:numPr>
          <w:ilvl w:val="1"/>
          <w:numId w:val="85"/>
        </w:numPr>
        <w:spacing w:beforeAutospacing="0" w:afterAutospacing="0" w:line="360" w:lineRule="auto"/>
        <w:jc w:val="both"/>
      </w:pPr>
      <w:r w:rsidRPr="00BA4F0F">
        <w:t xml:space="preserve">тяжелая энтеропатия </w:t>
      </w:r>
      <w:r>
        <w:fldChar w:fldCharType="begin" w:fldLock="1"/>
      </w:r>
      <w:r w:rsidR="00F44253">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10.1001/jama.2019.4410","ISSN":"15383598","PMID":"31162570","author":[{"dropping-particle":"","family":"Baiu","given":"Ioana","non-dropping-particle":"","parse-names":false,"suffix":""},{"dropping-particle":"","family":"Spain","given":"David A.","non-dropping-particle":"","parse-names":false,"suffix":""}],"container-title":"JAMA - Journal of the American Medical Association","id":"ITEM-2","issue":"21","issued":{"date-parts":[["2019","6"]]},"page":"2142","publisher":"American Medical Association","title":"Parenteral Nutrition","type":"article","volume":"321"},"uris":["http://www.mendeley.com/documents/?uuid=319ff49c-9a97-32da-a348-b9d79eca400b","http://www.mendeley.com/documents/?uuid=03649143-9c16-417d-8fce-a095e89ff015","http://www.mendeley.com/documents/?uuid=8d92b52e-0af0-435c-9547-6d9170d6c9cc","http://www.mendeley.com/documents/?uuid=49bd1d62-adbc-4b20-8d75-34e8045f6cca","http://www.mendeley.com/documents/?uuid=f45d6235-29b7-40a1-9ebd-0275ed3b5ca7","http://www.mendeley.com/documents/?uuid=34664a84-1020-4ffd-981d-6f9624985d2e","http://www.mendeley.com/documents/?uuid=1967195b-eca8-4ade-9d2d-ff8332f19f7b"]}],"mendeley":{"formattedCitation":"[143,148]","plainTextFormattedCitation":"[143,148]","previouslyFormattedCitation":"[143,148]"},"properties":{"noteIndex":0},"schema":"https://github.com/citation-style-language/schema/raw/master/csl-citation.json"}</w:instrText>
      </w:r>
      <w:r>
        <w:fldChar w:fldCharType="separate"/>
      </w:r>
      <w:r w:rsidR="004D13EB" w:rsidRPr="004D13EB">
        <w:rPr>
          <w:noProof/>
        </w:rPr>
        <w:t>[143,148]</w:t>
      </w:r>
      <w:r>
        <w:fldChar w:fldCharType="end"/>
      </w:r>
      <w:r w:rsidRPr="00BA4F0F">
        <w:t>.</w:t>
      </w:r>
    </w:p>
    <w:p w14:paraId="277BFB0E" w14:textId="77777777" w:rsidR="0034590E" w:rsidRPr="00BA4F0F" w:rsidRDefault="0034590E" w:rsidP="0034590E">
      <w:pPr>
        <w:pStyle w:val="1fe"/>
        <w:spacing w:beforeAutospacing="0" w:afterAutospacing="0" w:line="360" w:lineRule="auto"/>
        <w:ind w:firstLine="709"/>
        <w:jc w:val="both"/>
      </w:pPr>
      <w:r w:rsidRPr="00BA4F0F">
        <w:t xml:space="preserve">Необходимые организму нутриенты вводятся непосредственно в кровь. Основными составляющими парентерального питания являются: </w:t>
      </w:r>
    </w:p>
    <w:p w14:paraId="5A5B2153" w14:textId="77777777" w:rsidR="0034590E" w:rsidRPr="00BA4F0F" w:rsidRDefault="0034590E" w:rsidP="00A72B1B">
      <w:pPr>
        <w:pStyle w:val="1fe"/>
        <w:numPr>
          <w:ilvl w:val="0"/>
          <w:numId w:val="85"/>
        </w:numPr>
        <w:spacing w:beforeAutospacing="0" w:afterAutospacing="0" w:line="360" w:lineRule="auto"/>
        <w:jc w:val="both"/>
      </w:pPr>
      <w:r w:rsidRPr="00BA4F0F">
        <w:t xml:space="preserve">источники энергии: 10–20% растворы углеводов, жировые эмульсии; </w:t>
      </w:r>
    </w:p>
    <w:p w14:paraId="751A53CD" w14:textId="77777777" w:rsidR="0034590E" w:rsidRPr="00BA4F0F" w:rsidRDefault="0034590E" w:rsidP="00A72B1B">
      <w:pPr>
        <w:pStyle w:val="1fe"/>
        <w:numPr>
          <w:ilvl w:val="0"/>
          <w:numId w:val="85"/>
        </w:numPr>
        <w:spacing w:beforeAutospacing="0" w:afterAutospacing="0" w:line="360" w:lineRule="auto"/>
        <w:jc w:val="both"/>
      </w:pPr>
      <w:r w:rsidRPr="00BA4F0F">
        <w:t xml:space="preserve">источники пластического материала: растворы кристаллических аминокислот; </w:t>
      </w:r>
    </w:p>
    <w:p w14:paraId="0E0DD9D5" w14:textId="5F8E5DE4" w:rsidR="0034590E" w:rsidRPr="00BA4F0F" w:rsidRDefault="0034590E" w:rsidP="00A72B1B">
      <w:pPr>
        <w:pStyle w:val="1fe"/>
        <w:numPr>
          <w:ilvl w:val="0"/>
          <w:numId w:val="85"/>
        </w:numPr>
        <w:spacing w:beforeAutospacing="0" w:afterAutospacing="0" w:line="360" w:lineRule="auto"/>
        <w:jc w:val="both"/>
      </w:pPr>
      <w:r w:rsidRPr="00BA4F0F">
        <w:t xml:space="preserve">поливитаминные комплексы для парентерального введения: – препараты водорастворимых витаминов; – препараты жирорастворимых витаминов; – препараты водо- и жирорастворимых витаминов; – комплексы микроэлементов для парентерального введения </w:t>
      </w:r>
      <w:r w:rsidRPr="00BA4F0F">
        <w:fldChar w:fldCharType="begin" w:fldLock="1"/>
      </w:r>
      <w:r w:rsidR="00F44253">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[144]","plainTextFormattedCitation":"[144]","previouslyFormattedCitation":"[144]"},"properties":{"noteIndex":0},"schema":"https://github.com/citation-style-language/schema/raw/master/csl-citation.json"}</w:instrText>
      </w:r>
      <w:r w:rsidRPr="00BA4F0F">
        <w:fldChar w:fldCharType="separate"/>
      </w:r>
      <w:r w:rsidR="004D13EB" w:rsidRPr="004D13EB">
        <w:rPr>
          <w:noProof/>
        </w:rPr>
        <w:t>[144]</w:t>
      </w:r>
      <w:r w:rsidRPr="00BA4F0F">
        <w:fldChar w:fldCharType="end"/>
      </w:r>
      <w:r w:rsidRPr="00BA4F0F">
        <w:t xml:space="preserve">. </w:t>
      </w:r>
    </w:p>
    <w:p w14:paraId="446A8BAF" w14:textId="741A5476" w:rsidR="0034590E" w:rsidRPr="00BA4F0F" w:rsidRDefault="0034590E" w:rsidP="0034590E">
      <w:pPr>
        <w:pStyle w:val="1fe"/>
        <w:spacing w:beforeAutospacing="0" w:afterAutospacing="0" w:line="360" w:lineRule="auto"/>
        <w:ind w:firstLine="709"/>
        <w:jc w:val="both"/>
      </w:pPr>
      <w:r w:rsidRPr="00BA4F0F">
        <w:t xml:space="preserve">Системы парентерального питания </w:t>
      </w:r>
      <w:r>
        <w:fldChar w:fldCharType="begin" w:fldLock="1"/>
      </w:r>
      <w:r w:rsidR="00F44253">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[143,146]","plainTextFormattedCitation":"[143,146]","previouslyFormattedCitation":"[143,146]"},"properties":{"noteIndex":0},"schema":"https://github.com/citation-style-language/schema/raw/master/csl-citation.json"}</w:instrText>
      </w:r>
      <w:r>
        <w:fldChar w:fldCharType="separate"/>
      </w:r>
      <w:r w:rsidR="004D13EB" w:rsidRPr="004D13EB">
        <w:rPr>
          <w:noProof/>
        </w:rPr>
        <w:t>[143,146]</w:t>
      </w:r>
      <w:r>
        <w:fldChar w:fldCharType="end"/>
      </w:r>
    </w:p>
    <w:p w14:paraId="467D811B" w14:textId="77777777" w:rsidR="0034590E" w:rsidRPr="00BA4F0F" w:rsidRDefault="0034590E" w:rsidP="00A72B1B">
      <w:pPr>
        <w:pStyle w:val="1fe"/>
        <w:numPr>
          <w:ilvl w:val="0"/>
          <w:numId w:val="85"/>
        </w:numPr>
        <w:spacing w:beforeAutospacing="0" w:afterAutospacing="0" w:line="360" w:lineRule="auto"/>
        <w:jc w:val="both"/>
      </w:pPr>
      <w:r w:rsidRPr="00BA4F0F">
        <w:t xml:space="preserve">«модульная» – использование флаконов с аминокислотами, глюкозой, жировыми эмульсиями; (главным недостатком данного метода является различная скорость введения препаратов); </w:t>
      </w:r>
    </w:p>
    <w:p w14:paraId="57CEBC0E" w14:textId="77777777" w:rsidR="0034590E" w:rsidRPr="00BA4F0F" w:rsidRDefault="0034590E" w:rsidP="00A72B1B">
      <w:pPr>
        <w:pStyle w:val="1fe"/>
        <w:numPr>
          <w:ilvl w:val="0"/>
          <w:numId w:val="85"/>
        </w:numPr>
        <w:spacing w:beforeAutospacing="0" w:afterAutospacing="0" w:line="360" w:lineRule="auto"/>
        <w:jc w:val="both"/>
      </w:pPr>
      <w:r w:rsidRPr="00BA4F0F">
        <w:t xml:space="preserve">система «все в одном» предполагает использование двух- и трехкомпонентных контейнеров с подобранным необходимым количеством и метаболически верным соотношением аминокислот, глюкозы, липидов и электролитов. </w:t>
      </w:r>
    </w:p>
    <w:p w14:paraId="3111375C" w14:textId="4A256AF7" w:rsidR="0034590E" w:rsidRPr="00BA4F0F" w:rsidRDefault="0034590E" w:rsidP="0034590E">
      <w:pPr>
        <w:pStyle w:val="1fe"/>
        <w:spacing w:beforeAutospacing="0" w:afterAutospacing="0" w:line="360" w:lineRule="auto"/>
        <w:ind w:firstLine="709"/>
        <w:jc w:val="both"/>
      </w:pPr>
      <w:r w:rsidRPr="00BA4F0F">
        <w:t xml:space="preserve">Противопоказания к парентеральному питанию </w:t>
      </w:r>
      <w:r>
        <w:fldChar w:fldCharType="begin" w:fldLock="1"/>
      </w:r>
      <w:r w:rsidR="00F44253">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[143,146]","plainTextFormattedCitation":"[143,146]","previouslyFormattedCitation":"[143,146]"},"properties":{"noteIndex":0},"schema":"https://github.com/citation-style-language/schema/raw/master/csl-citation.json"}</w:instrText>
      </w:r>
      <w:r>
        <w:fldChar w:fldCharType="separate"/>
      </w:r>
      <w:r w:rsidR="004D13EB" w:rsidRPr="004D13EB">
        <w:rPr>
          <w:noProof/>
        </w:rPr>
        <w:t>[143,146]</w:t>
      </w:r>
      <w:r>
        <w:fldChar w:fldCharType="end"/>
      </w:r>
    </w:p>
    <w:p w14:paraId="7C8588D4" w14:textId="77777777" w:rsidR="0034590E" w:rsidRPr="00BA4F0F" w:rsidRDefault="0034590E" w:rsidP="00A72B1B">
      <w:pPr>
        <w:pStyle w:val="1fe"/>
        <w:numPr>
          <w:ilvl w:val="0"/>
          <w:numId w:val="85"/>
        </w:numPr>
        <w:spacing w:beforeAutospacing="0" w:afterAutospacing="0" w:line="360" w:lineRule="auto"/>
        <w:jc w:val="both"/>
      </w:pPr>
      <w:r w:rsidRPr="00BA4F0F">
        <w:t>возможность энтерального питания;</w:t>
      </w:r>
    </w:p>
    <w:p w14:paraId="29DF2700" w14:textId="77777777" w:rsidR="0034590E" w:rsidRPr="00BA4F0F" w:rsidRDefault="0034590E" w:rsidP="00A72B1B">
      <w:pPr>
        <w:pStyle w:val="1fe"/>
        <w:numPr>
          <w:ilvl w:val="0"/>
          <w:numId w:val="85"/>
        </w:numPr>
        <w:spacing w:beforeAutospacing="0" w:afterAutospacing="0" w:line="360" w:lineRule="auto"/>
        <w:jc w:val="both"/>
      </w:pPr>
      <w:r w:rsidRPr="00BA4F0F">
        <w:t xml:space="preserve">невозможность обеспечения адекватного сосудистого доступа; </w:t>
      </w:r>
    </w:p>
    <w:p w14:paraId="70E7F9BF" w14:textId="77777777" w:rsidR="0034590E" w:rsidRPr="00BA4F0F" w:rsidRDefault="0034590E" w:rsidP="00A72B1B">
      <w:pPr>
        <w:pStyle w:val="1fe"/>
        <w:numPr>
          <w:ilvl w:val="0"/>
          <w:numId w:val="85"/>
        </w:numPr>
        <w:spacing w:beforeAutospacing="0" w:afterAutospacing="0" w:line="360" w:lineRule="auto"/>
        <w:jc w:val="both"/>
      </w:pPr>
      <w:r w:rsidRPr="00BA4F0F">
        <w:t xml:space="preserve">отсутствие признаков белково-энергетической недостаточности; </w:t>
      </w:r>
    </w:p>
    <w:p w14:paraId="0E6510EC" w14:textId="77777777" w:rsidR="0034590E" w:rsidRPr="00BA4F0F" w:rsidRDefault="0034590E" w:rsidP="00A72B1B">
      <w:pPr>
        <w:pStyle w:val="1fe"/>
        <w:numPr>
          <w:ilvl w:val="0"/>
          <w:numId w:val="85"/>
        </w:numPr>
        <w:spacing w:beforeAutospacing="0" w:afterAutospacing="0" w:line="360" w:lineRule="auto"/>
        <w:jc w:val="both"/>
      </w:pPr>
      <w:r w:rsidRPr="00BA4F0F">
        <w:t xml:space="preserve">гипоксия (раО2 70 мм рт. ст., сывороточный лактат &gt; 3 ммоль/л); </w:t>
      </w:r>
    </w:p>
    <w:p w14:paraId="5646DD03" w14:textId="77777777" w:rsidR="0034590E" w:rsidRPr="00BA4F0F" w:rsidRDefault="0034590E" w:rsidP="00A72B1B">
      <w:pPr>
        <w:pStyle w:val="1fe"/>
        <w:numPr>
          <w:ilvl w:val="0"/>
          <w:numId w:val="85"/>
        </w:numPr>
        <w:spacing w:beforeAutospacing="0" w:afterAutospacing="0" w:line="360" w:lineRule="auto"/>
        <w:jc w:val="both"/>
      </w:pPr>
      <w:r w:rsidRPr="00BA4F0F">
        <w:t xml:space="preserve">анурия или гипергидратация без диализа. </w:t>
      </w:r>
    </w:p>
    <w:p w14:paraId="7799AD87" w14:textId="1E6EEE85" w:rsidR="0034590E" w:rsidRPr="00BA4F0F" w:rsidRDefault="0034590E" w:rsidP="0034590E">
      <w:pPr>
        <w:pStyle w:val="1fe"/>
        <w:spacing w:beforeAutospacing="0" w:afterAutospacing="0" w:line="360" w:lineRule="auto"/>
        <w:ind w:firstLine="709"/>
        <w:jc w:val="both"/>
      </w:pPr>
      <w:r w:rsidRPr="00BA4F0F">
        <w:t xml:space="preserve">Смешанное питание </w:t>
      </w:r>
      <w:r>
        <w:fldChar w:fldCharType="begin" w:fldLock="1"/>
      </w:r>
      <w:r w:rsidR="00F44253">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[143,145]","plainTextFormattedCitation":"[143,145]","previouslyFormattedCitation":"[143,145]"},"properties":{"noteIndex":0},"schema":"https://github.com/citation-style-language/schema/raw/master/csl-citation.json"}</w:instrText>
      </w:r>
      <w:r>
        <w:fldChar w:fldCharType="separate"/>
      </w:r>
      <w:r w:rsidR="004D13EB" w:rsidRPr="004D13EB">
        <w:rPr>
          <w:noProof/>
        </w:rPr>
        <w:t>[143,145]</w:t>
      </w:r>
      <w:r>
        <w:fldChar w:fldCharType="end"/>
      </w:r>
    </w:p>
    <w:p w14:paraId="5DA31465" w14:textId="77777777" w:rsidR="0034590E" w:rsidRPr="00BA4F0F" w:rsidRDefault="0034590E" w:rsidP="0034590E">
      <w:pPr>
        <w:pStyle w:val="1fe"/>
        <w:spacing w:beforeAutospacing="0" w:afterAutospacing="0" w:line="360" w:lineRule="auto"/>
        <w:ind w:firstLine="709"/>
        <w:jc w:val="both"/>
      </w:pPr>
      <w:r w:rsidRPr="00BA4F0F">
        <w:t xml:space="preserve">Энтеральное и парентеральное питание может назначаться пациентам одновременно при недостаточной эффективности одного из этих методов (не позволяющем обеспечить более 60% от потребности в энергии). </w:t>
      </w:r>
    </w:p>
    <w:p w14:paraId="54524660" w14:textId="77777777" w:rsidR="0034590E" w:rsidRDefault="0034590E" w:rsidP="0034590E">
      <w:pPr>
        <w:pStyle w:val="1fe"/>
        <w:spacing w:beforeAutospacing="0" w:afterAutospacing="0" w:line="360" w:lineRule="auto"/>
        <w:ind w:firstLine="709"/>
        <w:jc w:val="both"/>
      </w:pPr>
    </w:p>
    <w:p w14:paraId="7362A8FD" w14:textId="77777777" w:rsidR="0034590E" w:rsidRPr="00CF578C" w:rsidRDefault="0034590E" w:rsidP="0034590E">
      <w:pPr>
        <w:pStyle w:val="1fe"/>
        <w:spacing w:beforeAutospacing="0" w:afterAutospacing="0" w:line="360" w:lineRule="auto"/>
        <w:ind w:firstLine="709"/>
        <w:jc w:val="both"/>
        <w:rPr>
          <w:i/>
          <w:iCs/>
        </w:rPr>
      </w:pPr>
      <w:r w:rsidRPr="002363B2">
        <w:rPr>
          <w:i/>
          <w:iCs/>
        </w:rPr>
        <w:lastRenderedPageBreak/>
        <w:t xml:space="preserve">Мониторинг эффективности нутритивной поддержки </w:t>
      </w:r>
    </w:p>
    <w:p w14:paraId="2AF9E321" w14:textId="77777777" w:rsidR="0034590E" w:rsidRPr="00BA4F0F" w:rsidRDefault="0034590E" w:rsidP="0034590E">
      <w:pPr>
        <w:pStyle w:val="1fe"/>
        <w:spacing w:beforeAutospacing="0" w:afterAutospacing="0" w:line="360" w:lineRule="auto"/>
        <w:ind w:firstLine="709"/>
        <w:jc w:val="both"/>
      </w:pPr>
      <w:r w:rsidRPr="00BA4F0F">
        <w:t>Частота исследования данных показателей может изменяться в зависимости от конкретной клинической ситуации.</w:t>
      </w:r>
    </w:p>
    <w:p w14:paraId="4F8B2E25" w14:textId="77777777" w:rsidR="0034590E" w:rsidRPr="00BA4F0F" w:rsidRDefault="0034590E" w:rsidP="00A72B1B">
      <w:pPr>
        <w:pStyle w:val="1fe"/>
        <w:numPr>
          <w:ilvl w:val="0"/>
          <w:numId w:val="85"/>
        </w:numPr>
        <w:spacing w:beforeAutospacing="0" w:afterAutospacing="0" w:line="360" w:lineRule="auto"/>
        <w:jc w:val="both"/>
      </w:pPr>
      <w:r w:rsidRPr="00BA4F0F">
        <w:t>Общий белок сыворотки крови 1 раз в 5–7 дней.</w:t>
      </w:r>
    </w:p>
    <w:p w14:paraId="29763462" w14:textId="77777777" w:rsidR="0034590E" w:rsidRPr="00BA4F0F" w:rsidRDefault="0034590E" w:rsidP="00A72B1B">
      <w:pPr>
        <w:pStyle w:val="1fe"/>
        <w:numPr>
          <w:ilvl w:val="0"/>
          <w:numId w:val="85"/>
        </w:numPr>
        <w:spacing w:beforeAutospacing="0" w:afterAutospacing="0" w:line="360" w:lineRule="auto"/>
        <w:jc w:val="both"/>
      </w:pPr>
      <w:r w:rsidRPr="00BA4F0F">
        <w:t>Альбумин сыворотки крови 1 раз в 5–7 дней.</w:t>
      </w:r>
    </w:p>
    <w:p w14:paraId="36C45F81" w14:textId="77777777" w:rsidR="0034590E" w:rsidRPr="00BA4F0F" w:rsidRDefault="0034590E" w:rsidP="00A72B1B">
      <w:pPr>
        <w:pStyle w:val="1fe"/>
        <w:numPr>
          <w:ilvl w:val="0"/>
          <w:numId w:val="85"/>
        </w:numPr>
        <w:spacing w:beforeAutospacing="0" w:afterAutospacing="0" w:line="360" w:lineRule="auto"/>
        <w:jc w:val="both"/>
      </w:pPr>
      <w:r w:rsidRPr="00BA4F0F">
        <w:t>Гемоглобин 1 раз в 5–7 дней.</w:t>
      </w:r>
    </w:p>
    <w:p w14:paraId="2690B1C7" w14:textId="77777777" w:rsidR="0034590E" w:rsidRPr="00BA4F0F" w:rsidRDefault="0034590E" w:rsidP="00A72B1B">
      <w:pPr>
        <w:pStyle w:val="1fe"/>
        <w:numPr>
          <w:ilvl w:val="0"/>
          <w:numId w:val="85"/>
        </w:numPr>
        <w:spacing w:beforeAutospacing="0" w:afterAutospacing="0" w:line="360" w:lineRule="auto"/>
        <w:jc w:val="both"/>
      </w:pPr>
      <w:r w:rsidRPr="00BA4F0F">
        <w:t>Лимфоциты периферической крови 1 раз в 5–7 дней.</w:t>
      </w:r>
    </w:p>
    <w:p w14:paraId="1800F7F0" w14:textId="77777777" w:rsidR="0034590E" w:rsidRPr="00BA4F0F" w:rsidRDefault="0034590E" w:rsidP="00A72B1B">
      <w:pPr>
        <w:pStyle w:val="1fe"/>
        <w:numPr>
          <w:ilvl w:val="0"/>
          <w:numId w:val="85"/>
        </w:numPr>
        <w:spacing w:beforeAutospacing="0" w:afterAutospacing="0" w:line="360" w:lineRule="auto"/>
        <w:jc w:val="both"/>
      </w:pPr>
      <w:r w:rsidRPr="00BA4F0F">
        <w:t>Масса тела и ИМТ тела 1 раз в 7–10 дней.</w:t>
      </w:r>
    </w:p>
    <w:p w14:paraId="78346117" w14:textId="77777777" w:rsidR="0034590E" w:rsidRPr="00CF578C" w:rsidRDefault="0034590E" w:rsidP="0034590E">
      <w:pPr>
        <w:pStyle w:val="1fe"/>
        <w:spacing w:beforeAutospacing="0" w:afterAutospacing="0" w:line="360" w:lineRule="auto"/>
      </w:pPr>
    </w:p>
    <w:p w14:paraId="0C7DA452" w14:textId="77777777" w:rsidR="0034590E" w:rsidRDefault="0034590E" w:rsidP="0034590E">
      <w:pPr>
        <w:pStyle w:val="1fe"/>
        <w:spacing w:beforeAutospacing="0" w:afterAutospacing="0" w:line="360" w:lineRule="auto"/>
        <w:rPr>
          <w:rFonts w:cstheme="minorHAnsi"/>
        </w:rPr>
      </w:pPr>
    </w:p>
    <w:p w14:paraId="4B15A618" w14:textId="77777777" w:rsidR="0034590E" w:rsidRPr="00BA4F0F" w:rsidRDefault="0034590E" w:rsidP="0034590E">
      <w:pPr>
        <w:autoSpaceDE w:val="0"/>
        <w:autoSpaceDN w:val="0"/>
        <w:adjustRightInd w:val="0"/>
        <w:rPr>
          <w:iCs/>
          <w:szCs w:val="24"/>
        </w:rPr>
      </w:pPr>
    </w:p>
    <w:p w14:paraId="1891CB6D" w14:textId="77777777" w:rsidR="0034590E" w:rsidRPr="00BA4F0F" w:rsidRDefault="0034590E" w:rsidP="0034590E">
      <w:pPr>
        <w:rPr>
          <w:b/>
          <w:szCs w:val="24"/>
          <w:highlight w:val="green"/>
        </w:rPr>
      </w:pPr>
      <w:bookmarkStart w:id="158" w:name="_Toc44926638"/>
    </w:p>
    <w:bookmarkEnd w:id="158"/>
    <w:p w14:paraId="684DE56C" w14:textId="77777777" w:rsidR="0034590E" w:rsidRPr="00CB3251" w:rsidRDefault="0034590E" w:rsidP="00413554">
      <w:pPr>
        <w:tabs>
          <w:tab w:val="left" w:pos="0"/>
        </w:tabs>
        <w:rPr>
          <w:color w:val="000000" w:themeColor="text1"/>
          <w:szCs w:val="24"/>
        </w:rPr>
      </w:pPr>
    </w:p>
    <w:p w14:paraId="02791152" w14:textId="77777777" w:rsidR="00413554" w:rsidRPr="00CB3251" w:rsidRDefault="00413554" w:rsidP="00413554">
      <w:pPr>
        <w:tabs>
          <w:tab w:val="left" w:pos="0"/>
        </w:tabs>
        <w:rPr>
          <w:color w:val="000000" w:themeColor="text1"/>
          <w:szCs w:val="24"/>
          <w:lang w:eastAsia="ru-RU"/>
        </w:rPr>
      </w:pPr>
    </w:p>
    <w:p w14:paraId="605F7135" w14:textId="32DB629A" w:rsidR="006446FF" w:rsidRPr="00C81573" w:rsidRDefault="006446FF" w:rsidP="00413554"/>
    <w:p w14:paraId="4886F889" w14:textId="77777777" w:rsidR="000414F6" w:rsidRPr="00C81573" w:rsidRDefault="00CB71DA" w:rsidP="00FF5AFB">
      <w:pPr>
        <w:pStyle w:val="CustomContentNormal"/>
      </w:pPr>
      <w:r w:rsidRPr="00C81573">
        <w:br w:type="page"/>
      </w:r>
      <w:bookmarkStart w:id="159" w:name="__RefHeading___doc_b"/>
      <w:bookmarkStart w:id="160" w:name="_Toc103332122"/>
      <w:r w:rsidRPr="00C81573">
        <w:lastRenderedPageBreak/>
        <w:t xml:space="preserve">Приложение Б. Алгоритмы </w:t>
      </w:r>
      <w:bookmarkEnd w:id="159"/>
      <w:r w:rsidR="003527A8" w:rsidRPr="00C81573">
        <w:t>действий врача</w:t>
      </w:r>
      <w:bookmarkEnd w:id="160"/>
    </w:p>
    <w:p w14:paraId="697DDC04" w14:textId="77777777" w:rsidR="00C4630C" w:rsidRPr="00C81573" w:rsidRDefault="00C4630C">
      <w:pPr>
        <w:divId w:val="764688137"/>
        <w:rPr>
          <w:rFonts w:eastAsia="Times New Roman"/>
          <w:noProof/>
          <w:lang w:eastAsia="ru-RU"/>
        </w:rPr>
      </w:pPr>
    </w:p>
    <w:p w14:paraId="555F119D" w14:textId="77777777" w:rsidR="0060054C" w:rsidRDefault="0060054C" w:rsidP="0060054C">
      <w:pPr>
        <w:pStyle w:val="affff"/>
        <w:ind w:firstLine="0"/>
        <w:divId w:val="764688137"/>
      </w:pPr>
      <w:r>
        <w:rPr>
          <w:noProof/>
        </w:rPr>
        <w:drawing>
          <wp:inline distT="0" distB="0" distL="0" distR="0" wp14:anchorId="3691E4DE" wp14:editId="1605D6C4">
            <wp:extent cx="5581015" cy="6598345"/>
            <wp:effectExtent l="0" t="0" r="0" b="5715"/>
            <wp:docPr id="3" name="Рисунок 3" descr="C:\images\16_ab803b74-d80e-40af-82db-92fa514c94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ages\16_ab803b74-d80e-40af-82db-92fa514c947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581015" cy="6598345"/>
                    </a:xfrm>
                    <a:prstGeom prst="rect">
                      <a:avLst/>
                    </a:prstGeom>
                    <a:noFill/>
                    <a:ln>
                      <a:noFill/>
                    </a:ln>
                  </pic:spPr>
                </pic:pic>
              </a:graphicData>
            </a:graphic>
          </wp:inline>
        </w:drawing>
      </w:r>
    </w:p>
    <w:p w14:paraId="3B3387E1" w14:textId="77777777" w:rsidR="0060054C" w:rsidRDefault="0060054C" w:rsidP="0060054C">
      <w:pPr>
        <w:pStyle w:val="affff"/>
        <w:ind w:firstLine="0"/>
        <w:divId w:val="764688137"/>
        <w:rPr>
          <w:noProof/>
        </w:rPr>
      </w:pPr>
    </w:p>
    <w:p w14:paraId="42F0A665" w14:textId="77777777" w:rsidR="0060054C" w:rsidRDefault="0060054C" w:rsidP="0060054C">
      <w:pPr>
        <w:pStyle w:val="affff"/>
        <w:ind w:firstLine="0"/>
        <w:divId w:val="764688137"/>
      </w:pPr>
      <w:r w:rsidRPr="002740E5">
        <w:rPr>
          <w:rFonts w:eastAsia="Sans"/>
          <w:b/>
          <w:noProof/>
          <w:sz w:val="28"/>
        </w:rPr>
        <w:lastRenderedPageBreak/>
        <w:drawing>
          <wp:inline distT="0" distB="0" distL="0" distR="0" wp14:anchorId="790CE6EE" wp14:editId="7F042E78">
            <wp:extent cx="5581015" cy="3794287"/>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581015" cy="3794287"/>
                    </a:xfrm>
                    <a:prstGeom prst="rect">
                      <a:avLst/>
                    </a:prstGeom>
                    <a:noFill/>
                    <a:ln w="9525">
                      <a:noFill/>
                      <a:miter lim="800000"/>
                      <a:headEnd/>
                      <a:tailEnd/>
                    </a:ln>
                  </pic:spPr>
                </pic:pic>
              </a:graphicData>
            </a:graphic>
          </wp:inline>
        </w:drawing>
      </w:r>
    </w:p>
    <w:p w14:paraId="252C3A7F" w14:textId="77777777" w:rsidR="0060054C" w:rsidRDefault="0060054C" w:rsidP="0060054C">
      <w:pPr>
        <w:pStyle w:val="affff"/>
        <w:ind w:firstLine="0"/>
        <w:divId w:val="764688137"/>
      </w:pPr>
    </w:p>
    <w:p w14:paraId="2CCCF0C1" w14:textId="77777777" w:rsidR="0060054C" w:rsidRDefault="0060054C" w:rsidP="0060054C">
      <w:pPr>
        <w:pStyle w:val="affff"/>
        <w:ind w:firstLine="0"/>
        <w:divId w:val="764688137"/>
      </w:pPr>
      <w:r w:rsidRPr="002740E5">
        <w:rPr>
          <w:rFonts w:eastAsia="Sans"/>
          <w:b/>
          <w:noProof/>
          <w:sz w:val="28"/>
        </w:rPr>
        <w:drawing>
          <wp:inline distT="0" distB="0" distL="0" distR="0" wp14:anchorId="5E77B517" wp14:editId="316B2B2B">
            <wp:extent cx="5581015" cy="3797083"/>
            <wp:effectExtent l="19050" t="0" r="63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581015" cy="3797083"/>
                    </a:xfrm>
                    <a:prstGeom prst="rect">
                      <a:avLst/>
                    </a:prstGeom>
                    <a:noFill/>
                    <a:ln w="9525">
                      <a:noFill/>
                      <a:miter lim="800000"/>
                      <a:headEnd/>
                      <a:tailEnd/>
                    </a:ln>
                  </pic:spPr>
                </pic:pic>
              </a:graphicData>
            </a:graphic>
          </wp:inline>
        </w:drawing>
      </w:r>
    </w:p>
    <w:p w14:paraId="1C6E68CF" w14:textId="4D3CF50D" w:rsidR="00275A41" w:rsidRPr="00C81573" w:rsidRDefault="0060054C" w:rsidP="0060054C">
      <w:pPr>
        <w:divId w:val="764688137"/>
        <w:rPr>
          <w:rFonts w:eastAsia="Times New Roman"/>
        </w:rPr>
      </w:pPr>
      <w:r>
        <w:br w:type="page"/>
      </w:r>
    </w:p>
    <w:p w14:paraId="52B7A17E" w14:textId="29C7E7D9" w:rsidR="000414F6" w:rsidRPr="00C81573" w:rsidRDefault="00CB71DA" w:rsidP="00FF5AFB">
      <w:pPr>
        <w:pStyle w:val="CustomContentNormal"/>
      </w:pPr>
      <w:bookmarkStart w:id="161" w:name="__RefHeading___doc_v"/>
      <w:bookmarkStart w:id="162" w:name="_Toc103332123"/>
      <w:r w:rsidRPr="00C81573">
        <w:lastRenderedPageBreak/>
        <w:t>Приложение В. Информация для пациент</w:t>
      </w:r>
      <w:bookmarkEnd w:id="161"/>
      <w:r w:rsidR="003527A8" w:rsidRPr="00C81573">
        <w:t>а</w:t>
      </w:r>
      <w:bookmarkEnd w:id="162"/>
    </w:p>
    <w:p w14:paraId="77742499" w14:textId="08F23F0C" w:rsidR="0060054C" w:rsidRDefault="0060054C" w:rsidP="0060054C">
      <w:pPr>
        <w:pStyle w:val="aff7"/>
        <w:rPr>
          <w:rFonts w:eastAsia="Times New Roman"/>
          <w:szCs w:val="24"/>
          <w:lang w:eastAsia="ru-RU"/>
        </w:rPr>
      </w:pPr>
      <w:bookmarkStart w:id="163" w:name="__RefHeading___doc_g"/>
      <w:bookmarkStart w:id="164" w:name="_Toc11747754"/>
      <w:r w:rsidRPr="00F00F4A">
        <w:rPr>
          <w:rFonts w:eastAsia="Times New Roman"/>
          <w:szCs w:val="24"/>
          <w:lang w:eastAsia="ru-RU"/>
        </w:rPr>
        <w:t>Лимфомы</w:t>
      </w:r>
      <w:r>
        <w:rPr>
          <w:rFonts w:eastAsia="Times New Roman"/>
          <w:szCs w:val="24"/>
          <w:lang w:eastAsia="ru-RU"/>
        </w:rPr>
        <w:t xml:space="preserve"> –</w:t>
      </w:r>
      <w:r w:rsidRPr="00F00F4A">
        <w:rPr>
          <w:rFonts w:eastAsia="Times New Roman"/>
          <w:szCs w:val="24"/>
          <w:lang w:eastAsia="ru-RU"/>
        </w:rPr>
        <w:t xml:space="preserve"> это опухоли из лимфоидных клеток. Лимфома - не одна болезнь, это большая группа, включающая более 30 разных заболеваний, которые отличаются друг от друга по своим проявлениям, по течению, по ответу на лечение. Главное, что надо понимать – то, что лимфомы ведут себя и лечатся совершенно по-разному. Поэтому просто слово "лимфома" ни о чем не говорит – чтобы понимать, как лечить, надо знать конкретный вариант лимфомы.</w:t>
      </w:r>
    </w:p>
    <w:p w14:paraId="3DACE922" w14:textId="7F4C9DF3" w:rsidR="0060054C" w:rsidRDefault="0060054C" w:rsidP="0060054C">
      <w:pPr>
        <w:pStyle w:val="aff7"/>
        <w:rPr>
          <w:rFonts w:eastAsia="Times New Roman"/>
          <w:szCs w:val="24"/>
          <w:lang w:eastAsia="ru-RU"/>
        </w:rPr>
      </w:pPr>
      <w:r w:rsidRPr="00F00F4A">
        <w:rPr>
          <w:rFonts w:eastAsia="Times New Roman"/>
          <w:szCs w:val="24"/>
          <w:lang w:eastAsia="ru-RU"/>
        </w:rPr>
        <w:t>Самый частый симптом лимфомы</w:t>
      </w:r>
      <w:r>
        <w:rPr>
          <w:rFonts w:eastAsia="Times New Roman"/>
          <w:szCs w:val="24"/>
          <w:lang w:eastAsia="ru-RU"/>
        </w:rPr>
        <w:t xml:space="preserve"> –</w:t>
      </w:r>
      <w:r w:rsidRPr="00F00F4A">
        <w:rPr>
          <w:rFonts w:eastAsia="Times New Roman"/>
          <w:szCs w:val="24"/>
          <w:lang w:eastAsia="ru-RU"/>
        </w:rPr>
        <w:t xml:space="preserve"> это увеличение лимфоузлов. Однако этот симптом не единственный и даже не обязательный – поскольку лимфомы могут возникать в любом органе. Поэтому симптомы лимфомы могут быть очень разнообразными, практически любыми.</w:t>
      </w:r>
    </w:p>
    <w:p w14:paraId="2D789864" w14:textId="77777777" w:rsidR="0060054C" w:rsidRDefault="0060054C" w:rsidP="0060054C">
      <w:pPr>
        <w:pStyle w:val="aff7"/>
        <w:rPr>
          <w:rFonts w:eastAsia="Times New Roman"/>
          <w:szCs w:val="24"/>
          <w:lang w:eastAsia="ru-RU"/>
        </w:rPr>
      </w:pPr>
      <w:r w:rsidRPr="00F00F4A">
        <w:rPr>
          <w:rFonts w:eastAsia="Times New Roman"/>
          <w:szCs w:val="24"/>
          <w:lang w:eastAsia="ru-RU"/>
        </w:rPr>
        <w:t>Часто при лимфоме выявляют сразу распространенную стадию заболевания. Это связано с тем, что лимфоидные клетки циркулируют по всему организму с током крови и лимфы. Однако то, что большинство лимфом диагностируются в распространенных стадиях, не означает плохого прогноза. Лимфомы поддаются терапии значительно лучше многих других опухолей, и многие варианты лимфомы сегодня можно вылечить полностью.</w:t>
      </w:r>
    </w:p>
    <w:p w14:paraId="067B0268" w14:textId="78E1BBCA" w:rsidR="0060054C" w:rsidRDefault="0060054C" w:rsidP="0060054C">
      <w:pPr>
        <w:pStyle w:val="aff7"/>
        <w:rPr>
          <w:rFonts w:eastAsia="Times New Roman"/>
          <w:szCs w:val="24"/>
          <w:lang w:eastAsia="ru-RU"/>
        </w:rPr>
      </w:pPr>
      <w:r w:rsidRPr="00F00F4A">
        <w:rPr>
          <w:rFonts w:eastAsia="Times New Roman"/>
          <w:szCs w:val="24"/>
          <w:lang w:eastAsia="ru-RU"/>
        </w:rPr>
        <w:t>Течение неходжкинских</w:t>
      </w:r>
      <w:r>
        <w:rPr>
          <w:rFonts w:eastAsia="Times New Roman"/>
          <w:szCs w:val="24"/>
          <w:lang w:eastAsia="ru-RU"/>
        </w:rPr>
        <w:t xml:space="preserve"> </w:t>
      </w:r>
      <w:r w:rsidRPr="00F00F4A">
        <w:rPr>
          <w:rFonts w:eastAsia="Times New Roman"/>
          <w:szCs w:val="24"/>
          <w:lang w:eastAsia="ru-RU"/>
        </w:rPr>
        <w:t>лимфом также бывает разным. Некоторые текут длительно, годами и десятилетиями, и даже не требуют лечения. Другие характеризуются более агрессивным течением. По клиническому течению неходжкинские</w:t>
      </w:r>
      <w:r>
        <w:rPr>
          <w:rFonts w:eastAsia="Times New Roman"/>
          <w:szCs w:val="24"/>
          <w:lang w:eastAsia="ru-RU"/>
        </w:rPr>
        <w:t xml:space="preserve"> </w:t>
      </w:r>
      <w:r w:rsidRPr="00F00F4A">
        <w:rPr>
          <w:rFonts w:eastAsia="Times New Roman"/>
          <w:szCs w:val="24"/>
          <w:lang w:eastAsia="ru-RU"/>
        </w:rPr>
        <w:t>лимфомы подразделяются на агрессивные и вялотекущие.</w:t>
      </w:r>
    </w:p>
    <w:p w14:paraId="38180D99" w14:textId="77777777" w:rsidR="0060054C" w:rsidRPr="00F00F4A" w:rsidRDefault="0060054C" w:rsidP="0060054C">
      <w:pPr>
        <w:pStyle w:val="aff7"/>
        <w:rPr>
          <w:rFonts w:eastAsia="Times New Roman"/>
          <w:szCs w:val="24"/>
          <w:lang w:eastAsia="ru-RU"/>
        </w:rPr>
      </w:pPr>
      <w:r w:rsidRPr="00F00F4A">
        <w:rPr>
          <w:rFonts w:eastAsia="Times New Roman"/>
          <w:szCs w:val="24"/>
          <w:lang w:eastAsia="ru-RU"/>
        </w:rPr>
        <w:t>Некоторые лимфомы часто сопровождаются вовлечением костного мозга и крови, это не столь принципиально. Важнее, из каких клеток лимфома произошла, и какие поломки они несут.</w:t>
      </w:r>
    </w:p>
    <w:p w14:paraId="0DCE7ACE" w14:textId="77777777" w:rsidR="0060054C" w:rsidRPr="00F00F4A" w:rsidRDefault="0060054C" w:rsidP="0060054C">
      <w:pPr>
        <w:pStyle w:val="aff7"/>
        <w:rPr>
          <w:rFonts w:eastAsia="Times New Roman"/>
          <w:szCs w:val="24"/>
          <w:lang w:eastAsia="ru-RU"/>
        </w:rPr>
      </w:pPr>
      <w:r w:rsidRPr="00F00F4A">
        <w:rPr>
          <w:rFonts w:eastAsia="Times New Roman"/>
          <w:szCs w:val="24"/>
          <w:lang w:eastAsia="ru-RU"/>
        </w:rPr>
        <w:t>Лимфомы маргинальной зоны также относятся к группе вялотекущих лимфом. Они подразделяются на три категории в зависимости от того, где локализуется лимфома.</w:t>
      </w:r>
    </w:p>
    <w:p w14:paraId="4549EA9B" w14:textId="18F1ADF5" w:rsidR="0060054C" w:rsidRPr="00F00F4A" w:rsidRDefault="0060054C" w:rsidP="0060054C">
      <w:pPr>
        <w:pStyle w:val="aff7"/>
        <w:rPr>
          <w:rFonts w:eastAsia="Times New Roman"/>
          <w:szCs w:val="24"/>
          <w:lang w:eastAsia="ru-RU"/>
        </w:rPr>
      </w:pPr>
      <w:r w:rsidRPr="00F00F4A">
        <w:rPr>
          <w:rFonts w:eastAsia="Times New Roman"/>
          <w:szCs w:val="24"/>
          <w:lang w:eastAsia="ru-RU"/>
        </w:rPr>
        <w:t>К первой группе относятся лимфомы, возникающие из лимфоидной ткани, ассоциированной со слизистыми (Mucose-Associated</w:t>
      </w:r>
      <w:r>
        <w:rPr>
          <w:rFonts w:eastAsia="Times New Roman"/>
          <w:szCs w:val="24"/>
          <w:lang w:eastAsia="ru-RU"/>
        </w:rPr>
        <w:t xml:space="preserve"> </w:t>
      </w:r>
      <w:r w:rsidRPr="00F00F4A">
        <w:rPr>
          <w:rFonts w:eastAsia="Times New Roman"/>
          <w:szCs w:val="24"/>
          <w:lang w:eastAsia="ru-RU"/>
        </w:rPr>
        <w:t>Lymphoid</w:t>
      </w:r>
      <w:r>
        <w:rPr>
          <w:rFonts w:eastAsia="Times New Roman"/>
          <w:szCs w:val="24"/>
          <w:lang w:eastAsia="ru-RU"/>
        </w:rPr>
        <w:t xml:space="preserve"> </w:t>
      </w:r>
      <w:r w:rsidRPr="00F00F4A">
        <w:rPr>
          <w:rFonts w:eastAsia="Times New Roman"/>
          <w:szCs w:val="24"/>
          <w:lang w:eastAsia="ru-RU"/>
        </w:rPr>
        <w:t xml:space="preserve">Tissue). Они часто называются MALT-лимфомы или мальтомы. Все поверхности, все слизистые, посредством которых человек контактирует с внешней средой (выстилка дыхательных путей, легких, желудочно-кишечного тракта, мочевыводящих путей, половых путей, эпителий глаз) содержат лимфоидную ткань. Лимфоидная ткань, ассоциированная со слизистыми, защищает нас от многочисленных бактерий. Некоторые привычные возбудители настолько трудно уничтожить, что они сохраняются в данном месте (например, в желудке или в </w:t>
      </w:r>
      <w:r w:rsidRPr="00F00F4A">
        <w:rPr>
          <w:rFonts w:eastAsia="Times New Roman"/>
          <w:szCs w:val="24"/>
          <w:lang w:eastAsia="ru-RU"/>
        </w:rPr>
        <w:lastRenderedPageBreak/>
        <w:t>кишечнике) очень длительно - годами. Сегодня мы знаем, что Helicobacter</w:t>
      </w:r>
      <w:r>
        <w:rPr>
          <w:rFonts w:eastAsia="Times New Roman"/>
          <w:szCs w:val="24"/>
          <w:lang w:eastAsia="ru-RU"/>
        </w:rPr>
        <w:t xml:space="preserve"> </w:t>
      </w:r>
      <w:r w:rsidRPr="00F00F4A">
        <w:rPr>
          <w:rFonts w:eastAsia="Times New Roman"/>
          <w:szCs w:val="24"/>
          <w:lang w:eastAsia="ru-RU"/>
        </w:rPr>
        <w:t>pylori, - бактерия, обитающая в желудке и являющаяся ведущей причиной язв желудка, может приводит к развитию лимфом желудка. Chlamydia</w:t>
      </w:r>
      <w:r>
        <w:rPr>
          <w:rFonts w:eastAsia="Times New Roman"/>
          <w:szCs w:val="24"/>
          <w:lang w:eastAsia="ru-RU"/>
        </w:rPr>
        <w:t xml:space="preserve"> </w:t>
      </w:r>
      <w:r w:rsidRPr="00F00F4A">
        <w:rPr>
          <w:rFonts w:eastAsia="Times New Roman"/>
          <w:szCs w:val="24"/>
          <w:lang w:eastAsia="ru-RU"/>
        </w:rPr>
        <w:t>psittaci может вызывать MALT-лимфомы орбиты. Инфекция, вызванная Borrelia</w:t>
      </w:r>
      <w:r>
        <w:rPr>
          <w:rFonts w:eastAsia="Times New Roman"/>
          <w:szCs w:val="24"/>
          <w:lang w:eastAsia="ru-RU"/>
        </w:rPr>
        <w:t xml:space="preserve"> </w:t>
      </w:r>
      <w:r w:rsidRPr="00F00F4A">
        <w:rPr>
          <w:rFonts w:eastAsia="Times New Roman"/>
          <w:szCs w:val="24"/>
          <w:lang w:eastAsia="ru-RU"/>
        </w:rPr>
        <w:t>burgdorferi ассоциируется с MALT-лимфомами кожи, Campylobacter</w:t>
      </w:r>
      <w:r>
        <w:rPr>
          <w:rFonts w:eastAsia="Times New Roman"/>
          <w:szCs w:val="24"/>
          <w:lang w:eastAsia="ru-RU"/>
        </w:rPr>
        <w:t xml:space="preserve"> </w:t>
      </w:r>
      <w:r w:rsidRPr="00F00F4A">
        <w:rPr>
          <w:rFonts w:eastAsia="Times New Roman"/>
          <w:szCs w:val="24"/>
          <w:lang w:eastAsia="ru-RU"/>
        </w:rPr>
        <w:t>jejuni с MALT-лимфомами тонкой кишки. Лимфоидная ткань типа MALT может образовываться заново практически во всех органах у взрослого человека. Поэтому MALT-лимфомы могут возникнуть в любом органе. Чаще всего они возникают в желудочно-кишечном тракте, в глазах, в щитовидной железе, в слюнных железах, в коже. Многие люди, у которых развиваются такие лимфомы, имеют аутоиммунные болезни.</w:t>
      </w:r>
    </w:p>
    <w:p w14:paraId="3FBA17DF" w14:textId="0AAB4701" w:rsidR="0060054C" w:rsidRPr="00F00F4A" w:rsidRDefault="0060054C" w:rsidP="0060054C">
      <w:pPr>
        <w:pStyle w:val="aff7"/>
        <w:rPr>
          <w:rFonts w:eastAsia="Times New Roman"/>
          <w:szCs w:val="24"/>
          <w:lang w:eastAsia="ru-RU"/>
        </w:rPr>
      </w:pPr>
      <w:r w:rsidRPr="00F00F4A">
        <w:rPr>
          <w:rFonts w:eastAsia="Times New Roman"/>
          <w:szCs w:val="24"/>
          <w:lang w:eastAsia="ru-RU"/>
        </w:rPr>
        <w:t>Ко второй группе лимфом маргинальной зоны относятся лимфомы, растущие в лимфатических узлах. От других нодальных</w:t>
      </w:r>
      <w:r>
        <w:rPr>
          <w:rFonts w:eastAsia="Times New Roman"/>
          <w:szCs w:val="24"/>
          <w:lang w:eastAsia="ru-RU"/>
        </w:rPr>
        <w:t xml:space="preserve"> </w:t>
      </w:r>
      <w:r w:rsidRPr="00F00F4A">
        <w:rPr>
          <w:rFonts w:eastAsia="Times New Roman"/>
          <w:szCs w:val="24"/>
          <w:lang w:eastAsia="ru-RU"/>
        </w:rPr>
        <w:t>лимфом они отличаются тем, как выглядят под микроскопом, молекулярными признаками.</w:t>
      </w:r>
    </w:p>
    <w:p w14:paraId="61329E80" w14:textId="77777777" w:rsidR="0060054C" w:rsidRPr="00F00F4A" w:rsidRDefault="0060054C" w:rsidP="0060054C">
      <w:pPr>
        <w:pStyle w:val="aff7"/>
        <w:rPr>
          <w:rFonts w:eastAsia="Times New Roman"/>
          <w:szCs w:val="24"/>
          <w:lang w:eastAsia="ru-RU"/>
        </w:rPr>
      </w:pPr>
      <w:r w:rsidRPr="00F00F4A">
        <w:rPr>
          <w:rFonts w:eastAsia="Times New Roman"/>
          <w:szCs w:val="24"/>
          <w:lang w:eastAsia="ru-RU"/>
        </w:rPr>
        <w:t>Наконец, третий вариант лимфомы маргинальной зоны возникает в селезенке. Селезеночная лимфома маргинальной зоны имеет очень характерные признаки.</w:t>
      </w:r>
    </w:p>
    <w:p w14:paraId="6DF78231" w14:textId="77777777" w:rsidR="0060054C" w:rsidRPr="003527A8" w:rsidRDefault="0060054C" w:rsidP="0060054C">
      <w:pPr>
        <w:pStyle w:val="aff7"/>
      </w:pPr>
      <w:r w:rsidRPr="00F00F4A">
        <w:rPr>
          <w:rFonts w:eastAsia="Times New Roman"/>
          <w:szCs w:val="24"/>
          <w:lang w:eastAsia="ru-RU"/>
        </w:rPr>
        <w:t>Все лимфомы маргинальной зоны имеют благоприятный прогноз.</w:t>
      </w:r>
    </w:p>
    <w:p w14:paraId="1887BFD6" w14:textId="67CFB146" w:rsidR="00F05351" w:rsidRDefault="0060054C" w:rsidP="00F05351">
      <w:pPr>
        <w:pStyle w:val="afb"/>
      </w:pPr>
      <w:r>
        <w:br w:type="page"/>
      </w:r>
    </w:p>
    <w:p w14:paraId="75499A2F" w14:textId="6DC42336" w:rsidR="000414F6" w:rsidRPr="00C81573" w:rsidRDefault="00CB71DA" w:rsidP="00F05351">
      <w:pPr>
        <w:pStyle w:val="afff1"/>
      </w:pPr>
      <w:bookmarkStart w:id="165" w:name="_Toc103332124"/>
      <w:r w:rsidRPr="00C81573">
        <w:lastRenderedPageBreak/>
        <w:t>Приложение</w:t>
      </w:r>
      <w:bookmarkEnd w:id="163"/>
      <w:r w:rsidR="003527A8" w:rsidRPr="00C81573">
        <w:t xml:space="preserve"> Г1-Г</w:t>
      </w:r>
      <w:r w:rsidR="003527A8" w:rsidRPr="00C81573">
        <w:rPr>
          <w:lang w:val="en-US"/>
        </w:rPr>
        <w:t>N</w:t>
      </w:r>
      <w:r w:rsidR="003527A8" w:rsidRPr="00C81573">
        <w:t>. Шкалы оценки, вопросники и другие оценочные инструменты состояния пациента, приведенные в клинических рекомендациях</w:t>
      </w:r>
      <w:bookmarkEnd w:id="164"/>
      <w:bookmarkEnd w:id="165"/>
    </w:p>
    <w:p w14:paraId="1FE9E1B0" w14:textId="77777777" w:rsidR="00427B0E" w:rsidRPr="00C81573" w:rsidRDefault="00427B0E" w:rsidP="00427B0E">
      <w:pPr>
        <w:rPr>
          <w:lang w:eastAsia="ru-RU" w:bidi="ru-RU"/>
        </w:rPr>
      </w:pPr>
      <w:bookmarkStart w:id="166" w:name="bookmark6"/>
    </w:p>
    <w:p w14:paraId="6007BEDF" w14:textId="77777777" w:rsidR="00321834" w:rsidRPr="0033051F" w:rsidRDefault="00321834" w:rsidP="00321834">
      <w:pPr>
        <w:pStyle w:val="2"/>
      </w:pPr>
      <w:bookmarkStart w:id="167" w:name="_Toc24572141"/>
      <w:bookmarkStart w:id="168" w:name="_Toc24964262"/>
      <w:bookmarkStart w:id="169" w:name="_Toc35277480"/>
      <w:bookmarkStart w:id="170" w:name="_Toc103332125"/>
      <w:bookmarkEnd w:id="166"/>
      <w:r w:rsidRPr="0033051F">
        <w:t>Приложение Г</w:t>
      </w:r>
      <w:bookmarkStart w:id="171" w:name="_Toc19799875"/>
      <w:bookmarkStart w:id="172" w:name="_Toc16755716"/>
      <w:r w:rsidRPr="0033051F">
        <w:t>1. Шкала оценки общего состояния пациента Восточной объединенной онкологической группы (ECOG</w:t>
      </w:r>
      <w:bookmarkEnd w:id="171"/>
      <w:r w:rsidRPr="0033051F">
        <w:t>)</w:t>
      </w:r>
      <w:bookmarkEnd w:id="167"/>
      <w:bookmarkEnd w:id="168"/>
      <w:bookmarkEnd w:id="169"/>
      <w:bookmarkEnd w:id="170"/>
    </w:p>
    <w:p w14:paraId="24325A23" w14:textId="0DAD488B" w:rsidR="00321834" w:rsidRPr="00321834" w:rsidRDefault="00321834" w:rsidP="00321834">
      <w:pPr>
        <w:spacing w:before="240"/>
        <w:rPr>
          <w:lang w:val="en-US"/>
        </w:rPr>
      </w:pPr>
      <w:r>
        <w:t>Оригинальное</w:t>
      </w:r>
      <w:r w:rsidRPr="00321834">
        <w:rPr>
          <w:lang w:val="en-US"/>
        </w:rPr>
        <w:t xml:space="preserve"> </w:t>
      </w:r>
      <w:r>
        <w:t>название</w:t>
      </w:r>
      <w:r w:rsidRPr="00321834">
        <w:rPr>
          <w:lang w:val="en-US"/>
        </w:rPr>
        <w:t xml:space="preserve">: </w:t>
      </w:r>
      <w:r>
        <w:rPr>
          <w:lang w:val="en-US"/>
        </w:rPr>
        <w:t>The</w:t>
      </w:r>
      <w:r w:rsidRPr="00321834">
        <w:rPr>
          <w:lang w:val="en-US"/>
        </w:rPr>
        <w:t xml:space="preserve"> </w:t>
      </w:r>
      <w:r>
        <w:rPr>
          <w:lang w:val="en-US"/>
        </w:rPr>
        <w:t>ECOG</w:t>
      </w:r>
      <w:r w:rsidRPr="00321834">
        <w:rPr>
          <w:lang w:val="en-US"/>
        </w:rPr>
        <w:t xml:space="preserve"> </w:t>
      </w:r>
      <w:r>
        <w:rPr>
          <w:lang w:val="en-US"/>
        </w:rPr>
        <w:t>Scale</w:t>
      </w:r>
      <w:r w:rsidRPr="00321834">
        <w:rPr>
          <w:lang w:val="en-US"/>
        </w:rPr>
        <w:t xml:space="preserve"> </w:t>
      </w:r>
      <w:r>
        <w:rPr>
          <w:lang w:val="en-US"/>
        </w:rPr>
        <w:t>of</w:t>
      </w:r>
      <w:r w:rsidRPr="00321834">
        <w:rPr>
          <w:lang w:val="en-US"/>
        </w:rPr>
        <w:t xml:space="preserve"> </w:t>
      </w:r>
      <w:r>
        <w:rPr>
          <w:lang w:val="en-US"/>
        </w:rPr>
        <w:t>Performance</w:t>
      </w:r>
      <w:r w:rsidRPr="00321834">
        <w:rPr>
          <w:lang w:val="en-US"/>
        </w:rPr>
        <w:t xml:space="preserve"> </w:t>
      </w:r>
      <w:r>
        <w:rPr>
          <w:lang w:val="en-US"/>
        </w:rPr>
        <w:t>Status</w:t>
      </w:r>
    </w:p>
    <w:p w14:paraId="3AB8C47C" w14:textId="2396BA82" w:rsidR="00321834" w:rsidRPr="00A70490" w:rsidRDefault="00321834" w:rsidP="00321834">
      <w:r>
        <w:t>Источник</w:t>
      </w:r>
      <w:r w:rsidRPr="00321834">
        <w:rPr>
          <w:lang w:val="en-US"/>
        </w:rPr>
        <w:t xml:space="preserve">: </w:t>
      </w:r>
      <w:r>
        <w:rPr>
          <w:lang w:val="en-US"/>
        </w:rPr>
        <w:t>Oken</w:t>
      </w:r>
      <w:r w:rsidRPr="00321834">
        <w:rPr>
          <w:lang w:val="en-US"/>
        </w:rPr>
        <w:t xml:space="preserve"> </w:t>
      </w:r>
      <w:r>
        <w:rPr>
          <w:lang w:val="en-US"/>
        </w:rPr>
        <w:t>M</w:t>
      </w:r>
      <w:r w:rsidRPr="00321834">
        <w:rPr>
          <w:lang w:val="en-US"/>
        </w:rPr>
        <w:t>.</w:t>
      </w:r>
      <w:r>
        <w:rPr>
          <w:lang w:val="en-US"/>
        </w:rPr>
        <w:t>M</w:t>
      </w:r>
      <w:r w:rsidRPr="00321834">
        <w:rPr>
          <w:lang w:val="en-US"/>
        </w:rPr>
        <w:t xml:space="preserve">. </w:t>
      </w:r>
      <w:r>
        <w:rPr>
          <w:lang w:val="en-US"/>
        </w:rPr>
        <w:t>et</w:t>
      </w:r>
      <w:r w:rsidRPr="00321834">
        <w:rPr>
          <w:lang w:val="en-US"/>
        </w:rPr>
        <w:t xml:space="preserve"> </w:t>
      </w:r>
      <w:r>
        <w:rPr>
          <w:lang w:val="en-US"/>
        </w:rPr>
        <w:t>al</w:t>
      </w:r>
      <w:r w:rsidRPr="00321834">
        <w:rPr>
          <w:lang w:val="en-US"/>
        </w:rPr>
        <w:t xml:space="preserve">. </w:t>
      </w:r>
      <w:r>
        <w:rPr>
          <w:lang w:val="en-US"/>
        </w:rPr>
        <w:t>Toxicity</w:t>
      </w:r>
      <w:r w:rsidRPr="00321834">
        <w:rPr>
          <w:lang w:val="en-US"/>
        </w:rPr>
        <w:t xml:space="preserve"> </w:t>
      </w:r>
      <w:r>
        <w:rPr>
          <w:lang w:val="en-US"/>
        </w:rPr>
        <w:t>and</w:t>
      </w:r>
      <w:r w:rsidRPr="00321834">
        <w:rPr>
          <w:lang w:val="en-US"/>
        </w:rPr>
        <w:t xml:space="preserve"> </w:t>
      </w:r>
      <w:r>
        <w:rPr>
          <w:lang w:val="en-US"/>
        </w:rPr>
        <w:t>response</w:t>
      </w:r>
      <w:r w:rsidRPr="00321834">
        <w:rPr>
          <w:lang w:val="en-US"/>
        </w:rPr>
        <w:t xml:space="preserve"> </w:t>
      </w:r>
      <w:r>
        <w:rPr>
          <w:lang w:val="en-US"/>
        </w:rPr>
        <w:t>criteria</w:t>
      </w:r>
      <w:r w:rsidRPr="00321834">
        <w:rPr>
          <w:lang w:val="en-US"/>
        </w:rPr>
        <w:t xml:space="preserve"> </w:t>
      </w:r>
      <w:r>
        <w:rPr>
          <w:lang w:val="en-US"/>
        </w:rPr>
        <w:t>of</w:t>
      </w:r>
      <w:r w:rsidRPr="00321834">
        <w:rPr>
          <w:lang w:val="en-US"/>
        </w:rPr>
        <w:t xml:space="preserve"> </w:t>
      </w:r>
      <w:r>
        <w:rPr>
          <w:lang w:val="en-US"/>
        </w:rPr>
        <w:t>the</w:t>
      </w:r>
      <w:r w:rsidRPr="00321834">
        <w:rPr>
          <w:lang w:val="en-US"/>
        </w:rPr>
        <w:t xml:space="preserve"> </w:t>
      </w:r>
      <w:r>
        <w:rPr>
          <w:lang w:val="en-US"/>
        </w:rPr>
        <w:t>Eastern Cooperative Oncology Group</w:t>
      </w:r>
      <w:r w:rsidRPr="00703062">
        <w:rPr>
          <w:lang w:val="en-US"/>
        </w:rPr>
        <w:t>.</w:t>
      </w:r>
      <w:r>
        <w:rPr>
          <w:lang w:val="en-US"/>
        </w:rPr>
        <w:t xml:space="preserve"> Am</w:t>
      </w:r>
      <w:r w:rsidRPr="00A70490">
        <w:t xml:space="preserve">. </w:t>
      </w:r>
      <w:r>
        <w:rPr>
          <w:lang w:val="en-US"/>
        </w:rPr>
        <w:t>J</w:t>
      </w:r>
      <w:r w:rsidRPr="00A70490">
        <w:t xml:space="preserve">. </w:t>
      </w:r>
      <w:r>
        <w:rPr>
          <w:lang w:val="en-US"/>
        </w:rPr>
        <w:t>Clin</w:t>
      </w:r>
      <w:r w:rsidRPr="00A70490">
        <w:t xml:space="preserve">. </w:t>
      </w:r>
      <w:r>
        <w:rPr>
          <w:lang w:val="en-US"/>
        </w:rPr>
        <w:t>Oncol</w:t>
      </w:r>
      <w:r w:rsidRPr="00230B80">
        <w:t xml:space="preserve">. </w:t>
      </w:r>
      <w:r w:rsidRPr="0001073F">
        <w:t>1982;5(6):649–65</w:t>
      </w:r>
      <w:r w:rsidRPr="00A70490">
        <w:t xml:space="preserve"> </w:t>
      </w:r>
      <w:r>
        <w:rPr>
          <w:lang w:val="en-US"/>
        </w:rPr>
        <w:fldChar w:fldCharType="begin" w:fldLock="1"/>
      </w:r>
      <w:r w:rsidR="00F44253">
        <w:rPr>
          <w:lang w:val="en-US"/>
        </w:rPr>
        <w:instrText>ADDIN</w:instrText>
      </w:r>
      <w:r w:rsidR="00F44253" w:rsidRPr="00F44253">
        <w:instrText xml:space="preserve"> </w:instrText>
      </w:r>
      <w:r w:rsidR="00F44253">
        <w:rPr>
          <w:lang w:val="en-US"/>
        </w:rPr>
        <w:instrText>CSL</w:instrText>
      </w:r>
      <w:r w:rsidR="00F44253" w:rsidRPr="00F44253">
        <w:instrText>_</w:instrText>
      </w:r>
      <w:r w:rsidR="00F44253">
        <w:rPr>
          <w:lang w:val="en-US"/>
        </w:rPr>
        <w:instrText>CITATION</w:instrText>
      </w:r>
      <w:r w:rsidR="00F44253" w:rsidRPr="00F44253">
        <w:instrText xml:space="preserve"> {"</w:instrText>
      </w:r>
      <w:r w:rsidR="00F44253">
        <w:rPr>
          <w:lang w:val="en-US"/>
        </w:rPr>
        <w:instrText>citationItems</w:instrText>
      </w:r>
      <w:r w:rsidR="00F44253" w:rsidRPr="00F44253">
        <w:instrText>":[{"</w:instrText>
      </w:r>
      <w:r w:rsidR="00F44253">
        <w:rPr>
          <w:lang w:val="en-US"/>
        </w:rPr>
        <w:instrText>id</w:instrText>
      </w:r>
      <w:r w:rsidR="00F44253" w:rsidRPr="00F44253">
        <w:instrText>":"</w:instrText>
      </w:r>
      <w:r w:rsidR="00F44253">
        <w:rPr>
          <w:lang w:val="en-US"/>
        </w:rPr>
        <w:instrText>ITEM</w:instrText>
      </w:r>
      <w:r w:rsidR="00F44253" w:rsidRPr="00F44253">
        <w:instrText>-1","</w:instrText>
      </w:r>
      <w:r w:rsidR="00F44253">
        <w:rPr>
          <w:lang w:val="en-US"/>
        </w:rPr>
        <w:instrText>itemData</w:instrText>
      </w:r>
      <w:r w:rsidR="00F44253" w:rsidRPr="00F44253">
        <w:instrText>":{"</w:instrText>
      </w:r>
      <w:r w:rsidR="00F44253">
        <w:rPr>
          <w:lang w:val="en-US"/>
        </w:rPr>
        <w:instrText>DOI</w:instrText>
      </w:r>
      <w:r w:rsidR="00F44253" w:rsidRPr="00F44253">
        <w:instrText>":"10.1097/00000421-198212000-00014","</w:instrText>
      </w:r>
      <w:r w:rsidR="00F44253">
        <w:rPr>
          <w:lang w:val="en-US"/>
        </w:rPr>
        <w:instrText>ISSN</w:instrText>
      </w:r>
      <w:r w:rsidR="00F44253" w:rsidRPr="00F44253">
        <w:instrText>":"02773732","</w:instrText>
      </w:r>
      <w:r w:rsidR="00F44253">
        <w:rPr>
          <w:lang w:val="en-US"/>
        </w:rPr>
        <w:instrText>PMID</w:instrText>
      </w:r>
      <w:r w:rsidR="00F44253" w:rsidRPr="00F44253">
        <w:instrText>":"7165009","</w:instrText>
      </w:r>
      <w:r w:rsidR="00F44253">
        <w:rPr>
          <w:lang w:val="en-US"/>
        </w:rPr>
        <w:instrText>abstract</w:instrText>
      </w:r>
      <w:r w:rsidR="00F44253" w:rsidRPr="00F44253">
        <w:instrText>":"</w:instrText>
      </w:r>
      <w:r w:rsidR="00F44253">
        <w:rPr>
          <w:lang w:val="en-US"/>
        </w:rPr>
        <w:instrText>Standard</w:instrText>
      </w:r>
      <w:r w:rsidR="00F44253" w:rsidRPr="00F44253">
        <w:instrText xml:space="preserve"> </w:instrText>
      </w:r>
      <w:r w:rsidR="00F44253">
        <w:rPr>
          <w:lang w:val="en-US"/>
        </w:rPr>
        <w:instrText>criteria</w:instrText>
      </w:r>
      <w:r w:rsidR="00F44253" w:rsidRPr="00F44253">
        <w:instrText xml:space="preserve"> </w:instrText>
      </w:r>
      <w:r w:rsidR="00F44253">
        <w:rPr>
          <w:lang w:val="en-US"/>
        </w:rPr>
        <w:instrText>for</w:instrText>
      </w:r>
      <w:r w:rsidR="00F44253" w:rsidRPr="00F44253">
        <w:instrText xml:space="preserve"> </w:instrText>
      </w:r>
      <w:r w:rsidR="00F44253">
        <w:rPr>
          <w:lang w:val="en-US"/>
        </w:rPr>
        <w:instrText>toxicity</w:instrText>
      </w:r>
      <w:r w:rsidR="00F44253" w:rsidRPr="00F44253">
        <w:instrText xml:space="preserve"> </w:instrText>
      </w:r>
      <w:r w:rsidR="00F44253">
        <w:rPr>
          <w:lang w:val="en-US"/>
        </w:rPr>
        <w:instrText>and</w:instrText>
      </w:r>
      <w:r w:rsidR="00F44253" w:rsidRPr="00F44253">
        <w:instrText xml:space="preserve"> </w:instrText>
      </w:r>
      <w:r w:rsidR="00F44253">
        <w:rPr>
          <w:lang w:val="en-US"/>
        </w:rPr>
        <w:instrText>for</w:instrText>
      </w:r>
      <w:r w:rsidR="00F44253" w:rsidRPr="00F44253">
        <w:instrText xml:space="preserve"> </w:instrText>
      </w:r>
      <w:r w:rsidR="00F44253">
        <w:rPr>
          <w:lang w:val="en-US"/>
        </w:rPr>
        <w:instrText>response</w:instrText>
      </w:r>
      <w:r w:rsidR="00F44253" w:rsidRPr="00F44253">
        <w:instrText xml:space="preserve"> </w:instrText>
      </w:r>
      <w:r w:rsidR="00F44253">
        <w:rPr>
          <w:lang w:val="en-US"/>
        </w:rPr>
        <w:instrText>to</w:instrText>
      </w:r>
      <w:r w:rsidR="00F44253" w:rsidRPr="00F44253">
        <w:instrText xml:space="preserve"> </w:instrText>
      </w:r>
      <w:r w:rsidR="00F44253">
        <w:rPr>
          <w:lang w:val="en-US"/>
        </w:rPr>
        <w:instrText>treatment</w:instrText>
      </w:r>
      <w:r w:rsidR="00F44253" w:rsidRPr="00F44253">
        <w:instrText xml:space="preserve"> </w:instrText>
      </w:r>
      <w:r w:rsidR="00F44253">
        <w:rPr>
          <w:lang w:val="en-US"/>
        </w:rPr>
        <w:instrText>are</w:instrText>
      </w:r>
      <w:r w:rsidR="00F44253" w:rsidRPr="00F44253">
        <w:instrText xml:space="preserve"> </w:instrText>
      </w:r>
      <w:r w:rsidR="00F44253">
        <w:rPr>
          <w:lang w:val="en-US"/>
        </w:rPr>
        <w:instrText>important</w:instrText>
      </w:r>
      <w:r w:rsidR="00F44253" w:rsidRPr="00F44253">
        <w:instrText xml:space="preserve"> </w:instrText>
      </w:r>
      <w:r w:rsidR="00F44253">
        <w:rPr>
          <w:lang w:val="en-US"/>
        </w:rPr>
        <w:instrText>prerequisites</w:instrText>
      </w:r>
      <w:r w:rsidR="00F44253" w:rsidRPr="00F44253">
        <w:instrText xml:space="preserve"> </w:instrText>
      </w:r>
      <w:r w:rsidR="00F44253">
        <w:rPr>
          <w:lang w:val="en-US"/>
        </w:rPr>
        <w:instrText>to</w:instrText>
      </w:r>
      <w:r w:rsidR="00F44253" w:rsidRPr="00F44253">
        <w:instrText xml:space="preserve"> </w:instrText>
      </w:r>
      <w:r w:rsidR="00F44253">
        <w:rPr>
          <w:lang w:val="en-US"/>
        </w:rPr>
        <w:instrText>the</w:instrText>
      </w:r>
      <w:r w:rsidR="00F44253" w:rsidRPr="00F44253">
        <w:instrText xml:space="preserve"> </w:instrText>
      </w:r>
      <w:r w:rsidR="00F44253">
        <w:rPr>
          <w:lang w:val="en-US"/>
        </w:rPr>
        <w:instrText>conduct</w:instrText>
      </w:r>
      <w:r w:rsidR="00F44253" w:rsidRPr="00F44253">
        <w:instrText xml:space="preserve"> </w:instrText>
      </w:r>
      <w:r w:rsidR="00F44253">
        <w:rPr>
          <w:lang w:val="en-US"/>
        </w:rPr>
        <w:instrText>of</w:instrText>
      </w:r>
      <w:r w:rsidR="00F44253" w:rsidRPr="00F44253">
        <w:instrText xml:space="preserve"> </w:instrText>
      </w:r>
      <w:r w:rsidR="00F44253">
        <w:rPr>
          <w:lang w:val="en-US"/>
        </w:rPr>
        <w:instrText>cancer</w:instrText>
      </w:r>
      <w:r w:rsidR="00F44253" w:rsidRPr="00F44253">
        <w:instrText xml:space="preserve"> </w:instrText>
      </w:r>
      <w:r w:rsidR="00F44253">
        <w:rPr>
          <w:lang w:val="en-US"/>
        </w:rPr>
        <w:instrText>trials</w:instrText>
      </w:r>
      <w:r w:rsidR="00F44253" w:rsidRPr="00F44253">
        <w:instrText xml:space="preserve">. </w:instrText>
      </w:r>
      <w:r w:rsidR="00F44253">
        <w:rPr>
          <w:lang w:val="en-US"/>
        </w:rPr>
        <w:instrText>The</w:instrText>
      </w:r>
      <w:r w:rsidR="00F44253" w:rsidRPr="00F44253">
        <w:instrText xml:space="preserve"> </w:instrText>
      </w:r>
      <w:r w:rsidR="00F44253">
        <w:rPr>
          <w:lang w:val="en-US"/>
        </w:rPr>
        <w:instrText>Eastern</w:instrText>
      </w:r>
      <w:r w:rsidR="00F44253" w:rsidRPr="00F44253">
        <w:instrText xml:space="preserve"> </w:instrText>
      </w:r>
      <w:r w:rsidR="00F44253">
        <w:rPr>
          <w:lang w:val="en-US"/>
        </w:rPr>
        <w:instrText>Cooperative</w:instrText>
      </w:r>
      <w:r w:rsidR="00F44253" w:rsidRPr="00F44253">
        <w:instrText xml:space="preserve"> </w:instrText>
      </w:r>
      <w:r w:rsidR="00F44253">
        <w:rPr>
          <w:lang w:val="en-US"/>
        </w:rPr>
        <w:instrText>Oncology</w:instrText>
      </w:r>
      <w:r w:rsidR="00F44253" w:rsidRPr="00F44253">
        <w:instrText xml:space="preserve"> </w:instrText>
      </w:r>
      <w:r w:rsidR="00F44253">
        <w:rPr>
          <w:lang w:val="en-US"/>
        </w:rPr>
        <w:instrText>Group</w:instrText>
      </w:r>
      <w:r w:rsidR="00F44253" w:rsidRPr="00F44253">
        <w:instrText xml:space="preserve"> </w:instrText>
      </w:r>
      <w:r w:rsidR="00F44253">
        <w:rPr>
          <w:lang w:val="en-US"/>
        </w:rPr>
        <w:instrText>criteria</w:instrText>
      </w:r>
      <w:r w:rsidR="00F44253" w:rsidRPr="00F44253">
        <w:instrText xml:space="preserve"> </w:instrText>
      </w:r>
      <w:r w:rsidR="00F44253">
        <w:rPr>
          <w:lang w:val="en-US"/>
        </w:rPr>
        <w:instrText>for</w:instrText>
      </w:r>
      <w:r w:rsidR="00F44253" w:rsidRPr="00F44253">
        <w:instrText xml:space="preserve"> </w:instrText>
      </w:r>
      <w:r w:rsidR="00F44253">
        <w:rPr>
          <w:lang w:val="en-US"/>
        </w:rPr>
        <w:instrText>toxicity</w:instrText>
      </w:r>
      <w:r w:rsidR="00F44253" w:rsidRPr="00F44253">
        <w:instrText xml:space="preserve"> </w:instrText>
      </w:r>
      <w:r w:rsidR="00F44253">
        <w:rPr>
          <w:lang w:val="en-US"/>
        </w:rPr>
        <w:instrText>and</w:instrText>
      </w:r>
      <w:r w:rsidR="00F44253" w:rsidRPr="00F44253">
        <w:instrText xml:space="preserve"> </w:instrText>
      </w:r>
      <w:r w:rsidR="00F44253">
        <w:rPr>
          <w:lang w:val="en-US"/>
        </w:rPr>
        <w:instrText>response</w:instrText>
      </w:r>
      <w:r w:rsidR="00F44253" w:rsidRPr="00F44253">
        <w:instrText xml:space="preserve"> </w:instrText>
      </w:r>
      <w:r w:rsidR="00F44253">
        <w:rPr>
          <w:lang w:val="en-US"/>
        </w:rPr>
        <w:instrText>are</w:instrText>
      </w:r>
      <w:r w:rsidR="00F44253" w:rsidRPr="00F44253">
        <w:instrText xml:space="preserve"> </w:instrText>
      </w:r>
      <w:r w:rsidR="00F44253">
        <w:rPr>
          <w:lang w:val="en-US"/>
        </w:rPr>
        <w:instrText>presented</w:instrText>
      </w:r>
      <w:r w:rsidR="00F44253" w:rsidRPr="00F44253">
        <w:instrText xml:space="preserve"> </w:instrText>
      </w:r>
      <w:r w:rsidR="00F44253">
        <w:rPr>
          <w:lang w:val="en-US"/>
        </w:rPr>
        <w:instrText>to</w:instrText>
      </w:r>
      <w:r w:rsidR="00F44253" w:rsidRPr="00F44253">
        <w:instrText xml:space="preserve"> </w:instrText>
      </w:r>
      <w:r w:rsidR="00F44253">
        <w:rPr>
          <w:lang w:val="en-US"/>
        </w:rPr>
        <w:instrText>facilitate</w:instrText>
      </w:r>
      <w:r w:rsidR="00F44253" w:rsidRPr="00F44253">
        <w:instrText xml:space="preserve"> </w:instrText>
      </w:r>
      <w:r w:rsidR="00F44253">
        <w:rPr>
          <w:lang w:val="en-US"/>
        </w:rPr>
        <w:instrText>future</w:instrText>
      </w:r>
      <w:r w:rsidR="00F44253" w:rsidRPr="00F44253">
        <w:instrText xml:space="preserve"> </w:instrText>
      </w:r>
      <w:r w:rsidR="00F44253">
        <w:rPr>
          <w:lang w:val="en-US"/>
        </w:rPr>
        <w:instrText>reference</w:instrText>
      </w:r>
      <w:r w:rsidR="00F44253" w:rsidRPr="00F44253">
        <w:instrText xml:space="preserve"> </w:instrText>
      </w:r>
      <w:r w:rsidR="00F44253">
        <w:rPr>
          <w:lang w:val="en-US"/>
        </w:rPr>
        <w:instrText>and</w:instrText>
      </w:r>
      <w:r w:rsidR="00F44253" w:rsidRPr="00F44253">
        <w:instrText xml:space="preserve"> </w:instrText>
      </w:r>
      <w:r w:rsidR="00F44253">
        <w:rPr>
          <w:lang w:val="en-US"/>
        </w:rPr>
        <w:instrText>to</w:instrText>
      </w:r>
      <w:r w:rsidR="00F44253" w:rsidRPr="00F44253">
        <w:instrText xml:space="preserve"> </w:instrText>
      </w:r>
      <w:r w:rsidR="00F44253">
        <w:rPr>
          <w:lang w:val="en-US"/>
        </w:rPr>
        <w:instrText>encourage</w:instrText>
      </w:r>
      <w:r w:rsidR="00F44253" w:rsidRPr="00F44253">
        <w:instrText xml:space="preserve"> </w:instrText>
      </w:r>
      <w:r w:rsidR="00F44253">
        <w:rPr>
          <w:lang w:val="en-US"/>
        </w:rPr>
        <w:instrText>further</w:instrText>
      </w:r>
      <w:r w:rsidR="00F44253" w:rsidRPr="00F44253">
        <w:instrText xml:space="preserve"> </w:instrText>
      </w:r>
      <w:r w:rsidR="00F44253">
        <w:rPr>
          <w:lang w:val="en-US"/>
        </w:rPr>
        <w:instrText>standardization</w:instrText>
      </w:r>
      <w:r w:rsidR="00F44253" w:rsidRPr="00F44253">
        <w:instrText xml:space="preserve"> </w:instrText>
      </w:r>
      <w:r w:rsidR="00F44253">
        <w:rPr>
          <w:lang w:val="en-US"/>
        </w:rPr>
        <w:instrText>among</w:instrText>
      </w:r>
      <w:r w:rsidR="00F44253" w:rsidRPr="00F44253">
        <w:instrText xml:space="preserve"> </w:instrText>
      </w:r>
      <w:r w:rsidR="00F44253">
        <w:rPr>
          <w:lang w:val="en-US"/>
        </w:rPr>
        <w:instrText>those</w:instrText>
      </w:r>
      <w:r w:rsidR="00F44253" w:rsidRPr="00F44253">
        <w:instrText xml:space="preserve"> </w:instrText>
      </w:r>
      <w:r w:rsidR="00F44253">
        <w:rPr>
          <w:lang w:val="en-US"/>
        </w:rPr>
        <w:instrText>conducting</w:instrText>
      </w:r>
      <w:r w:rsidR="00F44253" w:rsidRPr="00F44253">
        <w:instrText xml:space="preserve"> </w:instrText>
      </w:r>
      <w:r w:rsidR="00F44253">
        <w:rPr>
          <w:lang w:val="en-US"/>
        </w:rPr>
        <w:instrText>clinical</w:instrText>
      </w:r>
      <w:r w:rsidR="00F44253" w:rsidRPr="00F44253">
        <w:instrText xml:space="preserve"> </w:instrText>
      </w:r>
      <w:r w:rsidR="00F44253">
        <w:rPr>
          <w:lang w:val="en-US"/>
        </w:rPr>
        <w:instrText>trials</w:instrText>
      </w:r>
      <w:r w:rsidR="00F44253" w:rsidRPr="00F44253">
        <w:instrText>.","</w:instrText>
      </w:r>
      <w:r w:rsidR="00F44253">
        <w:rPr>
          <w:lang w:val="en-US"/>
        </w:rPr>
        <w:instrText>author</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family</w:instrText>
      </w:r>
      <w:r w:rsidR="00F44253" w:rsidRPr="00F44253">
        <w:instrText>":"</w:instrText>
      </w:r>
      <w:r w:rsidR="00F44253">
        <w:rPr>
          <w:lang w:val="en-US"/>
        </w:rPr>
        <w:instrText>Oken</w:instrText>
      </w:r>
      <w:r w:rsidR="00F44253" w:rsidRPr="00F44253">
        <w:instrText>","</w:instrText>
      </w:r>
      <w:r w:rsidR="00F44253">
        <w:rPr>
          <w:lang w:val="en-US"/>
        </w:rPr>
        <w:instrText>given</w:instrText>
      </w:r>
      <w:r w:rsidR="00F44253" w:rsidRPr="00F44253">
        <w:instrText>":"</w:instrText>
      </w:r>
      <w:r w:rsidR="00F44253">
        <w:rPr>
          <w:lang w:val="en-US"/>
        </w:rPr>
        <w:instrText>M</w:instrText>
      </w:r>
      <w:r w:rsidR="00F44253" w:rsidRPr="00F44253">
        <w:instrText>.</w:instrText>
      </w:r>
      <w:r w:rsidR="00F44253">
        <w:rPr>
          <w:lang w:val="en-US"/>
        </w:rPr>
        <w:instrText>M</w:instrText>
      </w:r>
      <w:r w:rsidR="00F44253" w:rsidRPr="00F44253">
        <w:instrText>.","</w:instrText>
      </w:r>
      <w:r w:rsidR="00F44253">
        <w:rPr>
          <w:lang w:val="en-US"/>
        </w:rPr>
        <w:instrText>non</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parse</w:instrText>
      </w:r>
      <w:r w:rsidR="00F44253" w:rsidRPr="00F44253">
        <w:instrText>-</w:instrText>
      </w:r>
      <w:r w:rsidR="00F44253">
        <w:rPr>
          <w:lang w:val="en-US"/>
        </w:rPr>
        <w:instrText>names</w:instrText>
      </w:r>
      <w:r w:rsidR="00F44253" w:rsidRPr="00F44253">
        <w:instrText>":</w:instrText>
      </w:r>
      <w:r w:rsidR="00F44253">
        <w:rPr>
          <w:lang w:val="en-US"/>
        </w:rPr>
        <w:instrText>false</w:instrText>
      </w:r>
      <w:r w:rsidR="00F44253" w:rsidRPr="00F44253">
        <w:instrText>,"</w:instrText>
      </w:r>
      <w:r w:rsidR="00F44253">
        <w:rPr>
          <w:lang w:val="en-US"/>
        </w:rPr>
        <w:instrText>suffix</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family</w:instrText>
      </w:r>
      <w:r w:rsidR="00F44253" w:rsidRPr="00F44253">
        <w:instrText>":"</w:instrText>
      </w:r>
      <w:r w:rsidR="00F44253">
        <w:rPr>
          <w:lang w:val="en-US"/>
        </w:rPr>
        <w:instrText>Creech</w:instrText>
      </w:r>
      <w:r w:rsidR="00F44253" w:rsidRPr="00F44253">
        <w:instrText>","</w:instrText>
      </w:r>
      <w:r w:rsidR="00F44253">
        <w:rPr>
          <w:lang w:val="en-US"/>
        </w:rPr>
        <w:instrText>given</w:instrText>
      </w:r>
      <w:r w:rsidR="00F44253" w:rsidRPr="00F44253">
        <w:instrText>":"</w:instrText>
      </w:r>
      <w:r w:rsidR="00F44253">
        <w:rPr>
          <w:lang w:val="en-US"/>
        </w:rPr>
        <w:instrText>R</w:instrText>
      </w:r>
      <w:r w:rsidR="00F44253" w:rsidRPr="00F44253">
        <w:instrText>.</w:instrText>
      </w:r>
      <w:r w:rsidR="00F44253">
        <w:rPr>
          <w:lang w:val="en-US"/>
        </w:rPr>
        <w:instrText>H</w:instrText>
      </w:r>
      <w:r w:rsidR="00F44253" w:rsidRPr="00F44253">
        <w:instrText>.","</w:instrText>
      </w:r>
      <w:r w:rsidR="00F44253">
        <w:rPr>
          <w:lang w:val="en-US"/>
        </w:rPr>
        <w:instrText>non</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parse</w:instrText>
      </w:r>
      <w:r w:rsidR="00F44253" w:rsidRPr="00F44253">
        <w:instrText>-</w:instrText>
      </w:r>
      <w:r w:rsidR="00F44253">
        <w:rPr>
          <w:lang w:val="en-US"/>
        </w:rPr>
        <w:instrText>names</w:instrText>
      </w:r>
      <w:r w:rsidR="00F44253" w:rsidRPr="00F44253">
        <w:instrText>":</w:instrText>
      </w:r>
      <w:r w:rsidR="00F44253">
        <w:rPr>
          <w:lang w:val="en-US"/>
        </w:rPr>
        <w:instrText>false</w:instrText>
      </w:r>
      <w:r w:rsidR="00F44253" w:rsidRPr="00F44253">
        <w:instrText>,"</w:instrText>
      </w:r>
      <w:r w:rsidR="00F44253">
        <w:rPr>
          <w:lang w:val="en-US"/>
        </w:rPr>
        <w:instrText>suffix</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family</w:instrText>
      </w:r>
      <w:r w:rsidR="00F44253" w:rsidRPr="00F44253">
        <w:instrText>":"</w:instrText>
      </w:r>
      <w:r w:rsidR="00F44253">
        <w:rPr>
          <w:lang w:val="en-US"/>
        </w:rPr>
        <w:instrText>Tormey</w:instrText>
      </w:r>
      <w:r w:rsidR="00F44253" w:rsidRPr="00F44253">
        <w:instrText>","</w:instrText>
      </w:r>
      <w:r w:rsidR="00F44253">
        <w:rPr>
          <w:lang w:val="en-US"/>
        </w:rPr>
        <w:instrText>given</w:instrText>
      </w:r>
      <w:r w:rsidR="00F44253" w:rsidRPr="00F44253">
        <w:instrText>":"</w:instrText>
      </w:r>
      <w:r w:rsidR="00F44253">
        <w:rPr>
          <w:lang w:val="en-US"/>
        </w:rPr>
        <w:instrText>D</w:instrText>
      </w:r>
      <w:r w:rsidR="00F44253" w:rsidRPr="00F44253">
        <w:instrText>.</w:instrText>
      </w:r>
      <w:r w:rsidR="00F44253">
        <w:rPr>
          <w:lang w:val="en-US"/>
        </w:rPr>
        <w:instrText>C</w:instrText>
      </w:r>
      <w:r w:rsidR="00F44253" w:rsidRPr="00F44253">
        <w:instrText>.","</w:instrText>
      </w:r>
      <w:r w:rsidR="00F44253">
        <w:rPr>
          <w:lang w:val="en-US"/>
        </w:rPr>
        <w:instrText>non</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parse</w:instrText>
      </w:r>
      <w:r w:rsidR="00F44253" w:rsidRPr="00F44253">
        <w:instrText>-</w:instrText>
      </w:r>
      <w:r w:rsidR="00F44253">
        <w:rPr>
          <w:lang w:val="en-US"/>
        </w:rPr>
        <w:instrText>names</w:instrText>
      </w:r>
      <w:r w:rsidR="00F44253" w:rsidRPr="00F44253">
        <w:instrText>":</w:instrText>
      </w:r>
      <w:r w:rsidR="00F44253">
        <w:rPr>
          <w:lang w:val="en-US"/>
        </w:rPr>
        <w:instrText>false</w:instrText>
      </w:r>
      <w:r w:rsidR="00F44253" w:rsidRPr="00F44253">
        <w:instrText>,"</w:instrText>
      </w:r>
      <w:r w:rsidR="00F44253">
        <w:rPr>
          <w:lang w:val="en-US"/>
        </w:rPr>
        <w:instrText>suffix</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family</w:instrText>
      </w:r>
      <w:r w:rsidR="00F44253" w:rsidRPr="00F44253">
        <w:instrText>":"</w:instrText>
      </w:r>
      <w:r w:rsidR="00F44253">
        <w:rPr>
          <w:lang w:val="en-US"/>
        </w:rPr>
        <w:instrText>Horton</w:instrText>
      </w:r>
      <w:r w:rsidR="00F44253" w:rsidRPr="00F44253">
        <w:instrText>","</w:instrText>
      </w:r>
      <w:r w:rsidR="00F44253">
        <w:rPr>
          <w:lang w:val="en-US"/>
        </w:rPr>
        <w:instrText>given</w:instrText>
      </w:r>
      <w:r w:rsidR="00F44253" w:rsidRPr="00F44253">
        <w:instrText>":"</w:instrText>
      </w:r>
      <w:r w:rsidR="00F44253">
        <w:rPr>
          <w:lang w:val="en-US"/>
        </w:rPr>
        <w:instrText>J</w:instrText>
      </w:r>
      <w:r w:rsidR="00F44253" w:rsidRPr="00F44253">
        <w:instrText>.","</w:instrText>
      </w:r>
      <w:r w:rsidR="00F44253">
        <w:rPr>
          <w:lang w:val="en-US"/>
        </w:rPr>
        <w:instrText>non</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parse</w:instrText>
      </w:r>
      <w:r w:rsidR="00F44253" w:rsidRPr="00F44253">
        <w:instrText>-</w:instrText>
      </w:r>
      <w:r w:rsidR="00F44253">
        <w:rPr>
          <w:lang w:val="en-US"/>
        </w:rPr>
        <w:instrText>names</w:instrText>
      </w:r>
      <w:r w:rsidR="00F44253" w:rsidRPr="00F44253">
        <w:instrText>":</w:instrText>
      </w:r>
      <w:r w:rsidR="00F44253">
        <w:rPr>
          <w:lang w:val="en-US"/>
        </w:rPr>
        <w:instrText>false</w:instrText>
      </w:r>
      <w:r w:rsidR="00F44253" w:rsidRPr="00F44253">
        <w:instrText>,"</w:instrText>
      </w:r>
      <w:r w:rsidR="00F44253">
        <w:rPr>
          <w:lang w:val="en-US"/>
        </w:rPr>
        <w:instrText>suffix</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family</w:instrText>
      </w:r>
      <w:r w:rsidR="00F44253" w:rsidRPr="00F44253">
        <w:instrText>":"</w:instrText>
      </w:r>
      <w:r w:rsidR="00F44253">
        <w:rPr>
          <w:lang w:val="en-US"/>
        </w:rPr>
        <w:instrText>Davis</w:instrText>
      </w:r>
      <w:r w:rsidR="00F44253" w:rsidRPr="00F44253">
        <w:instrText>","</w:instrText>
      </w:r>
      <w:r w:rsidR="00F44253">
        <w:rPr>
          <w:lang w:val="en-US"/>
        </w:rPr>
        <w:instrText>given</w:instrText>
      </w:r>
      <w:r w:rsidR="00F44253" w:rsidRPr="00F44253">
        <w:instrText>":"</w:instrText>
      </w:r>
      <w:r w:rsidR="00F44253">
        <w:rPr>
          <w:lang w:val="en-US"/>
        </w:rPr>
        <w:instrText>T</w:instrText>
      </w:r>
      <w:r w:rsidR="00F44253" w:rsidRPr="00F44253">
        <w:instrText>.</w:instrText>
      </w:r>
      <w:r w:rsidR="00F44253">
        <w:rPr>
          <w:lang w:val="en-US"/>
        </w:rPr>
        <w:instrText>E</w:instrText>
      </w:r>
      <w:r w:rsidR="00F44253" w:rsidRPr="00F44253">
        <w:instrText>.","</w:instrText>
      </w:r>
      <w:r w:rsidR="00F44253">
        <w:rPr>
          <w:lang w:val="en-US"/>
        </w:rPr>
        <w:instrText>non</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parse</w:instrText>
      </w:r>
      <w:r w:rsidR="00F44253" w:rsidRPr="00F44253">
        <w:instrText>-</w:instrText>
      </w:r>
      <w:r w:rsidR="00F44253">
        <w:rPr>
          <w:lang w:val="en-US"/>
        </w:rPr>
        <w:instrText>names</w:instrText>
      </w:r>
      <w:r w:rsidR="00F44253" w:rsidRPr="00F44253">
        <w:instrText>":</w:instrText>
      </w:r>
      <w:r w:rsidR="00F44253">
        <w:rPr>
          <w:lang w:val="en-US"/>
        </w:rPr>
        <w:instrText>false</w:instrText>
      </w:r>
      <w:r w:rsidR="00F44253" w:rsidRPr="00F44253">
        <w:instrText>,"</w:instrText>
      </w:r>
      <w:r w:rsidR="00F44253">
        <w:rPr>
          <w:lang w:val="en-US"/>
        </w:rPr>
        <w:instrText>suffix</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family</w:instrText>
      </w:r>
      <w:r w:rsidR="00F44253" w:rsidRPr="00F44253">
        <w:instrText>":"</w:instrText>
      </w:r>
      <w:r w:rsidR="00F44253">
        <w:rPr>
          <w:lang w:val="en-US"/>
        </w:rPr>
        <w:instrText>McFadden</w:instrText>
      </w:r>
      <w:r w:rsidR="00F44253" w:rsidRPr="00F44253">
        <w:instrText>","</w:instrText>
      </w:r>
      <w:r w:rsidR="00F44253">
        <w:rPr>
          <w:lang w:val="en-US"/>
        </w:rPr>
        <w:instrText>given</w:instrText>
      </w:r>
      <w:r w:rsidR="00F44253" w:rsidRPr="00F44253">
        <w:instrText>":"</w:instrText>
      </w:r>
      <w:r w:rsidR="00F44253">
        <w:rPr>
          <w:lang w:val="en-US"/>
        </w:rPr>
        <w:instrText>E</w:instrText>
      </w:r>
      <w:r w:rsidR="00F44253" w:rsidRPr="00F44253">
        <w:instrText>.</w:instrText>
      </w:r>
      <w:r w:rsidR="00F44253">
        <w:rPr>
          <w:lang w:val="en-US"/>
        </w:rPr>
        <w:instrText>T</w:instrText>
      </w:r>
      <w:r w:rsidR="00F44253" w:rsidRPr="00F44253">
        <w:instrText>.","</w:instrText>
      </w:r>
      <w:r w:rsidR="00F44253">
        <w:rPr>
          <w:lang w:val="en-US"/>
        </w:rPr>
        <w:instrText>non</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parse</w:instrText>
      </w:r>
      <w:r w:rsidR="00F44253" w:rsidRPr="00F44253">
        <w:instrText>-</w:instrText>
      </w:r>
      <w:r w:rsidR="00F44253">
        <w:rPr>
          <w:lang w:val="en-US"/>
        </w:rPr>
        <w:instrText>names</w:instrText>
      </w:r>
      <w:r w:rsidR="00F44253" w:rsidRPr="00F44253">
        <w:instrText>":</w:instrText>
      </w:r>
      <w:r w:rsidR="00F44253">
        <w:rPr>
          <w:lang w:val="en-US"/>
        </w:rPr>
        <w:instrText>false</w:instrText>
      </w:r>
      <w:r w:rsidR="00F44253" w:rsidRPr="00F44253">
        <w:instrText>,"</w:instrText>
      </w:r>
      <w:r w:rsidR="00F44253">
        <w:rPr>
          <w:lang w:val="en-US"/>
        </w:rPr>
        <w:instrText>suffix</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family</w:instrText>
      </w:r>
      <w:r w:rsidR="00F44253" w:rsidRPr="00F44253">
        <w:instrText>":"</w:instrText>
      </w:r>
      <w:r w:rsidR="00F44253">
        <w:rPr>
          <w:lang w:val="en-US"/>
        </w:rPr>
        <w:instrText>Carbone</w:instrText>
      </w:r>
      <w:r w:rsidR="00F44253" w:rsidRPr="00F44253">
        <w:instrText>","</w:instrText>
      </w:r>
      <w:r w:rsidR="00F44253">
        <w:rPr>
          <w:lang w:val="en-US"/>
        </w:rPr>
        <w:instrText>given</w:instrText>
      </w:r>
      <w:r w:rsidR="00F44253" w:rsidRPr="00F44253">
        <w:instrText>":"</w:instrText>
      </w:r>
      <w:r w:rsidR="00F44253">
        <w:rPr>
          <w:lang w:val="en-US"/>
        </w:rPr>
        <w:instrText>P</w:instrText>
      </w:r>
      <w:r w:rsidR="00F44253" w:rsidRPr="00F44253">
        <w:instrText>.</w:instrText>
      </w:r>
      <w:r w:rsidR="00F44253">
        <w:rPr>
          <w:lang w:val="en-US"/>
        </w:rPr>
        <w:instrText>P</w:instrText>
      </w:r>
      <w:r w:rsidR="00F44253" w:rsidRPr="00F44253">
        <w:instrText>.","</w:instrText>
      </w:r>
      <w:r w:rsidR="00F44253">
        <w:rPr>
          <w:lang w:val="en-US"/>
        </w:rPr>
        <w:instrText>non</w:instrText>
      </w:r>
      <w:r w:rsidR="00F44253" w:rsidRPr="00F44253">
        <w:instrText>-</w:instrText>
      </w:r>
      <w:r w:rsidR="00F44253">
        <w:rPr>
          <w:lang w:val="en-US"/>
        </w:rPr>
        <w:instrText>dropping</w:instrText>
      </w:r>
      <w:r w:rsidR="00F44253" w:rsidRPr="00F44253">
        <w:instrText>-</w:instrText>
      </w:r>
      <w:r w:rsidR="00F44253">
        <w:rPr>
          <w:lang w:val="en-US"/>
        </w:rPr>
        <w:instrText>particle</w:instrText>
      </w:r>
      <w:r w:rsidR="00F44253" w:rsidRPr="00F44253">
        <w:instrText>":"","</w:instrText>
      </w:r>
      <w:r w:rsidR="00F44253">
        <w:rPr>
          <w:lang w:val="en-US"/>
        </w:rPr>
        <w:instrText>parse</w:instrText>
      </w:r>
      <w:r w:rsidR="00F44253" w:rsidRPr="00F44253">
        <w:instrText>-</w:instrText>
      </w:r>
      <w:r w:rsidR="00F44253">
        <w:rPr>
          <w:lang w:val="en-US"/>
        </w:rPr>
        <w:instrText>names</w:instrText>
      </w:r>
      <w:r w:rsidR="00F44253" w:rsidRPr="00F44253">
        <w:instrText>":</w:instrText>
      </w:r>
      <w:r w:rsidR="00F44253">
        <w:rPr>
          <w:lang w:val="en-US"/>
        </w:rPr>
        <w:instrText>false</w:instrText>
      </w:r>
      <w:r w:rsidR="00F44253" w:rsidRPr="00F44253">
        <w:instrText>,"</w:instrText>
      </w:r>
      <w:r w:rsidR="00F44253">
        <w:rPr>
          <w:lang w:val="en-US"/>
        </w:rPr>
        <w:instrText>suffix</w:instrText>
      </w:r>
      <w:r w:rsidR="00F44253" w:rsidRPr="00F44253">
        <w:instrText>":""}],"</w:instrText>
      </w:r>
      <w:r w:rsidR="00F44253">
        <w:rPr>
          <w:lang w:val="en-US"/>
        </w:rPr>
        <w:instrText>container</w:instrText>
      </w:r>
      <w:r w:rsidR="00F44253" w:rsidRPr="00F44253">
        <w:instrText>-</w:instrText>
      </w:r>
      <w:r w:rsidR="00F44253">
        <w:rPr>
          <w:lang w:val="en-US"/>
        </w:rPr>
        <w:instrText>title</w:instrText>
      </w:r>
      <w:r w:rsidR="00F44253" w:rsidRPr="00F44253">
        <w:instrText>":"</w:instrText>
      </w:r>
      <w:r w:rsidR="00F44253">
        <w:rPr>
          <w:lang w:val="en-US"/>
        </w:rPr>
        <w:instrText>American</w:instrText>
      </w:r>
      <w:r w:rsidR="00F44253" w:rsidRPr="00F44253">
        <w:instrText xml:space="preserve"> </w:instrText>
      </w:r>
      <w:r w:rsidR="00F44253">
        <w:rPr>
          <w:lang w:val="en-US"/>
        </w:rPr>
        <w:instrText>Journal</w:instrText>
      </w:r>
      <w:r w:rsidR="00F44253" w:rsidRPr="00F44253">
        <w:instrText xml:space="preserve"> </w:instrText>
      </w:r>
      <w:r w:rsidR="00F44253">
        <w:rPr>
          <w:lang w:val="en-US"/>
        </w:rPr>
        <w:instrText>of</w:instrText>
      </w:r>
      <w:r w:rsidR="00F44253" w:rsidRPr="00F44253">
        <w:instrText xml:space="preserve"> </w:instrText>
      </w:r>
      <w:r w:rsidR="00F44253">
        <w:rPr>
          <w:lang w:val="en-US"/>
        </w:rPr>
        <w:instrText>Clinical</w:instrText>
      </w:r>
      <w:r w:rsidR="00F44253" w:rsidRPr="00F44253">
        <w:instrText xml:space="preserve"> </w:instrText>
      </w:r>
      <w:r w:rsidR="00F44253">
        <w:rPr>
          <w:lang w:val="en-US"/>
        </w:rPr>
        <w:instrText>Oncology</w:instrText>
      </w:r>
      <w:r w:rsidR="00F44253" w:rsidRPr="00F44253">
        <w:instrText>","</w:instrText>
      </w:r>
      <w:r w:rsidR="00F44253">
        <w:rPr>
          <w:lang w:val="en-US"/>
        </w:rPr>
        <w:instrText>id</w:instrText>
      </w:r>
      <w:r w:rsidR="00F44253" w:rsidRPr="00F44253">
        <w:instrText>":"</w:instrText>
      </w:r>
      <w:r w:rsidR="00F44253">
        <w:rPr>
          <w:lang w:val="en-US"/>
        </w:rPr>
        <w:instrText>ITEM</w:instrText>
      </w:r>
      <w:r w:rsidR="00F44253" w:rsidRPr="00F44253">
        <w:instrText>-1","</w:instrText>
      </w:r>
      <w:r w:rsidR="00F44253">
        <w:rPr>
          <w:lang w:val="en-US"/>
        </w:rPr>
        <w:instrText>issue</w:instrText>
      </w:r>
      <w:r w:rsidR="00F44253" w:rsidRPr="00F44253">
        <w:instrText>":"6","</w:instrText>
      </w:r>
      <w:r w:rsidR="00F44253">
        <w:rPr>
          <w:lang w:val="en-US"/>
        </w:rPr>
        <w:instrText>issued</w:instrText>
      </w:r>
      <w:r w:rsidR="00F44253" w:rsidRPr="00F44253">
        <w:instrText>":{"</w:instrText>
      </w:r>
      <w:r w:rsidR="00F44253">
        <w:rPr>
          <w:lang w:val="en-US"/>
        </w:rPr>
        <w:instrText>date</w:instrText>
      </w:r>
      <w:r w:rsidR="00F44253" w:rsidRPr="00F44253">
        <w:instrText>-</w:instrText>
      </w:r>
      <w:r w:rsidR="00F44253">
        <w:rPr>
          <w:lang w:val="en-US"/>
        </w:rPr>
        <w:instrText>parts</w:instrText>
      </w:r>
      <w:r w:rsidR="00F44253" w:rsidRPr="00F44253">
        <w:instrText>":[["1982"]]},"</w:instrText>
      </w:r>
      <w:r w:rsidR="00F44253">
        <w:rPr>
          <w:lang w:val="en-US"/>
        </w:rPr>
        <w:instrText>page</w:instrText>
      </w:r>
      <w:r w:rsidR="00F44253" w:rsidRPr="00F44253">
        <w:instrText>":"649-655","</w:instrText>
      </w:r>
      <w:r w:rsidR="00F44253">
        <w:rPr>
          <w:lang w:val="en-US"/>
        </w:rPr>
        <w:instrText>title</w:instrText>
      </w:r>
      <w:r w:rsidR="00F44253" w:rsidRPr="00F44253">
        <w:instrText>":"</w:instrText>
      </w:r>
      <w:r w:rsidR="00F44253">
        <w:rPr>
          <w:lang w:val="en-US"/>
        </w:rPr>
        <w:instrText>Toxicity</w:instrText>
      </w:r>
      <w:r w:rsidR="00F44253" w:rsidRPr="00F44253">
        <w:instrText xml:space="preserve"> </w:instrText>
      </w:r>
      <w:r w:rsidR="00F44253">
        <w:rPr>
          <w:lang w:val="en-US"/>
        </w:rPr>
        <w:instrText>and</w:instrText>
      </w:r>
      <w:r w:rsidR="00F44253" w:rsidRPr="00F44253">
        <w:instrText xml:space="preserve"> </w:instrText>
      </w:r>
      <w:r w:rsidR="00F44253">
        <w:rPr>
          <w:lang w:val="en-US"/>
        </w:rPr>
        <w:instrText>response</w:instrText>
      </w:r>
      <w:r w:rsidR="00F44253" w:rsidRPr="00F44253">
        <w:instrText xml:space="preserve"> </w:instrText>
      </w:r>
      <w:r w:rsidR="00F44253">
        <w:rPr>
          <w:lang w:val="en-US"/>
        </w:rPr>
        <w:instrText>criteria</w:instrText>
      </w:r>
      <w:r w:rsidR="00F44253" w:rsidRPr="00F44253">
        <w:instrText xml:space="preserve"> </w:instrText>
      </w:r>
      <w:r w:rsidR="00F44253">
        <w:rPr>
          <w:lang w:val="en-US"/>
        </w:rPr>
        <w:instrText>of</w:instrText>
      </w:r>
      <w:r w:rsidR="00F44253" w:rsidRPr="00F44253">
        <w:instrText xml:space="preserve"> </w:instrText>
      </w:r>
      <w:r w:rsidR="00F44253">
        <w:rPr>
          <w:lang w:val="en-US"/>
        </w:rPr>
        <w:instrText>the</w:instrText>
      </w:r>
      <w:r w:rsidR="00F44253" w:rsidRPr="00F44253">
        <w:instrText xml:space="preserve"> </w:instrText>
      </w:r>
      <w:r w:rsidR="00F44253">
        <w:rPr>
          <w:lang w:val="en-US"/>
        </w:rPr>
        <w:instrText>Eastern</w:instrText>
      </w:r>
      <w:r w:rsidR="00F44253" w:rsidRPr="00F44253">
        <w:instrText xml:space="preserve"> </w:instrText>
      </w:r>
      <w:r w:rsidR="00F44253">
        <w:rPr>
          <w:lang w:val="en-US"/>
        </w:rPr>
        <w:instrText>Cooperative</w:instrText>
      </w:r>
      <w:r w:rsidR="00F44253" w:rsidRPr="00F44253">
        <w:instrText xml:space="preserve"> </w:instrText>
      </w:r>
      <w:r w:rsidR="00F44253">
        <w:rPr>
          <w:lang w:val="en-US"/>
        </w:rPr>
        <w:instrText>Oncology</w:instrText>
      </w:r>
      <w:r w:rsidR="00F44253" w:rsidRPr="00F44253">
        <w:instrText xml:space="preserve"> </w:instrText>
      </w:r>
      <w:r w:rsidR="00F44253">
        <w:rPr>
          <w:lang w:val="en-US"/>
        </w:rPr>
        <w:instrText>Group</w:instrText>
      </w:r>
      <w:r w:rsidR="00F44253" w:rsidRPr="00F44253">
        <w:instrText>","</w:instrText>
      </w:r>
      <w:r w:rsidR="00F44253">
        <w:rPr>
          <w:lang w:val="en-US"/>
        </w:rPr>
        <w:instrText>type</w:instrText>
      </w:r>
      <w:r w:rsidR="00F44253" w:rsidRPr="00F44253">
        <w:instrText>":"</w:instrText>
      </w:r>
      <w:r w:rsidR="00F44253">
        <w:rPr>
          <w:lang w:val="en-US"/>
        </w:rPr>
        <w:instrText>article</w:instrText>
      </w:r>
      <w:r w:rsidR="00F44253" w:rsidRPr="00F44253">
        <w:instrText>-</w:instrText>
      </w:r>
      <w:r w:rsidR="00F44253">
        <w:rPr>
          <w:lang w:val="en-US"/>
        </w:rPr>
        <w:instrText>journal</w:instrText>
      </w:r>
      <w:r w:rsidR="00F44253" w:rsidRPr="00F44253">
        <w:instrText>","</w:instrText>
      </w:r>
      <w:r w:rsidR="00F44253">
        <w:rPr>
          <w:lang w:val="en-US"/>
        </w:rPr>
        <w:instrText>volume</w:instrText>
      </w:r>
      <w:r w:rsidR="00F44253" w:rsidRPr="00F44253">
        <w:instrText>":"5"},"</w:instrText>
      </w:r>
      <w:r w:rsidR="00F44253">
        <w:rPr>
          <w:lang w:val="en-US"/>
        </w:rPr>
        <w:instrText>uris</w:instrText>
      </w:r>
      <w:r w:rsidR="00F44253" w:rsidRPr="00F44253">
        <w:instrText>":["</w:instrText>
      </w:r>
      <w:r w:rsidR="00F44253">
        <w:rPr>
          <w:lang w:val="en-US"/>
        </w:rPr>
        <w:instrText>http</w:instrText>
      </w:r>
      <w:r w:rsidR="00F44253" w:rsidRPr="00F44253">
        <w:instrText>://</w:instrText>
      </w:r>
      <w:r w:rsidR="00F44253">
        <w:rPr>
          <w:lang w:val="en-US"/>
        </w:rPr>
        <w:instrText>www</w:instrText>
      </w:r>
      <w:r w:rsidR="00F44253" w:rsidRPr="00F44253">
        <w:instrText>.</w:instrText>
      </w:r>
      <w:r w:rsidR="00F44253">
        <w:rPr>
          <w:lang w:val="en-US"/>
        </w:rPr>
        <w:instrText>mendeley</w:instrText>
      </w:r>
      <w:r w:rsidR="00F44253" w:rsidRPr="00F44253">
        <w:instrText>.</w:instrText>
      </w:r>
      <w:r w:rsidR="00F44253">
        <w:rPr>
          <w:lang w:val="en-US"/>
        </w:rPr>
        <w:instrText>com</w:instrText>
      </w:r>
      <w:r w:rsidR="00F44253" w:rsidRPr="00F44253">
        <w:instrText>/</w:instrText>
      </w:r>
      <w:r w:rsidR="00F44253">
        <w:rPr>
          <w:lang w:val="en-US"/>
        </w:rPr>
        <w:instrText>documents</w:instrText>
      </w:r>
      <w:r w:rsidR="00F44253" w:rsidRPr="00F44253">
        <w:instrText>/?</w:instrText>
      </w:r>
      <w:r w:rsidR="00F44253">
        <w:rPr>
          <w:lang w:val="en-US"/>
        </w:rPr>
        <w:instrText>uuid</w:instrText>
      </w:r>
      <w:r w:rsidR="00F44253" w:rsidRPr="00F44253">
        <w:instrText>=</w:instrText>
      </w:r>
      <w:r w:rsidR="00F44253">
        <w:rPr>
          <w:lang w:val="en-US"/>
        </w:rPr>
        <w:instrText>a</w:instrText>
      </w:r>
      <w:r w:rsidR="00F44253" w:rsidRPr="00F44253">
        <w:instrText>75</w:instrText>
      </w:r>
      <w:r w:rsidR="00F44253">
        <w:rPr>
          <w:lang w:val="en-US"/>
        </w:rPr>
        <w:instrText>f</w:instrText>
      </w:r>
      <w:r w:rsidR="00F44253" w:rsidRPr="00F44253">
        <w:instrText>02</w:instrText>
      </w:r>
      <w:r w:rsidR="00F44253">
        <w:rPr>
          <w:lang w:val="en-US"/>
        </w:rPr>
        <w:instrText>f</w:instrText>
      </w:r>
      <w:r w:rsidR="00F44253" w:rsidRPr="00F44253">
        <w:instrText>1-</w:instrText>
      </w:r>
      <w:r w:rsidR="00F44253">
        <w:rPr>
          <w:lang w:val="en-US"/>
        </w:rPr>
        <w:instrText>b</w:instrText>
      </w:r>
      <w:r w:rsidR="00F44253" w:rsidRPr="00F44253">
        <w:instrText>78</w:instrText>
      </w:r>
      <w:r w:rsidR="00F44253">
        <w:rPr>
          <w:lang w:val="en-US"/>
        </w:rPr>
        <w:instrText>b</w:instrText>
      </w:r>
      <w:r w:rsidR="00F44253" w:rsidRPr="00F44253">
        <w:instrText>-458</w:instrText>
      </w:r>
      <w:r w:rsidR="00F44253">
        <w:rPr>
          <w:lang w:val="en-US"/>
        </w:rPr>
        <w:instrText>d</w:instrText>
      </w:r>
      <w:r w:rsidR="00F44253" w:rsidRPr="00F44253">
        <w:instrText>-</w:instrText>
      </w:r>
      <w:r w:rsidR="00F44253">
        <w:rPr>
          <w:lang w:val="en-US"/>
        </w:rPr>
        <w:instrText>b</w:instrText>
      </w:r>
      <w:r w:rsidR="00F44253" w:rsidRPr="00F44253">
        <w:instrText>3</w:instrText>
      </w:r>
      <w:r w:rsidR="00F44253">
        <w:rPr>
          <w:lang w:val="en-US"/>
        </w:rPr>
        <w:instrText>c</w:instrText>
      </w:r>
      <w:r w:rsidR="00F44253" w:rsidRPr="00F44253">
        <w:instrText>4-9</w:instrText>
      </w:r>
      <w:r w:rsidR="00F44253">
        <w:rPr>
          <w:lang w:val="en-US"/>
        </w:rPr>
        <w:instrText>c</w:instrText>
      </w:r>
      <w:r w:rsidR="00F44253" w:rsidRPr="00F44253">
        <w:instrText>8</w:instrText>
      </w:r>
      <w:r w:rsidR="00F44253">
        <w:rPr>
          <w:lang w:val="en-US"/>
        </w:rPr>
        <w:instrText>b</w:instrText>
      </w:r>
      <w:r w:rsidR="00F44253" w:rsidRPr="00F44253">
        <w:instrText>402</w:instrText>
      </w:r>
      <w:r w:rsidR="00F44253">
        <w:rPr>
          <w:lang w:val="en-US"/>
        </w:rPr>
        <w:instrText>a</w:instrText>
      </w:r>
      <w:r w:rsidR="00F44253" w:rsidRPr="00F44253">
        <w:instrText>67</w:instrText>
      </w:r>
      <w:r w:rsidR="00F44253">
        <w:rPr>
          <w:lang w:val="en-US"/>
        </w:rPr>
        <w:instrText>f</w:instrText>
      </w:r>
      <w:r w:rsidR="00F44253" w:rsidRPr="00F44253">
        <w:instrText>0"]}],"</w:instrText>
      </w:r>
      <w:r w:rsidR="00F44253">
        <w:rPr>
          <w:lang w:val="en-US"/>
        </w:rPr>
        <w:instrText>mendeley</w:instrText>
      </w:r>
      <w:r w:rsidR="00F44253" w:rsidRPr="00F44253">
        <w:instrText>":{"</w:instrText>
      </w:r>
      <w:r w:rsidR="00F44253">
        <w:rPr>
          <w:lang w:val="en-US"/>
        </w:rPr>
        <w:instrText>formattedCitation</w:instrText>
      </w:r>
      <w:r w:rsidR="00F44253" w:rsidRPr="00F44253">
        <w:instrText>":"[149]","</w:instrText>
      </w:r>
      <w:r w:rsidR="00F44253">
        <w:rPr>
          <w:lang w:val="en-US"/>
        </w:rPr>
        <w:instrText>plainTextFormattedCitation</w:instrText>
      </w:r>
      <w:r w:rsidR="00F44253" w:rsidRPr="00F44253">
        <w:instrText>":"[149]","</w:instrText>
      </w:r>
      <w:r w:rsidR="00F44253">
        <w:rPr>
          <w:lang w:val="en-US"/>
        </w:rPr>
        <w:instrText>previouslyFormattedCitation</w:instrText>
      </w:r>
      <w:r w:rsidR="00F44253" w:rsidRPr="00F44253">
        <w:instrText>":"[149]"},"</w:instrText>
      </w:r>
      <w:r w:rsidR="00F44253">
        <w:rPr>
          <w:lang w:val="en-US"/>
        </w:rPr>
        <w:instrText>properties</w:instrText>
      </w:r>
      <w:r w:rsidR="00F44253" w:rsidRPr="00F44253">
        <w:instrText>":{"</w:instrText>
      </w:r>
      <w:r w:rsidR="00F44253">
        <w:rPr>
          <w:lang w:val="en-US"/>
        </w:rPr>
        <w:instrText>noteIndex</w:instrText>
      </w:r>
      <w:r w:rsidR="00F44253" w:rsidRPr="00F44253">
        <w:instrText>":0},"</w:instrText>
      </w:r>
      <w:r w:rsidR="00F44253">
        <w:rPr>
          <w:lang w:val="en-US"/>
        </w:rPr>
        <w:instrText>schema</w:instrText>
      </w:r>
      <w:r w:rsidR="00F44253" w:rsidRPr="00F44253">
        <w:instrText>":"</w:instrText>
      </w:r>
      <w:r w:rsidR="00F44253">
        <w:rPr>
          <w:lang w:val="en-US"/>
        </w:rPr>
        <w:instrText>https</w:instrText>
      </w:r>
      <w:r w:rsidR="00F44253" w:rsidRPr="00F44253">
        <w:instrText>://</w:instrText>
      </w:r>
      <w:r w:rsidR="00F44253">
        <w:rPr>
          <w:lang w:val="en-US"/>
        </w:rPr>
        <w:instrText>github</w:instrText>
      </w:r>
      <w:r w:rsidR="00F44253" w:rsidRPr="00F44253">
        <w:instrText>.</w:instrText>
      </w:r>
      <w:r w:rsidR="00F44253">
        <w:rPr>
          <w:lang w:val="en-US"/>
        </w:rPr>
        <w:instrText>com</w:instrText>
      </w:r>
      <w:r w:rsidR="00F44253" w:rsidRPr="00F44253">
        <w:instrText>/</w:instrText>
      </w:r>
      <w:r w:rsidR="00F44253">
        <w:rPr>
          <w:lang w:val="en-US"/>
        </w:rPr>
        <w:instrText>citation</w:instrText>
      </w:r>
      <w:r w:rsidR="00F44253" w:rsidRPr="00F44253">
        <w:instrText>-</w:instrText>
      </w:r>
      <w:r w:rsidR="00F44253">
        <w:rPr>
          <w:lang w:val="en-US"/>
        </w:rPr>
        <w:instrText>style</w:instrText>
      </w:r>
      <w:r w:rsidR="00F44253" w:rsidRPr="00F44253">
        <w:instrText>-</w:instrText>
      </w:r>
      <w:r w:rsidR="00F44253">
        <w:rPr>
          <w:lang w:val="en-US"/>
        </w:rPr>
        <w:instrText>language</w:instrText>
      </w:r>
      <w:r w:rsidR="00F44253" w:rsidRPr="00F44253">
        <w:instrText>/</w:instrText>
      </w:r>
      <w:r w:rsidR="00F44253">
        <w:rPr>
          <w:lang w:val="en-US"/>
        </w:rPr>
        <w:instrText>schema</w:instrText>
      </w:r>
      <w:r w:rsidR="00F44253" w:rsidRPr="00F44253">
        <w:instrText>/</w:instrText>
      </w:r>
      <w:r w:rsidR="00F44253">
        <w:rPr>
          <w:lang w:val="en-US"/>
        </w:rPr>
        <w:instrText>raw</w:instrText>
      </w:r>
      <w:r w:rsidR="00F44253" w:rsidRPr="00F44253">
        <w:instrText>/</w:instrText>
      </w:r>
      <w:r w:rsidR="00F44253">
        <w:rPr>
          <w:lang w:val="en-US"/>
        </w:rPr>
        <w:instrText>master</w:instrText>
      </w:r>
      <w:r w:rsidR="00F44253" w:rsidRPr="00F44253">
        <w:instrText>/</w:instrText>
      </w:r>
      <w:r w:rsidR="00F44253">
        <w:rPr>
          <w:lang w:val="en-US"/>
        </w:rPr>
        <w:instrText>csl</w:instrText>
      </w:r>
      <w:r w:rsidR="00F44253" w:rsidRPr="00F44253">
        <w:instrText>-</w:instrText>
      </w:r>
      <w:r w:rsidR="00F44253">
        <w:rPr>
          <w:lang w:val="en-US"/>
        </w:rPr>
        <w:instrText>citation</w:instrText>
      </w:r>
      <w:r w:rsidR="00F44253" w:rsidRPr="00F44253">
        <w:instrText>.</w:instrText>
      </w:r>
      <w:r w:rsidR="00F44253">
        <w:rPr>
          <w:lang w:val="en-US"/>
        </w:rPr>
        <w:instrText>json</w:instrText>
      </w:r>
      <w:r w:rsidR="00F44253" w:rsidRPr="00F44253">
        <w:instrText>"}</w:instrText>
      </w:r>
      <w:r>
        <w:rPr>
          <w:lang w:val="en-US"/>
        </w:rPr>
        <w:fldChar w:fldCharType="separate"/>
      </w:r>
      <w:r w:rsidR="004D13EB" w:rsidRPr="004D13EB">
        <w:rPr>
          <w:noProof/>
        </w:rPr>
        <w:t>[149]</w:t>
      </w:r>
      <w:r>
        <w:rPr>
          <w:lang w:val="en-US"/>
        </w:rPr>
        <w:fldChar w:fldCharType="end"/>
      </w:r>
    </w:p>
    <w:p w14:paraId="5D56A5BB" w14:textId="77777777" w:rsidR="00321834" w:rsidRDefault="00321834" w:rsidP="00321834">
      <w:r>
        <w:t>Тип: шкала оценки</w:t>
      </w:r>
    </w:p>
    <w:p w14:paraId="6020EB38" w14:textId="77777777" w:rsidR="00321834" w:rsidRPr="003E0B03" w:rsidRDefault="00321834" w:rsidP="00321834">
      <w:r>
        <w:t xml:space="preserve">Назначение: клиническая оценка общего состояния пациента </w:t>
      </w:r>
    </w:p>
    <w:p w14:paraId="69ECBFF2" w14:textId="77777777" w:rsidR="00321834" w:rsidRPr="00B468B9" w:rsidRDefault="00321834" w:rsidP="00321834">
      <w:pPr>
        <w:rPr>
          <w:bCs/>
        </w:rPr>
      </w:pPr>
      <w:r>
        <w:rPr>
          <w:bCs/>
        </w:rPr>
        <w:t>Содержание и интерпретация</w:t>
      </w:r>
      <w:r w:rsidRPr="00B468B9">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19"/>
        <w:gridCol w:w="7426"/>
      </w:tblGrid>
      <w:tr w:rsidR="00321834" w14:paraId="7EA76399" w14:textId="77777777" w:rsidTr="000E7A74">
        <w:tc>
          <w:tcPr>
            <w:tcW w:w="1950" w:type="dxa"/>
            <w:tcBorders>
              <w:top w:val="single" w:sz="4" w:space="0" w:color="auto"/>
              <w:left w:val="single" w:sz="4" w:space="0" w:color="auto"/>
              <w:bottom w:val="single" w:sz="4" w:space="0" w:color="auto"/>
              <w:right w:val="single" w:sz="4" w:space="0" w:color="auto"/>
            </w:tcBorders>
          </w:tcPr>
          <w:p w14:paraId="3A8CA9BD" w14:textId="77777777" w:rsidR="00321834" w:rsidRDefault="00321834" w:rsidP="000E7A74">
            <w:pPr>
              <w:pStyle w:val="affff"/>
              <w:spacing w:before="100" w:after="100" w:line="360" w:lineRule="auto"/>
              <w:ind w:firstLine="0"/>
              <w:rPr>
                <w:rStyle w:val="aff9"/>
                <w:b w:val="0"/>
              </w:rPr>
            </w:pPr>
            <w:r>
              <w:rPr>
                <w:rStyle w:val="aff9"/>
                <w:b w:val="0"/>
              </w:rPr>
              <w:t>С</w:t>
            </w:r>
            <w:r>
              <w:rPr>
                <w:rStyle w:val="aff9"/>
              </w:rPr>
              <w:t>татус (баллы)</w:t>
            </w:r>
          </w:p>
        </w:tc>
        <w:tc>
          <w:tcPr>
            <w:tcW w:w="7615" w:type="dxa"/>
            <w:tcBorders>
              <w:top w:val="single" w:sz="4" w:space="0" w:color="auto"/>
              <w:left w:val="single" w:sz="4" w:space="0" w:color="auto"/>
              <w:bottom w:val="single" w:sz="4" w:space="0" w:color="auto"/>
              <w:right w:val="single" w:sz="4" w:space="0" w:color="auto"/>
            </w:tcBorders>
          </w:tcPr>
          <w:p w14:paraId="4158970B" w14:textId="77777777" w:rsidR="00321834" w:rsidRDefault="00321834" w:rsidP="000E7A74">
            <w:pPr>
              <w:pStyle w:val="affff"/>
              <w:spacing w:before="100" w:after="100" w:line="360" w:lineRule="auto"/>
              <w:ind w:firstLine="36"/>
              <w:jc w:val="center"/>
              <w:rPr>
                <w:rStyle w:val="aff9"/>
                <w:b w:val="0"/>
              </w:rPr>
            </w:pPr>
            <w:r>
              <w:rPr>
                <w:rStyle w:val="aff9"/>
                <w:b w:val="0"/>
              </w:rPr>
              <w:t>О</w:t>
            </w:r>
            <w:r>
              <w:rPr>
                <w:rStyle w:val="aff9"/>
              </w:rPr>
              <w:t>писание общего состояния пациента</w:t>
            </w:r>
          </w:p>
        </w:tc>
      </w:tr>
      <w:tr w:rsidR="00321834" w14:paraId="76AEB972" w14:textId="77777777" w:rsidTr="000E7A74">
        <w:tc>
          <w:tcPr>
            <w:tcW w:w="1950" w:type="dxa"/>
            <w:tcBorders>
              <w:top w:val="single" w:sz="4" w:space="0" w:color="auto"/>
              <w:left w:val="single" w:sz="4" w:space="0" w:color="auto"/>
              <w:bottom w:val="single" w:sz="4" w:space="0" w:color="auto"/>
              <w:right w:val="single" w:sz="4" w:space="0" w:color="auto"/>
            </w:tcBorders>
          </w:tcPr>
          <w:p w14:paraId="76A4E648" w14:textId="77777777" w:rsidR="00321834" w:rsidRDefault="00321834" w:rsidP="000E7A74">
            <w:pPr>
              <w:pStyle w:val="affff"/>
              <w:spacing w:before="100" w:after="100" w:line="360" w:lineRule="auto"/>
              <w:rPr>
                <w:rStyle w:val="aff9"/>
                <w:b w:val="0"/>
                <w:lang w:val="en-US"/>
              </w:rPr>
            </w:pPr>
            <w:r>
              <w:rPr>
                <w:rStyle w:val="aff9"/>
                <w:b w:val="0"/>
                <w:lang w:val="en-US"/>
              </w:rPr>
              <w:t>0</w:t>
            </w:r>
          </w:p>
        </w:tc>
        <w:tc>
          <w:tcPr>
            <w:tcW w:w="7615" w:type="dxa"/>
            <w:tcBorders>
              <w:top w:val="single" w:sz="4" w:space="0" w:color="auto"/>
              <w:left w:val="single" w:sz="4" w:space="0" w:color="auto"/>
              <w:bottom w:val="single" w:sz="4" w:space="0" w:color="auto"/>
              <w:right w:val="single" w:sz="4" w:space="0" w:color="auto"/>
            </w:tcBorders>
          </w:tcPr>
          <w:p w14:paraId="2F23422E" w14:textId="77777777" w:rsidR="00321834" w:rsidRDefault="00321834" w:rsidP="000E7A74">
            <w:pPr>
              <w:pStyle w:val="affff"/>
              <w:spacing w:before="100" w:after="100" w:line="360" w:lineRule="auto"/>
              <w:ind w:firstLine="0"/>
              <w:jc w:val="left"/>
              <w:rPr>
                <w:rStyle w:val="aff9"/>
                <w:b w:val="0"/>
              </w:rPr>
            </w:pPr>
            <w:r>
              <w:rPr>
                <w:rStyle w:val="aff9"/>
                <w:b w:val="0"/>
              </w:rPr>
              <w:t>Пациент полностью активен, способен выполнять все, как и до заболевания.</w:t>
            </w:r>
          </w:p>
        </w:tc>
      </w:tr>
      <w:tr w:rsidR="00321834" w14:paraId="07958088" w14:textId="77777777" w:rsidTr="000E7A74">
        <w:tc>
          <w:tcPr>
            <w:tcW w:w="1950" w:type="dxa"/>
            <w:tcBorders>
              <w:top w:val="single" w:sz="4" w:space="0" w:color="auto"/>
              <w:left w:val="single" w:sz="4" w:space="0" w:color="auto"/>
              <w:bottom w:val="single" w:sz="4" w:space="0" w:color="auto"/>
              <w:right w:val="single" w:sz="4" w:space="0" w:color="auto"/>
            </w:tcBorders>
          </w:tcPr>
          <w:p w14:paraId="280D4958" w14:textId="77777777" w:rsidR="00321834" w:rsidRDefault="00321834" w:rsidP="000E7A74">
            <w:pPr>
              <w:pStyle w:val="affff"/>
              <w:spacing w:before="100" w:after="100" w:line="360" w:lineRule="auto"/>
              <w:rPr>
                <w:rStyle w:val="aff9"/>
                <w:b w:val="0"/>
              </w:rPr>
            </w:pPr>
            <w:r>
              <w:rPr>
                <w:rStyle w:val="aff9"/>
                <w:b w:val="0"/>
              </w:rPr>
              <w:t>1</w:t>
            </w:r>
          </w:p>
        </w:tc>
        <w:tc>
          <w:tcPr>
            <w:tcW w:w="7615" w:type="dxa"/>
            <w:tcBorders>
              <w:top w:val="single" w:sz="4" w:space="0" w:color="auto"/>
              <w:left w:val="single" w:sz="4" w:space="0" w:color="auto"/>
              <w:bottom w:val="single" w:sz="4" w:space="0" w:color="auto"/>
              <w:right w:val="single" w:sz="4" w:space="0" w:color="auto"/>
            </w:tcBorders>
          </w:tcPr>
          <w:p w14:paraId="20C3836C" w14:textId="77777777" w:rsidR="00321834" w:rsidRDefault="00321834" w:rsidP="000E7A74">
            <w:pPr>
              <w:pStyle w:val="affff"/>
              <w:spacing w:before="100" w:after="100" w:line="360" w:lineRule="auto"/>
              <w:ind w:firstLine="0"/>
              <w:jc w:val="left"/>
              <w:rPr>
                <w:rStyle w:val="aff9"/>
                <w:b w:val="0"/>
              </w:rPr>
            </w:pPr>
            <w:r>
              <w:rPr>
                <w:rStyle w:val="aff9"/>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321834" w14:paraId="48514E9B" w14:textId="77777777" w:rsidTr="000E7A74">
        <w:tc>
          <w:tcPr>
            <w:tcW w:w="1950" w:type="dxa"/>
            <w:tcBorders>
              <w:top w:val="single" w:sz="4" w:space="0" w:color="auto"/>
              <w:left w:val="single" w:sz="4" w:space="0" w:color="auto"/>
              <w:bottom w:val="single" w:sz="4" w:space="0" w:color="auto"/>
              <w:right w:val="single" w:sz="4" w:space="0" w:color="auto"/>
            </w:tcBorders>
          </w:tcPr>
          <w:p w14:paraId="0D70A106" w14:textId="77777777" w:rsidR="00321834" w:rsidRDefault="00321834" w:rsidP="000E7A74">
            <w:pPr>
              <w:pStyle w:val="affff"/>
              <w:spacing w:before="100" w:after="100" w:line="360" w:lineRule="auto"/>
              <w:rPr>
                <w:rStyle w:val="aff9"/>
                <w:b w:val="0"/>
              </w:rPr>
            </w:pPr>
            <w:r>
              <w:rPr>
                <w:rStyle w:val="aff9"/>
                <w:b w:val="0"/>
              </w:rPr>
              <w:t>2</w:t>
            </w:r>
          </w:p>
        </w:tc>
        <w:tc>
          <w:tcPr>
            <w:tcW w:w="7615" w:type="dxa"/>
            <w:tcBorders>
              <w:top w:val="single" w:sz="4" w:space="0" w:color="auto"/>
              <w:left w:val="single" w:sz="4" w:space="0" w:color="auto"/>
              <w:bottom w:val="single" w:sz="4" w:space="0" w:color="auto"/>
              <w:right w:val="single" w:sz="4" w:space="0" w:color="auto"/>
            </w:tcBorders>
          </w:tcPr>
          <w:p w14:paraId="34DE1ED3" w14:textId="77777777" w:rsidR="00321834" w:rsidRDefault="00321834" w:rsidP="000E7A74">
            <w:pPr>
              <w:pStyle w:val="affff"/>
              <w:spacing w:before="100" w:after="100" w:line="360" w:lineRule="auto"/>
              <w:ind w:firstLine="0"/>
              <w:jc w:val="left"/>
              <w:rPr>
                <w:rStyle w:val="aff9"/>
                <w:b w:val="0"/>
              </w:rPr>
            </w:pPr>
            <w:r>
              <w:rPr>
                <w:rStyle w:val="aff9"/>
                <w:b w:val="0"/>
              </w:rPr>
              <w:t>Пациент лечится амбулаторно, способен к самообслуживанию, но не может выполнять работу. Более 50 % времени проводит активно – в вертикальном положении.</w:t>
            </w:r>
          </w:p>
        </w:tc>
      </w:tr>
      <w:tr w:rsidR="00321834" w14:paraId="603E1926" w14:textId="77777777" w:rsidTr="000E7A74">
        <w:tc>
          <w:tcPr>
            <w:tcW w:w="1950" w:type="dxa"/>
            <w:tcBorders>
              <w:top w:val="single" w:sz="4" w:space="0" w:color="auto"/>
              <w:left w:val="single" w:sz="4" w:space="0" w:color="auto"/>
              <w:bottom w:val="single" w:sz="4" w:space="0" w:color="auto"/>
              <w:right w:val="single" w:sz="4" w:space="0" w:color="auto"/>
            </w:tcBorders>
          </w:tcPr>
          <w:p w14:paraId="724174DC" w14:textId="77777777" w:rsidR="00321834" w:rsidRDefault="00321834" w:rsidP="000E7A74">
            <w:pPr>
              <w:pStyle w:val="affff"/>
              <w:spacing w:before="100" w:after="100" w:line="360" w:lineRule="auto"/>
              <w:rPr>
                <w:rStyle w:val="aff9"/>
                <w:b w:val="0"/>
              </w:rPr>
            </w:pPr>
            <w:r>
              <w:rPr>
                <w:rStyle w:val="aff9"/>
                <w:b w:val="0"/>
              </w:rPr>
              <w:t>3</w:t>
            </w:r>
          </w:p>
        </w:tc>
        <w:tc>
          <w:tcPr>
            <w:tcW w:w="7615" w:type="dxa"/>
            <w:tcBorders>
              <w:top w:val="single" w:sz="4" w:space="0" w:color="auto"/>
              <w:left w:val="single" w:sz="4" w:space="0" w:color="auto"/>
              <w:bottom w:val="single" w:sz="4" w:space="0" w:color="auto"/>
              <w:right w:val="single" w:sz="4" w:space="0" w:color="auto"/>
            </w:tcBorders>
          </w:tcPr>
          <w:p w14:paraId="542D12FB" w14:textId="77777777" w:rsidR="00321834" w:rsidRDefault="00321834" w:rsidP="000E7A74">
            <w:pPr>
              <w:pStyle w:val="affff"/>
              <w:spacing w:before="100" w:after="100" w:line="360" w:lineRule="auto"/>
              <w:ind w:firstLine="0"/>
              <w:jc w:val="left"/>
              <w:rPr>
                <w:rStyle w:val="aff9"/>
                <w:b w:val="0"/>
              </w:rPr>
            </w:pPr>
            <w:r w:rsidRPr="003B113D">
              <w:rPr>
                <w:rStyle w:val="aff9"/>
                <w:b w:val="0"/>
              </w:rPr>
              <w:t>Пациент</w:t>
            </w:r>
            <w:r>
              <w:rPr>
                <w:rStyle w:val="aff9"/>
                <w:b w:val="0"/>
              </w:rPr>
              <w:t xml:space="preserve"> способен лишь к ограниченному самообслуживанию, проводит в кресле или постели более 50 % времени бодрствования.</w:t>
            </w:r>
          </w:p>
        </w:tc>
      </w:tr>
      <w:tr w:rsidR="00321834" w14:paraId="6E1ED201" w14:textId="77777777" w:rsidTr="000E7A74">
        <w:tc>
          <w:tcPr>
            <w:tcW w:w="1950" w:type="dxa"/>
            <w:tcBorders>
              <w:top w:val="single" w:sz="4" w:space="0" w:color="auto"/>
              <w:left w:val="single" w:sz="4" w:space="0" w:color="auto"/>
              <w:bottom w:val="single" w:sz="4" w:space="0" w:color="auto"/>
              <w:right w:val="single" w:sz="4" w:space="0" w:color="auto"/>
            </w:tcBorders>
          </w:tcPr>
          <w:p w14:paraId="4957AB35" w14:textId="77777777" w:rsidR="00321834" w:rsidRDefault="00321834" w:rsidP="000E7A74">
            <w:pPr>
              <w:pStyle w:val="affff"/>
              <w:spacing w:before="100" w:after="100" w:line="360" w:lineRule="auto"/>
              <w:rPr>
                <w:rStyle w:val="aff9"/>
                <w:b w:val="0"/>
              </w:rPr>
            </w:pPr>
            <w:r>
              <w:rPr>
                <w:rStyle w:val="aff9"/>
                <w:b w:val="0"/>
              </w:rPr>
              <w:t>4</w:t>
            </w:r>
          </w:p>
        </w:tc>
        <w:tc>
          <w:tcPr>
            <w:tcW w:w="7615" w:type="dxa"/>
            <w:tcBorders>
              <w:top w:val="single" w:sz="4" w:space="0" w:color="auto"/>
              <w:left w:val="single" w:sz="4" w:space="0" w:color="auto"/>
              <w:bottom w:val="single" w:sz="4" w:space="0" w:color="auto"/>
              <w:right w:val="single" w:sz="4" w:space="0" w:color="auto"/>
            </w:tcBorders>
          </w:tcPr>
          <w:p w14:paraId="434FF961" w14:textId="77777777" w:rsidR="00321834" w:rsidRDefault="00321834" w:rsidP="000E7A74">
            <w:pPr>
              <w:pStyle w:val="affff"/>
              <w:spacing w:before="100" w:after="100" w:line="360" w:lineRule="auto"/>
              <w:ind w:firstLine="0"/>
              <w:jc w:val="left"/>
              <w:rPr>
                <w:rStyle w:val="aff9"/>
                <w:b w:val="0"/>
              </w:rPr>
            </w:pPr>
            <w:r>
              <w:rPr>
                <w:rStyle w:val="aff9"/>
                <w:b w:val="0"/>
              </w:rPr>
              <w:t>Инвалид, совершенно не способен к самообслуживанию, прикован к креслу или постели.</w:t>
            </w:r>
          </w:p>
        </w:tc>
      </w:tr>
      <w:tr w:rsidR="00321834" w14:paraId="12F09371" w14:textId="77777777" w:rsidTr="000E7A74">
        <w:tc>
          <w:tcPr>
            <w:tcW w:w="1950" w:type="dxa"/>
            <w:tcBorders>
              <w:top w:val="single" w:sz="4" w:space="0" w:color="auto"/>
              <w:left w:val="single" w:sz="4" w:space="0" w:color="auto"/>
              <w:bottom w:val="single" w:sz="4" w:space="0" w:color="auto"/>
              <w:right w:val="single" w:sz="4" w:space="0" w:color="auto"/>
            </w:tcBorders>
          </w:tcPr>
          <w:p w14:paraId="2F6B736A" w14:textId="77777777" w:rsidR="00321834" w:rsidRDefault="00321834" w:rsidP="000E7A74">
            <w:pPr>
              <w:pStyle w:val="affff"/>
              <w:spacing w:before="100" w:after="100" w:line="360" w:lineRule="auto"/>
              <w:rPr>
                <w:rStyle w:val="aff9"/>
                <w:b w:val="0"/>
              </w:rPr>
            </w:pPr>
            <w:r>
              <w:rPr>
                <w:rStyle w:val="aff9"/>
                <w:b w:val="0"/>
              </w:rPr>
              <w:t>5</w:t>
            </w:r>
          </w:p>
        </w:tc>
        <w:tc>
          <w:tcPr>
            <w:tcW w:w="7615" w:type="dxa"/>
            <w:tcBorders>
              <w:top w:val="single" w:sz="4" w:space="0" w:color="auto"/>
              <w:left w:val="single" w:sz="4" w:space="0" w:color="auto"/>
              <w:bottom w:val="single" w:sz="4" w:space="0" w:color="auto"/>
              <w:right w:val="single" w:sz="4" w:space="0" w:color="auto"/>
            </w:tcBorders>
          </w:tcPr>
          <w:p w14:paraId="48377782" w14:textId="77777777" w:rsidR="00321834" w:rsidRDefault="00321834" w:rsidP="000E7A74">
            <w:pPr>
              <w:pStyle w:val="affff"/>
              <w:spacing w:before="100" w:after="100" w:line="360" w:lineRule="auto"/>
              <w:ind w:firstLine="0"/>
              <w:jc w:val="left"/>
              <w:rPr>
                <w:rStyle w:val="aff9"/>
                <w:b w:val="0"/>
              </w:rPr>
            </w:pPr>
            <w:r>
              <w:rPr>
                <w:rStyle w:val="aff9"/>
                <w:b w:val="0"/>
              </w:rPr>
              <w:t>Смерть пациента</w:t>
            </w:r>
          </w:p>
        </w:tc>
      </w:tr>
      <w:bookmarkEnd w:id="172"/>
    </w:tbl>
    <w:p w14:paraId="32550807" w14:textId="77777777" w:rsidR="00321834" w:rsidRDefault="00321834" w:rsidP="00321834">
      <w:pPr>
        <w:pStyle w:val="afffa"/>
        <w:ind w:firstLine="0"/>
      </w:pPr>
    </w:p>
    <w:p w14:paraId="0321D44E" w14:textId="77777777" w:rsidR="00321834" w:rsidRPr="0033051F" w:rsidRDefault="00321834" w:rsidP="00321834">
      <w:pPr>
        <w:pStyle w:val="2"/>
      </w:pPr>
      <w:bookmarkStart w:id="173" w:name="_Toc35277481"/>
      <w:bookmarkStart w:id="174" w:name="_Toc103332126"/>
      <w:r w:rsidRPr="0033051F">
        <w:t>Приложение Г</w:t>
      </w:r>
      <w:r w:rsidRPr="00C31EFD">
        <w:t>2</w:t>
      </w:r>
      <w:r w:rsidRPr="0033051F">
        <w:t xml:space="preserve">. Шкала </w:t>
      </w:r>
      <w:r w:rsidRPr="00F82D52">
        <w:t>Khorana для оценки риска ВТЭО у пациентов, получающих химиотерапию</w:t>
      </w:r>
      <w:bookmarkEnd w:id="173"/>
      <w:bookmarkEnd w:id="174"/>
    </w:p>
    <w:p w14:paraId="43DA6D0F" w14:textId="03AAC674" w:rsidR="00321834" w:rsidRPr="00703062" w:rsidRDefault="00321834" w:rsidP="00321834">
      <w:pPr>
        <w:spacing w:before="240"/>
        <w:rPr>
          <w:lang w:val="en-US"/>
        </w:rPr>
      </w:pPr>
      <w:r>
        <w:t>Оригинальное</w:t>
      </w:r>
      <w:r w:rsidRPr="00A70490">
        <w:rPr>
          <w:lang w:val="en-US"/>
        </w:rPr>
        <w:t xml:space="preserve"> </w:t>
      </w:r>
      <w:r>
        <w:t>название</w:t>
      </w:r>
      <w:r w:rsidRPr="00703062">
        <w:rPr>
          <w:lang w:val="en-US"/>
        </w:rPr>
        <w:t xml:space="preserve">: </w:t>
      </w:r>
    </w:p>
    <w:p w14:paraId="2D969F2F" w14:textId="07EF9679" w:rsidR="00321834" w:rsidRPr="00321834" w:rsidRDefault="00321834" w:rsidP="00321834">
      <w:r>
        <w:t>Источник</w:t>
      </w:r>
      <w:r w:rsidRPr="00CA1143">
        <w:rPr>
          <w:lang w:val="en-US"/>
        </w:rPr>
        <w:t xml:space="preserve">: </w:t>
      </w:r>
      <w:r w:rsidRPr="00154AEE">
        <w:rPr>
          <w:rFonts w:eastAsia="ArialNarrow"/>
          <w:szCs w:val="24"/>
          <w:highlight w:val="white"/>
          <w:lang w:val="en-US"/>
        </w:rPr>
        <w:t>Development and Validation of a predictive model for chemotherapy</w:t>
      </w:r>
      <w:r w:rsidRPr="00321834">
        <w:rPr>
          <w:rFonts w:eastAsia="ArialNarrow"/>
          <w:szCs w:val="24"/>
          <w:highlight w:val="white"/>
          <w:lang w:val="en-US"/>
        </w:rPr>
        <w:t xml:space="preserve"> </w:t>
      </w:r>
      <w:r w:rsidRPr="00154AEE">
        <w:rPr>
          <w:rFonts w:eastAsia="ArialNarrow"/>
          <w:szCs w:val="24"/>
          <w:highlight w:val="white"/>
          <w:lang w:val="en-US"/>
        </w:rPr>
        <w:t xml:space="preserve">associated thrombosis. </w:t>
      </w:r>
      <w:r w:rsidRPr="000F6464">
        <w:rPr>
          <w:rFonts w:eastAsia="ArialNarrow"/>
          <w:szCs w:val="24"/>
          <w:highlight w:val="white"/>
          <w:lang w:val="en-US"/>
        </w:rPr>
        <w:t>Blood</w:t>
      </w:r>
      <w:r w:rsidRPr="00321834">
        <w:rPr>
          <w:rFonts w:eastAsia="ArialNarrow"/>
          <w:szCs w:val="24"/>
          <w:highlight w:val="white"/>
        </w:rPr>
        <w:t>. 2008;111(10):4902-4907</w:t>
      </w:r>
      <w:r>
        <w:rPr>
          <w:rFonts w:eastAsia="ArialNarrow"/>
          <w:szCs w:val="24"/>
        </w:rPr>
        <w:t xml:space="preserve"> </w:t>
      </w:r>
      <w:r>
        <w:rPr>
          <w:rFonts w:eastAsia="ArialNarrow"/>
          <w:szCs w:val="24"/>
        </w:rPr>
        <w:fldChar w:fldCharType="begin" w:fldLock="1"/>
      </w:r>
      <w:r w:rsidR="00F44253">
        <w:rPr>
          <w:rFonts w:eastAsia="ArialNarrow"/>
          <w:szCs w:val="24"/>
        </w:rPr>
        <w:instrText>ADDIN CSL_CITATION {"citationItems":[{"id":"ITEM-1","itemData":{"DOI":"10.1182/blood-2007-10-116327","ISSN":"00064971","abstract":"Risk of venous thromboembolism (VTE) is elevated in cancer, but individual risk factors cannot identify a sufficiently high- risk group of outpatients for thromboprophylaxis. We developed a simple model for predicting chemotherapy-associated VTE using baseline clinical and laboratory variables. The association of VTE with multiple variables was characterized in a derivation cohort of 2701 cancer outpatients from a prospective observational study. A risk model was derived and validated in an independent cohort of 1365 patients from the same study. Five predictive variables were identified in a multivariate model: site of cancer (2 points for very high-risk site, 1 point for high- risk site), platelet count of 350 x 109/L or more, hemoglobin less than 100 g/L (10g/dL) and/or use of erythropoiesis- stimulating agents, leukocyte count more than 11 x 109/L, and body mass index of 35 kg/m 2 or more (1 point each). Rates of VTE in the derivation and validation cohorts, respectively, were 0.8% and 0.3% in low-risk (score = 0), 1.8% and 2% in intermediate-risk (score = 1-2), and 7.1% and 6.7% in high-risk (score =: 3) category over a median of 2.5 months (C- statistic = 0.7 for both cohorts). This model can identify patients with a nearly 7% short-term risk of symptomatic VTE and may be used to select cancer outpatients for studies of thromboprophylaxis.","author":[{"dropping-particle":"","family":"Khorana","given":"Aloka","non-dropping-particle":"","parse-names":false,"suffix":""},{"dropping-particle":"","family":"Kuderer","given":"Nicole M.","non-dropping-particle":"","parse-names":false,"suffix":""},{"dropping-particle":"","family":"Culakova","given":"Eva","non-dropping-particle":"","parse-names":false,"suffix":""},{"dropping-particle":"","family":"Lyman","given":"Gary H.","non-dropping-particle":"","parse-names":false,"suffix":""},{"dropping-particle":"","family":"Francis","given":"Charles W.","non-dropping-particle":"","parse-names":false,"suffix":""}],"container-title":"Blood","id":"ITEM-1","issue":"10","issued":{"date-parts":[["2008","5","15"]]},"page":"4902-4907","title":"Development and validation of a predictive model for chemotherapy- associated thrombosis","type":"article-journal","volume":"111"},"uris":["http://www.mendeley.com/documents/?uuid=4c4dbd48-436b-35e3-9a94-775de2fff380"]}],"mendeley":{"formattedCitation":"[150]","plainTextFormattedCitation":"[150]","previouslyFormattedCitation":"[150]"},"properties":{"noteIndex":0},"schema":"https://github.com/citation-style-language/schema/raw/master/csl-citation.json"}</w:instrText>
      </w:r>
      <w:r>
        <w:rPr>
          <w:rFonts w:eastAsia="ArialNarrow"/>
          <w:szCs w:val="24"/>
        </w:rPr>
        <w:fldChar w:fldCharType="separate"/>
      </w:r>
      <w:r w:rsidR="004D13EB" w:rsidRPr="004D13EB">
        <w:rPr>
          <w:rFonts w:eastAsia="ArialNarrow"/>
          <w:noProof/>
          <w:szCs w:val="24"/>
        </w:rPr>
        <w:t>[150]</w:t>
      </w:r>
      <w:r>
        <w:rPr>
          <w:rFonts w:eastAsia="ArialNarrow"/>
          <w:szCs w:val="24"/>
        </w:rPr>
        <w:fldChar w:fldCharType="end"/>
      </w:r>
    </w:p>
    <w:p w14:paraId="0665AA8A" w14:textId="77777777" w:rsidR="00321834" w:rsidRDefault="00321834" w:rsidP="00321834">
      <w:r>
        <w:lastRenderedPageBreak/>
        <w:t>Тип: шкала оценки</w:t>
      </w:r>
    </w:p>
    <w:p w14:paraId="054C2928" w14:textId="77777777" w:rsidR="00321834" w:rsidRPr="003E0B03" w:rsidRDefault="00321834" w:rsidP="00321834">
      <w:r>
        <w:t xml:space="preserve">Назначение: клиническая оценка общего состояния пациента </w:t>
      </w:r>
    </w:p>
    <w:p w14:paraId="55D39FC6" w14:textId="77777777" w:rsidR="00321834" w:rsidRPr="00B468B9" w:rsidRDefault="00321834" w:rsidP="00321834">
      <w:pPr>
        <w:rPr>
          <w:bCs/>
        </w:rPr>
      </w:pPr>
      <w:r>
        <w:rPr>
          <w:bCs/>
        </w:rPr>
        <w:t>Содержание и интерпретация</w:t>
      </w:r>
      <w:r w:rsidRPr="00B468B9">
        <w:rPr>
          <w:bCs/>
        </w:rPr>
        <w:t>:</w:t>
      </w:r>
    </w:p>
    <w:tbl>
      <w:tblPr>
        <w:tblW w:w="9640" w:type="dxa"/>
        <w:tblInd w:w="-80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0" w:type="dxa"/>
          <w:bottom w:w="55" w:type="dxa"/>
          <w:right w:w="55" w:type="dxa"/>
        </w:tblCellMar>
        <w:tblLook w:val="0000" w:firstRow="0" w:lastRow="0" w:firstColumn="0" w:lastColumn="0" w:noHBand="0" w:noVBand="0"/>
      </w:tblPr>
      <w:tblGrid>
        <w:gridCol w:w="5954"/>
        <w:gridCol w:w="3686"/>
      </w:tblGrid>
      <w:tr w:rsidR="00321834" w:rsidRPr="00154AEE" w14:paraId="61CF665C" w14:textId="77777777" w:rsidTr="000E7A74">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32A54A45" w14:textId="77777777" w:rsidR="00321834" w:rsidRPr="00154AEE" w:rsidRDefault="00321834" w:rsidP="000E7A74">
            <w:pPr>
              <w:ind w:firstLine="0"/>
              <w:rPr>
                <w:b/>
                <w:szCs w:val="24"/>
              </w:rPr>
            </w:pPr>
            <w:r w:rsidRPr="00154AEE">
              <w:rPr>
                <w:b/>
                <w:szCs w:val="24"/>
              </w:rPr>
              <w:t>ФАКТОРЫ РИСКА БАЛЛЫ</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0A1EFCA8" w14:textId="77777777" w:rsidR="00321834" w:rsidRPr="00154AEE" w:rsidRDefault="00321834" w:rsidP="000E7A74">
            <w:pPr>
              <w:ind w:firstLine="0"/>
              <w:rPr>
                <w:b/>
                <w:szCs w:val="24"/>
              </w:rPr>
            </w:pPr>
            <w:r w:rsidRPr="00154AEE">
              <w:rPr>
                <w:b/>
                <w:szCs w:val="24"/>
              </w:rPr>
              <w:t>ФАКТОРЫ РИСКА БАЛЛЫ</w:t>
            </w:r>
          </w:p>
        </w:tc>
      </w:tr>
      <w:tr w:rsidR="00321834" w:rsidRPr="00154AEE" w14:paraId="7457F5F2" w14:textId="77777777" w:rsidTr="000E7A74">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6C96D380" w14:textId="77777777" w:rsidR="00321834" w:rsidRDefault="00321834" w:rsidP="000E7A74">
            <w:pPr>
              <w:ind w:firstLine="0"/>
              <w:rPr>
                <w:szCs w:val="24"/>
              </w:rPr>
            </w:pPr>
            <w:r w:rsidRPr="00154AEE">
              <w:rPr>
                <w:szCs w:val="24"/>
              </w:rPr>
              <w:t>Локализация опухоли</w:t>
            </w:r>
          </w:p>
          <w:p w14:paraId="713CCDE8" w14:textId="77777777" w:rsidR="00321834" w:rsidRPr="00154AEE" w:rsidRDefault="00321834" w:rsidP="000E7A74">
            <w:pPr>
              <w:ind w:firstLine="0"/>
              <w:rPr>
                <w:szCs w:val="24"/>
              </w:rPr>
            </w:pPr>
            <w:r w:rsidRPr="00154AEE">
              <w:rPr>
                <w:szCs w:val="24"/>
              </w:rPr>
              <w:t>Очень высокий риск (желудок,поджелудочная железа)</w:t>
            </w:r>
          </w:p>
          <w:p w14:paraId="44B43996" w14:textId="77777777" w:rsidR="00321834" w:rsidRPr="00154AEE" w:rsidRDefault="00321834" w:rsidP="000E7A74">
            <w:pPr>
              <w:ind w:firstLine="0"/>
              <w:rPr>
                <w:szCs w:val="24"/>
              </w:rPr>
            </w:pPr>
            <w:r w:rsidRPr="00154AEE">
              <w:rPr>
                <w:szCs w:val="24"/>
              </w:rPr>
              <w:t>Высокий риск (легкие, лимфома,кровь, яички, яичники, матка)</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51121685" w14:textId="77777777" w:rsidR="00321834" w:rsidRPr="00154AEE" w:rsidRDefault="00321834" w:rsidP="000E7A74">
            <w:pPr>
              <w:ind w:firstLine="0"/>
              <w:rPr>
                <w:szCs w:val="24"/>
              </w:rPr>
            </w:pPr>
            <w:r w:rsidRPr="00154AEE">
              <w:rPr>
                <w:szCs w:val="24"/>
              </w:rPr>
              <w:t>2</w:t>
            </w:r>
          </w:p>
          <w:p w14:paraId="3DF6BCCA" w14:textId="77777777" w:rsidR="00321834" w:rsidRPr="00154AEE" w:rsidRDefault="00321834" w:rsidP="000E7A74">
            <w:pPr>
              <w:ind w:firstLine="0"/>
              <w:rPr>
                <w:szCs w:val="24"/>
              </w:rPr>
            </w:pPr>
          </w:p>
          <w:p w14:paraId="3DB56E5F" w14:textId="77777777" w:rsidR="00321834" w:rsidRPr="00154AEE" w:rsidRDefault="00321834" w:rsidP="000E7A74">
            <w:pPr>
              <w:ind w:firstLine="0"/>
              <w:rPr>
                <w:szCs w:val="24"/>
              </w:rPr>
            </w:pPr>
            <w:r w:rsidRPr="00154AEE">
              <w:rPr>
                <w:szCs w:val="24"/>
              </w:rPr>
              <w:t>1</w:t>
            </w:r>
          </w:p>
        </w:tc>
      </w:tr>
      <w:tr w:rsidR="00321834" w:rsidRPr="00154AEE" w14:paraId="719AFCAC" w14:textId="77777777" w:rsidTr="000E7A74">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6D833108" w14:textId="77777777" w:rsidR="00321834" w:rsidRPr="00154AEE" w:rsidRDefault="00321834" w:rsidP="000E7A74">
            <w:pPr>
              <w:ind w:firstLine="0"/>
              <w:rPr>
                <w:szCs w:val="24"/>
              </w:rPr>
            </w:pPr>
            <w:r w:rsidRPr="00154AEE">
              <w:rPr>
                <w:szCs w:val="24"/>
              </w:rPr>
              <w:t>Количество тромбоцитов в кровиперед началом химиотерапии ≥350 000/мл</w:t>
            </w:r>
            <w:r w:rsidRPr="00BD1ED5">
              <w:rPr>
                <w:szCs w:val="24"/>
                <w:vertAlign w:val="superscript"/>
              </w:rPr>
              <w:t>3</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5CFD044E" w14:textId="77777777" w:rsidR="00321834" w:rsidRPr="00154AEE" w:rsidRDefault="00321834" w:rsidP="000E7A74">
            <w:pPr>
              <w:ind w:firstLine="0"/>
              <w:rPr>
                <w:szCs w:val="24"/>
              </w:rPr>
            </w:pPr>
            <w:r w:rsidRPr="00154AEE">
              <w:rPr>
                <w:szCs w:val="24"/>
              </w:rPr>
              <w:t>1</w:t>
            </w:r>
          </w:p>
        </w:tc>
      </w:tr>
      <w:tr w:rsidR="00321834" w:rsidRPr="00154AEE" w14:paraId="7DEDD629" w14:textId="77777777" w:rsidTr="000E7A74">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61DC589B" w14:textId="77777777" w:rsidR="00321834" w:rsidRPr="00154AEE" w:rsidRDefault="00321834" w:rsidP="000E7A74">
            <w:pPr>
              <w:ind w:firstLine="0"/>
              <w:rPr>
                <w:szCs w:val="24"/>
              </w:rPr>
            </w:pPr>
            <w:r w:rsidRPr="00154AEE">
              <w:rPr>
                <w:szCs w:val="24"/>
              </w:rPr>
              <w:t>Уровень гемоглобина менее 10 г/длили использование эритропоэтинов</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5D40118A" w14:textId="77777777" w:rsidR="00321834" w:rsidRPr="00154AEE" w:rsidRDefault="00321834" w:rsidP="000E7A74">
            <w:pPr>
              <w:pStyle w:val="affff4"/>
              <w:jc w:val="both"/>
              <w:rPr>
                <w:rFonts w:cs="Times New Roman"/>
                <w:szCs w:val="24"/>
              </w:rPr>
            </w:pPr>
            <w:r w:rsidRPr="00154AEE">
              <w:rPr>
                <w:rFonts w:cs="Times New Roman"/>
                <w:szCs w:val="24"/>
              </w:rPr>
              <w:t>1</w:t>
            </w:r>
          </w:p>
        </w:tc>
      </w:tr>
      <w:tr w:rsidR="00321834" w:rsidRPr="00154AEE" w14:paraId="0B80F62A" w14:textId="77777777" w:rsidTr="000E7A74">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283DECD7" w14:textId="77777777" w:rsidR="00321834" w:rsidRPr="00154AEE" w:rsidRDefault="00321834" w:rsidP="000E7A74">
            <w:pPr>
              <w:ind w:firstLine="0"/>
              <w:rPr>
                <w:szCs w:val="24"/>
              </w:rPr>
            </w:pPr>
            <w:r w:rsidRPr="00154AEE">
              <w:rPr>
                <w:szCs w:val="24"/>
              </w:rPr>
              <w:t>Количество лейкоцитов в кровиперед началом химиотерапии &gt;11 000/мл</w:t>
            </w:r>
            <w:r w:rsidRPr="00BD1ED5">
              <w:rPr>
                <w:szCs w:val="24"/>
                <w:vertAlign w:val="superscript"/>
              </w:rPr>
              <w:t>3</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6AB3B704" w14:textId="77777777" w:rsidR="00321834" w:rsidRPr="00154AEE" w:rsidRDefault="00321834" w:rsidP="000E7A74">
            <w:pPr>
              <w:pStyle w:val="affff4"/>
              <w:jc w:val="both"/>
              <w:rPr>
                <w:rFonts w:cs="Times New Roman"/>
                <w:szCs w:val="24"/>
              </w:rPr>
            </w:pPr>
            <w:r w:rsidRPr="00154AEE">
              <w:rPr>
                <w:rFonts w:cs="Times New Roman"/>
                <w:szCs w:val="24"/>
              </w:rPr>
              <w:t>1</w:t>
            </w:r>
          </w:p>
        </w:tc>
      </w:tr>
      <w:tr w:rsidR="00321834" w:rsidRPr="00154AEE" w14:paraId="0FFA6082" w14:textId="77777777" w:rsidTr="000E7A74">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6D705756" w14:textId="77777777" w:rsidR="00321834" w:rsidRPr="00154AEE" w:rsidRDefault="00321834" w:rsidP="000E7A74">
            <w:pPr>
              <w:ind w:firstLine="0"/>
              <w:rPr>
                <w:szCs w:val="24"/>
              </w:rPr>
            </w:pPr>
            <w:r w:rsidRPr="00154AEE">
              <w:rPr>
                <w:szCs w:val="24"/>
              </w:rPr>
              <w:t>Ожирение (индекс массы тела выше35 кг/м</w:t>
            </w:r>
            <w:r w:rsidRPr="00BD1ED5">
              <w:rPr>
                <w:szCs w:val="24"/>
                <w:vertAlign w:val="superscript"/>
              </w:rPr>
              <w:t>2</w:t>
            </w:r>
            <w:r w:rsidRPr="00154AEE">
              <w:rPr>
                <w:szCs w:val="24"/>
              </w:rPr>
              <w:t>) и выше</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09D37349" w14:textId="77777777" w:rsidR="00321834" w:rsidRPr="00154AEE" w:rsidRDefault="00321834" w:rsidP="000E7A74">
            <w:pPr>
              <w:pStyle w:val="affff4"/>
              <w:jc w:val="both"/>
              <w:rPr>
                <w:rFonts w:cs="Times New Roman"/>
                <w:szCs w:val="24"/>
              </w:rPr>
            </w:pPr>
            <w:r w:rsidRPr="00154AEE">
              <w:rPr>
                <w:rFonts w:cs="Times New Roman"/>
                <w:szCs w:val="24"/>
              </w:rPr>
              <w:t>1</w:t>
            </w:r>
          </w:p>
        </w:tc>
      </w:tr>
      <w:tr w:rsidR="00321834" w:rsidRPr="00154AEE" w14:paraId="143C7A3A" w14:textId="77777777" w:rsidTr="000E7A74">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13551C6B" w14:textId="77777777" w:rsidR="00321834" w:rsidRPr="00154AEE" w:rsidRDefault="00321834" w:rsidP="000E7A74">
            <w:pPr>
              <w:pStyle w:val="affff4"/>
              <w:jc w:val="both"/>
              <w:rPr>
                <w:rFonts w:cs="Times New Roman"/>
                <w:szCs w:val="24"/>
              </w:rPr>
            </w:pP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432FE965" w14:textId="77777777" w:rsidR="00321834" w:rsidRPr="00154AEE" w:rsidRDefault="00321834" w:rsidP="000E7A74">
            <w:pPr>
              <w:ind w:firstLine="0"/>
              <w:rPr>
                <w:szCs w:val="24"/>
              </w:rPr>
            </w:pPr>
            <w:r w:rsidRPr="00154AEE">
              <w:rPr>
                <w:szCs w:val="24"/>
              </w:rPr>
              <w:t>Риск развития ВТЭО</w:t>
            </w:r>
          </w:p>
          <w:p w14:paraId="2019AE32" w14:textId="77777777" w:rsidR="00321834" w:rsidRPr="00154AEE" w:rsidRDefault="00321834" w:rsidP="000E7A74">
            <w:pPr>
              <w:ind w:firstLine="0"/>
              <w:rPr>
                <w:szCs w:val="24"/>
              </w:rPr>
            </w:pPr>
            <w:r w:rsidRPr="00154AEE">
              <w:rPr>
                <w:szCs w:val="24"/>
              </w:rPr>
              <w:t>за 2–5 мес. (%)</w:t>
            </w:r>
          </w:p>
        </w:tc>
      </w:tr>
      <w:tr w:rsidR="00321834" w:rsidRPr="00154AEE" w14:paraId="3A6D142A" w14:textId="77777777" w:rsidTr="000E7A74">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6F29B02D" w14:textId="77777777" w:rsidR="00321834" w:rsidRPr="00154AEE" w:rsidRDefault="00321834" w:rsidP="000E7A74">
            <w:pPr>
              <w:ind w:firstLine="0"/>
              <w:rPr>
                <w:szCs w:val="24"/>
              </w:rPr>
            </w:pPr>
            <w:r w:rsidRPr="00154AEE">
              <w:rPr>
                <w:szCs w:val="24"/>
              </w:rPr>
              <w:t>Высокий риск,сумма баллов ≥ 3</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2D589586" w14:textId="77777777" w:rsidR="00321834" w:rsidRPr="00154AEE" w:rsidRDefault="00321834" w:rsidP="000E7A74">
            <w:pPr>
              <w:ind w:firstLine="0"/>
              <w:rPr>
                <w:szCs w:val="24"/>
              </w:rPr>
            </w:pPr>
            <w:r w:rsidRPr="00154AEE">
              <w:rPr>
                <w:szCs w:val="24"/>
              </w:rPr>
              <w:t>6,7–7,1</w:t>
            </w:r>
          </w:p>
        </w:tc>
      </w:tr>
      <w:tr w:rsidR="00321834" w:rsidRPr="00154AEE" w14:paraId="0188DDC6" w14:textId="77777777" w:rsidTr="000E7A74">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05AB6AF9" w14:textId="77777777" w:rsidR="00321834" w:rsidRPr="00154AEE" w:rsidRDefault="00321834" w:rsidP="000E7A74">
            <w:pPr>
              <w:ind w:firstLine="0"/>
              <w:rPr>
                <w:szCs w:val="24"/>
              </w:rPr>
            </w:pPr>
            <w:r w:rsidRPr="00154AEE">
              <w:rPr>
                <w:szCs w:val="24"/>
              </w:rPr>
              <w:t>Средний риск,сумма баллов 1–2</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1C339286" w14:textId="77777777" w:rsidR="00321834" w:rsidRPr="00154AEE" w:rsidRDefault="00321834" w:rsidP="000E7A74">
            <w:pPr>
              <w:ind w:firstLine="0"/>
              <w:rPr>
                <w:szCs w:val="24"/>
              </w:rPr>
            </w:pPr>
            <w:r w:rsidRPr="00154AEE">
              <w:rPr>
                <w:szCs w:val="24"/>
              </w:rPr>
              <w:t>1,8–2</w:t>
            </w:r>
          </w:p>
        </w:tc>
      </w:tr>
      <w:tr w:rsidR="00321834" w:rsidRPr="00154AEE" w14:paraId="58353159" w14:textId="77777777" w:rsidTr="000E7A74">
        <w:tc>
          <w:tcPr>
            <w:tcW w:w="5954" w:type="dxa"/>
            <w:tcBorders>
              <w:top w:val="single" w:sz="2" w:space="0" w:color="000001"/>
              <w:left w:val="single" w:sz="2" w:space="0" w:color="000001"/>
              <w:bottom w:val="single" w:sz="2" w:space="0" w:color="000001"/>
              <w:right w:val="single" w:sz="2" w:space="0" w:color="000001"/>
            </w:tcBorders>
            <w:shd w:val="clear" w:color="auto" w:fill="auto"/>
          </w:tcPr>
          <w:p w14:paraId="7AB0A628" w14:textId="77777777" w:rsidR="00321834" w:rsidRPr="00154AEE" w:rsidRDefault="00321834" w:rsidP="000E7A74">
            <w:pPr>
              <w:ind w:firstLine="0"/>
              <w:rPr>
                <w:szCs w:val="24"/>
              </w:rPr>
            </w:pPr>
            <w:r w:rsidRPr="00154AEE">
              <w:rPr>
                <w:szCs w:val="24"/>
              </w:rPr>
              <w:t>Низкий риск, сумма баллов 0</w:t>
            </w:r>
          </w:p>
        </w:tc>
        <w:tc>
          <w:tcPr>
            <w:tcW w:w="3686" w:type="dxa"/>
            <w:tcBorders>
              <w:top w:val="single" w:sz="2" w:space="0" w:color="000001"/>
              <w:left w:val="single" w:sz="2" w:space="0" w:color="000001"/>
              <w:bottom w:val="single" w:sz="2" w:space="0" w:color="000001"/>
              <w:right w:val="single" w:sz="2" w:space="0" w:color="000001"/>
            </w:tcBorders>
            <w:shd w:val="clear" w:color="auto" w:fill="auto"/>
          </w:tcPr>
          <w:p w14:paraId="65E33355" w14:textId="77777777" w:rsidR="00321834" w:rsidRPr="00154AEE" w:rsidRDefault="00321834" w:rsidP="000E7A74">
            <w:pPr>
              <w:ind w:firstLine="0"/>
              <w:rPr>
                <w:szCs w:val="24"/>
              </w:rPr>
            </w:pPr>
            <w:r w:rsidRPr="00154AEE">
              <w:rPr>
                <w:szCs w:val="24"/>
              </w:rPr>
              <w:t>0,3–0,8</w:t>
            </w:r>
          </w:p>
        </w:tc>
      </w:tr>
    </w:tbl>
    <w:p w14:paraId="0BB30BA3" w14:textId="77777777" w:rsidR="00321834" w:rsidRPr="00583004" w:rsidRDefault="00321834" w:rsidP="00321834">
      <w:pPr>
        <w:pStyle w:val="afffa"/>
        <w:ind w:firstLine="0"/>
      </w:pPr>
    </w:p>
    <w:p w14:paraId="5286CEF1" w14:textId="7E24ACD7" w:rsidR="00AE3406" w:rsidRPr="00583004" w:rsidRDefault="00AE3406" w:rsidP="00D2727B">
      <w:pPr>
        <w:pStyle w:val="1f3"/>
        <w:shd w:val="clear" w:color="auto" w:fill="auto"/>
        <w:ind w:left="1520" w:firstLine="20"/>
      </w:pPr>
    </w:p>
    <w:sectPr w:rsidR="00AE3406" w:rsidRPr="00583004" w:rsidSect="00EE59C2">
      <w:headerReference w:type="default" r:id="rId13"/>
      <w:footerReference w:type="default" r:id="rId14"/>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85D81" w14:textId="77777777" w:rsidR="00A72B1B" w:rsidRDefault="00A72B1B">
      <w:pPr>
        <w:spacing w:line="240" w:lineRule="auto"/>
      </w:pPr>
      <w:r>
        <w:separator/>
      </w:r>
    </w:p>
    <w:p w14:paraId="708823AF" w14:textId="77777777" w:rsidR="00A72B1B" w:rsidRDefault="00A72B1B"/>
  </w:endnote>
  <w:endnote w:type="continuationSeparator" w:id="0">
    <w:p w14:paraId="413C7AD6" w14:textId="77777777" w:rsidR="00A72B1B" w:rsidRDefault="00A72B1B">
      <w:pPr>
        <w:spacing w:line="240" w:lineRule="auto"/>
      </w:pPr>
      <w:r>
        <w:continuationSeparator/>
      </w:r>
    </w:p>
    <w:p w14:paraId="48414CCB" w14:textId="77777777" w:rsidR="00A72B1B" w:rsidRDefault="00A72B1B"/>
  </w:endnote>
  <w:endnote w:type="continuationNotice" w:id="1">
    <w:p w14:paraId="0885DFAC" w14:textId="77777777" w:rsidR="00A72B1B" w:rsidRDefault="00A72B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ans">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OpenSymbol">
    <w:altName w:val="Times New Roman"/>
    <w:panose1 w:val="020B0604020202020204"/>
    <w:charset w:val="00"/>
    <w:family w:val="auto"/>
    <w:pitch w:val="variable"/>
    <w:sig w:usb0="800000AF" w:usb1="1807ECEA" w:usb2="00000010" w:usb3="00000000" w:csb0="00020001" w:csb1="00000000"/>
  </w:font>
  <w:font w:name="Palatino Linotype">
    <w:panose1 w:val="02040502050505030304"/>
    <w:charset w:val="00"/>
    <w:family w:val="roman"/>
    <w:pitch w:val="variable"/>
    <w:sig w:usb0="E0000287" w:usb1="4000001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NewRomanPS-ItalicMT">
    <w:altName w:val="Times New Roman"/>
    <w:panose1 w:val="020B0604020202020204"/>
    <w:charset w:val="00"/>
    <w:family w:val="roman"/>
    <w:pitch w:val="variable"/>
    <w:sig w:usb0="E0000AFF" w:usb1="00007843" w:usb2="00000001" w:usb3="00000000" w:csb0="000001BF" w:csb1="00000000"/>
  </w:font>
  <w:font w:name="Cambria Math">
    <w:panose1 w:val="02040503050406030204"/>
    <w:charset w:val="00"/>
    <w:family w:val="roman"/>
    <w:pitch w:val="variable"/>
    <w:sig w:usb0="E00002FF" w:usb1="420024FF" w:usb2="00000000" w:usb3="00000000" w:csb0="0000019F" w:csb1="00000000"/>
  </w:font>
  <w:font w:name="GaramondC-Light">
    <w:panose1 w:val="020B0604020202020204"/>
    <w:charset w:val="80"/>
    <w:family w:val="auto"/>
    <w:pitch w:val="default"/>
    <w:sig w:usb0="00000000" w:usb1="08070000" w:usb2="00000010" w:usb3="00000000" w:csb0="00020000" w:csb1="00000000"/>
  </w:font>
  <w:font w:name="ＭＳ 明朝 (Основной текст темы (ази">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Narrow">
    <w:panose1 w:val="020B0606020202030204"/>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8A0E" w14:textId="77777777" w:rsidR="00342EE0" w:rsidRDefault="005653DE">
    <w:pPr>
      <w:pStyle w:val="afa"/>
      <w:jc w:val="center"/>
    </w:pPr>
    <w:r>
      <w:fldChar w:fldCharType="begin"/>
    </w:r>
    <w:r w:rsidR="00342EE0">
      <w:instrText>PAGE</w:instrText>
    </w:r>
    <w:r>
      <w:fldChar w:fldCharType="separate"/>
    </w:r>
    <w:r w:rsidR="00F0321D">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92D11" w14:textId="77777777" w:rsidR="00A72B1B" w:rsidRDefault="00A72B1B">
      <w:pPr>
        <w:spacing w:line="240" w:lineRule="auto"/>
      </w:pPr>
      <w:r>
        <w:separator/>
      </w:r>
    </w:p>
    <w:p w14:paraId="5102CC0D" w14:textId="77777777" w:rsidR="00A72B1B" w:rsidRDefault="00A72B1B"/>
  </w:footnote>
  <w:footnote w:type="continuationSeparator" w:id="0">
    <w:p w14:paraId="03DD53DD" w14:textId="77777777" w:rsidR="00A72B1B" w:rsidRDefault="00A72B1B">
      <w:pPr>
        <w:spacing w:line="240" w:lineRule="auto"/>
      </w:pPr>
      <w:r>
        <w:continuationSeparator/>
      </w:r>
    </w:p>
    <w:p w14:paraId="5CE703D9" w14:textId="77777777" w:rsidR="00A72B1B" w:rsidRDefault="00A72B1B"/>
  </w:footnote>
  <w:footnote w:type="continuationNotice" w:id="1">
    <w:p w14:paraId="76080CCB" w14:textId="77777777" w:rsidR="00A72B1B" w:rsidRDefault="00A72B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A497" w14:textId="77777777" w:rsidR="00342EE0" w:rsidRDefault="00342EE0" w:rsidP="00186C35">
    <w:pPr>
      <w:pStyle w:val="af9"/>
      <w:ind w:firstLine="0"/>
      <w:rPr>
        <w:i/>
      </w:rPr>
    </w:pPr>
  </w:p>
  <w:p w14:paraId="3A0DECD4" w14:textId="77777777" w:rsidR="00342EE0" w:rsidRDefault="00342E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3687"/>
    <w:multiLevelType w:val="hybridMultilevel"/>
    <w:tmpl w:val="31CA6D48"/>
    <w:styleLink w:val="1ai"/>
    <w:lvl w:ilvl="0" w:tplc="A75AA490">
      <w:start w:val="1"/>
      <w:numFmt w:val="bullet"/>
      <w:pStyle w:val="1"/>
      <w:lvlText w:val=""/>
      <w:lvlJc w:val="left"/>
      <w:pPr>
        <w:ind w:left="720" w:hanging="360"/>
      </w:pPr>
      <w:rPr>
        <w:rFonts w:ascii="Symbol" w:hAnsi="Symbol" w:hint="default"/>
      </w:rPr>
    </w:lvl>
    <w:lvl w:ilvl="1" w:tplc="B406001A">
      <w:start w:val="1"/>
      <w:numFmt w:val="bullet"/>
      <w:lvlText w:val="o"/>
      <w:lvlJc w:val="left"/>
      <w:pPr>
        <w:ind w:left="1440" w:hanging="360"/>
      </w:pPr>
      <w:rPr>
        <w:rFonts w:ascii="Courier New" w:hAnsi="Courier New" w:cs="Courier New" w:hint="default"/>
      </w:rPr>
    </w:lvl>
    <w:lvl w:ilvl="2" w:tplc="577203BE" w:tentative="1">
      <w:start w:val="1"/>
      <w:numFmt w:val="bullet"/>
      <w:lvlText w:val=""/>
      <w:lvlJc w:val="left"/>
      <w:pPr>
        <w:ind w:left="2160" w:hanging="360"/>
      </w:pPr>
      <w:rPr>
        <w:rFonts w:ascii="Wingdings" w:hAnsi="Wingdings" w:hint="default"/>
      </w:rPr>
    </w:lvl>
    <w:lvl w:ilvl="3" w:tplc="12C8FB5A" w:tentative="1">
      <w:start w:val="1"/>
      <w:numFmt w:val="bullet"/>
      <w:lvlText w:val=""/>
      <w:lvlJc w:val="left"/>
      <w:pPr>
        <w:ind w:left="2880" w:hanging="360"/>
      </w:pPr>
      <w:rPr>
        <w:rFonts w:ascii="Symbol" w:hAnsi="Symbol" w:hint="default"/>
      </w:rPr>
    </w:lvl>
    <w:lvl w:ilvl="4" w:tplc="7374A596" w:tentative="1">
      <w:start w:val="1"/>
      <w:numFmt w:val="bullet"/>
      <w:lvlText w:val="o"/>
      <w:lvlJc w:val="left"/>
      <w:pPr>
        <w:ind w:left="3600" w:hanging="360"/>
      </w:pPr>
      <w:rPr>
        <w:rFonts w:ascii="Courier New" w:hAnsi="Courier New" w:cs="Courier New" w:hint="default"/>
      </w:rPr>
    </w:lvl>
    <w:lvl w:ilvl="5" w:tplc="E2044D6C" w:tentative="1">
      <w:start w:val="1"/>
      <w:numFmt w:val="bullet"/>
      <w:lvlText w:val=""/>
      <w:lvlJc w:val="left"/>
      <w:pPr>
        <w:ind w:left="4320" w:hanging="360"/>
      </w:pPr>
      <w:rPr>
        <w:rFonts w:ascii="Wingdings" w:hAnsi="Wingdings" w:hint="default"/>
      </w:rPr>
    </w:lvl>
    <w:lvl w:ilvl="6" w:tplc="7F9E63CE" w:tentative="1">
      <w:start w:val="1"/>
      <w:numFmt w:val="bullet"/>
      <w:lvlText w:val=""/>
      <w:lvlJc w:val="left"/>
      <w:pPr>
        <w:ind w:left="5040" w:hanging="360"/>
      </w:pPr>
      <w:rPr>
        <w:rFonts w:ascii="Symbol" w:hAnsi="Symbol" w:hint="default"/>
      </w:rPr>
    </w:lvl>
    <w:lvl w:ilvl="7" w:tplc="5A7A8954" w:tentative="1">
      <w:start w:val="1"/>
      <w:numFmt w:val="bullet"/>
      <w:lvlText w:val="o"/>
      <w:lvlJc w:val="left"/>
      <w:pPr>
        <w:ind w:left="5760" w:hanging="360"/>
      </w:pPr>
      <w:rPr>
        <w:rFonts w:ascii="Courier New" w:hAnsi="Courier New" w:cs="Courier New" w:hint="default"/>
      </w:rPr>
    </w:lvl>
    <w:lvl w:ilvl="8" w:tplc="EC48257A" w:tentative="1">
      <w:start w:val="1"/>
      <w:numFmt w:val="bullet"/>
      <w:lvlText w:val=""/>
      <w:lvlJc w:val="left"/>
      <w:pPr>
        <w:ind w:left="6480" w:hanging="360"/>
      </w:pPr>
      <w:rPr>
        <w:rFonts w:ascii="Wingdings" w:hAnsi="Wingdings" w:hint="default"/>
      </w:rPr>
    </w:lvl>
  </w:abstractNum>
  <w:abstractNum w:abstractNumId="1" w15:restartNumberingAfterBreak="0">
    <w:nsid w:val="0CFB2C23"/>
    <w:multiLevelType w:val="hybridMultilevel"/>
    <w:tmpl w:val="D700BC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E52B76"/>
    <w:multiLevelType w:val="hybridMultilevel"/>
    <w:tmpl w:val="36526F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1A3AF8"/>
    <w:multiLevelType w:val="hybridMultilevel"/>
    <w:tmpl w:val="D26407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0911B3"/>
    <w:multiLevelType w:val="hybridMultilevel"/>
    <w:tmpl w:val="6FA0E2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804A37"/>
    <w:multiLevelType w:val="multilevel"/>
    <w:tmpl w:val="0090D9A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724CE"/>
    <w:multiLevelType w:val="hybridMultilevel"/>
    <w:tmpl w:val="77FC78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403AF2"/>
    <w:multiLevelType w:val="hybridMultilevel"/>
    <w:tmpl w:val="15AA7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B2382E"/>
    <w:multiLevelType w:val="hybridMultilevel"/>
    <w:tmpl w:val="F3BCF4E4"/>
    <w:lvl w:ilvl="0" w:tplc="5B32E066">
      <w:start w:val="1"/>
      <w:numFmt w:val="bullet"/>
      <w:lvlText w:val=""/>
      <w:lvlJc w:val="left"/>
      <w:pPr>
        <w:ind w:left="720" w:hanging="360"/>
      </w:pPr>
      <w:rPr>
        <w:rFonts w:ascii="Symbol" w:hAnsi="Symbol" w:hint="default"/>
      </w:rPr>
    </w:lvl>
    <w:lvl w:ilvl="1" w:tplc="2D36D64E">
      <w:start w:val="1"/>
      <w:numFmt w:val="bullet"/>
      <w:lvlText w:val="o"/>
      <w:lvlJc w:val="left"/>
      <w:pPr>
        <w:ind w:left="1440" w:hanging="360"/>
      </w:pPr>
      <w:rPr>
        <w:rFonts w:ascii="Courier New" w:hAnsi="Courier New" w:cs="Courier New" w:hint="default"/>
      </w:rPr>
    </w:lvl>
    <w:lvl w:ilvl="2" w:tplc="2A8C8AA0">
      <w:start w:val="1"/>
      <w:numFmt w:val="bullet"/>
      <w:lvlText w:val=""/>
      <w:lvlJc w:val="left"/>
      <w:pPr>
        <w:ind w:left="2160" w:hanging="360"/>
      </w:pPr>
      <w:rPr>
        <w:rFonts w:ascii="Wingdings" w:hAnsi="Wingdings" w:hint="default"/>
      </w:rPr>
    </w:lvl>
    <w:lvl w:ilvl="3" w:tplc="A07669B2">
      <w:start w:val="1"/>
      <w:numFmt w:val="bullet"/>
      <w:lvlText w:val=""/>
      <w:lvlJc w:val="left"/>
      <w:pPr>
        <w:ind w:left="2880" w:hanging="360"/>
      </w:pPr>
      <w:rPr>
        <w:rFonts w:ascii="Symbol" w:hAnsi="Symbol" w:hint="default"/>
      </w:rPr>
    </w:lvl>
    <w:lvl w:ilvl="4" w:tplc="6FB296FA">
      <w:start w:val="1"/>
      <w:numFmt w:val="bullet"/>
      <w:lvlText w:val="o"/>
      <w:lvlJc w:val="left"/>
      <w:pPr>
        <w:ind w:left="3600" w:hanging="360"/>
      </w:pPr>
      <w:rPr>
        <w:rFonts w:ascii="Courier New" w:hAnsi="Courier New" w:cs="Courier New" w:hint="default"/>
      </w:rPr>
    </w:lvl>
    <w:lvl w:ilvl="5" w:tplc="95320816">
      <w:start w:val="1"/>
      <w:numFmt w:val="bullet"/>
      <w:lvlText w:val=""/>
      <w:lvlJc w:val="left"/>
      <w:pPr>
        <w:ind w:left="4320" w:hanging="360"/>
      </w:pPr>
      <w:rPr>
        <w:rFonts w:ascii="Wingdings" w:hAnsi="Wingdings" w:hint="default"/>
      </w:rPr>
    </w:lvl>
    <w:lvl w:ilvl="6" w:tplc="8744C6BA">
      <w:start w:val="1"/>
      <w:numFmt w:val="bullet"/>
      <w:lvlText w:val=""/>
      <w:lvlJc w:val="left"/>
      <w:pPr>
        <w:ind w:left="5040" w:hanging="360"/>
      </w:pPr>
      <w:rPr>
        <w:rFonts w:ascii="Symbol" w:hAnsi="Symbol" w:hint="default"/>
      </w:rPr>
    </w:lvl>
    <w:lvl w:ilvl="7" w:tplc="609219F8">
      <w:start w:val="1"/>
      <w:numFmt w:val="bullet"/>
      <w:lvlText w:val="o"/>
      <w:lvlJc w:val="left"/>
      <w:pPr>
        <w:ind w:left="5760" w:hanging="360"/>
      </w:pPr>
      <w:rPr>
        <w:rFonts w:ascii="Courier New" w:hAnsi="Courier New" w:cs="Courier New" w:hint="default"/>
      </w:rPr>
    </w:lvl>
    <w:lvl w:ilvl="8" w:tplc="803E5718">
      <w:start w:val="1"/>
      <w:numFmt w:val="bullet"/>
      <w:lvlText w:val=""/>
      <w:lvlJc w:val="left"/>
      <w:pPr>
        <w:ind w:left="6480" w:hanging="360"/>
      </w:pPr>
      <w:rPr>
        <w:rFonts w:ascii="Wingdings" w:hAnsi="Wingdings" w:hint="default"/>
      </w:rPr>
    </w:lvl>
  </w:abstractNum>
  <w:abstractNum w:abstractNumId="9" w15:restartNumberingAfterBreak="0">
    <w:nsid w:val="18F530D2"/>
    <w:multiLevelType w:val="hybridMultilevel"/>
    <w:tmpl w:val="323CA9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255EDC"/>
    <w:multiLevelType w:val="hybridMultilevel"/>
    <w:tmpl w:val="F04889CA"/>
    <w:lvl w:ilvl="0" w:tplc="504CF1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EC1080"/>
    <w:multiLevelType w:val="multilevel"/>
    <w:tmpl w:val="E230D3C0"/>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A3EB5"/>
    <w:multiLevelType w:val="hybridMultilevel"/>
    <w:tmpl w:val="B84A5C3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0267762"/>
    <w:multiLevelType w:val="hybridMultilevel"/>
    <w:tmpl w:val="7FD21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296242"/>
    <w:multiLevelType w:val="hybridMultilevel"/>
    <w:tmpl w:val="ABFC87B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DF4A85"/>
    <w:multiLevelType w:val="hybridMultilevel"/>
    <w:tmpl w:val="241A6172"/>
    <w:lvl w:ilvl="0" w:tplc="EED2B48E">
      <w:start w:val="1"/>
      <w:numFmt w:val="bullet"/>
      <w:lvlText w:val=""/>
      <w:lvlJc w:val="left"/>
      <w:pPr>
        <w:ind w:left="1428" w:hanging="360"/>
      </w:pPr>
      <w:rPr>
        <w:rFonts w:ascii="Symbol" w:hAnsi="Symbol" w:hint="default"/>
      </w:rPr>
    </w:lvl>
    <w:lvl w:ilvl="1" w:tplc="5B5C74E4">
      <w:start w:val="1"/>
      <w:numFmt w:val="bullet"/>
      <w:lvlText w:val="o"/>
      <w:lvlJc w:val="left"/>
      <w:pPr>
        <w:ind w:left="2148" w:hanging="360"/>
      </w:pPr>
      <w:rPr>
        <w:rFonts w:ascii="Courier New" w:hAnsi="Courier New" w:cs="Courier New" w:hint="default"/>
      </w:rPr>
    </w:lvl>
    <w:lvl w:ilvl="2" w:tplc="F1029CF8">
      <w:start w:val="1"/>
      <w:numFmt w:val="bullet"/>
      <w:lvlText w:val=""/>
      <w:lvlJc w:val="left"/>
      <w:pPr>
        <w:ind w:left="2868" w:hanging="360"/>
      </w:pPr>
      <w:rPr>
        <w:rFonts w:ascii="Wingdings" w:hAnsi="Wingdings" w:hint="default"/>
      </w:rPr>
    </w:lvl>
    <w:lvl w:ilvl="3" w:tplc="80B078AE">
      <w:start w:val="1"/>
      <w:numFmt w:val="bullet"/>
      <w:lvlText w:val=""/>
      <w:lvlJc w:val="left"/>
      <w:pPr>
        <w:ind w:left="3588" w:hanging="360"/>
      </w:pPr>
      <w:rPr>
        <w:rFonts w:ascii="Symbol" w:hAnsi="Symbol" w:hint="default"/>
      </w:rPr>
    </w:lvl>
    <w:lvl w:ilvl="4" w:tplc="472A882C">
      <w:start w:val="1"/>
      <w:numFmt w:val="bullet"/>
      <w:lvlText w:val="o"/>
      <w:lvlJc w:val="left"/>
      <w:pPr>
        <w:ind w:left="4308" w:hanging="360"/>
      </w:pPr>
      <w:rPr>
        <w:rFonts w:ascii="Courier New" w:hAnsi="Courier New" w:cs="Courier New" w:hint="default"/>
      </w:rPr>
    </w:lvl>
    <w:lvl w:ilvl="5" w:tplc="A692D73C">
      <w:start w:val="1"/>
      <w:numFmt w:val="bullet"/>
      <w:lvlText w:val=""/>
      <w:lvlJc w:val="left"/>
      <w:pPr>
        <w:ind w:left="5028" w:hanging="360"/>
      </w:pPr>
      <w:rPr>
        <w:rFonts w:ascii="Wingdings" w:hAnsi="Wingdings" w:hint="default"/>
      </w:rPr>
    </w:lvl>
    <w:lvl w:ilvl="6" w:tplc="952406C0">
      <w:start w:val="1"/>
      <w:numFmt w:val="bullet"/>
      <w:lvlText w:val=""/>
      <w:lvlJc w:val="left"/>
      <w:pPr>
        <w:ind w:left="5748" w:hanging="360"/>
      </w:pPr>
      <w:rPr>
        <w:rFonts w:ascii="Symbol" w:hAnsi="Symbol" w:hint="default"/>
      </w:rPr>
    </w:lvl>
    <w:lvl w:ilvl="7" w:tplc="77767F38">
      <w:start w:val="1"/>
      <w:numFmt w:val="bullet"/>
      <w:lvlText w:val="o"/>
      <w:lvlJc w:val="left"/>
      <w:pPr>
        <w:ind w:left="6468" w:hanging="360"/>
      </w:pPr>
      <w:rPr>
        <w:rFonts w:ascii="Courier New" w:hAnsi="Courier New" w:cs="Courier New" w:hint="default"/>
      </w:rPr>
    </w:lvl>
    <w:lvl w:ilvl="8" w:tplc="0E96D622">
      <w:start w:val="1"/>
      <w:numFmt w:val="bullet"/>
      <w:lvlText w:val=""/>
      <w:lvlJc w:val="left"/>
      <w:pPr>
        <w:ind w:left="7188" w:hanging="360"/>
      </w:pPr>
      <w:rPr>
        <w:rFonts w:ascii="Wingdings" w:hAnsi="Wingdings" w:hint="default"/>
      </w:rPr>
    </w:lvl>
  </w:abstractNum>
  <w:abstractNum w:abstractNumId="16" w15:restartNumberingAfterBreak="0">
    <w:nsid w:val="25712644"/>
    <w:multiLevelType w:val="hybridMultilevel"/>
    <w:tmpl w:val="83329D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5EC195C"/>
    <w:multiLevelType w:val="hybridMultilevel"/>
    <w:tmpl w:val="4D82F190"/>
    <w:styleLink w:val="1ai1"/>
    <w:lvl w:ilvl="0" w:tplc="29A64A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 w15:restartNumberingAfterBreak="0">
    <w:nsid w:val="275822F4"/>
    <w:multiLevelType w:val="hybridMultilevel"/>
    <w:tmpl w:val="4DF632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A203B18"/>
    <w:multiLevelType w:val="hybridMultilevel"/>
    <w:tmpl w:val="9918B3A0"/>
    <w:lvl w:ilvl="0" w:tplc="63BA4D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2B657FF0"/>
    <w:multiLevelType w:val="hybridMultilevel"/>
    <w:tmpl w:val="CDB2AB66"/>
    <w:styleLink w:val="111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D002B2"/>
    <w:multiLevelType w:val="hybridMultilevel"/>
    <w:tmpl w:val="D77E79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346B37C6"/>
    <w:multiLevelType w:val="hybridMultilevel"/>
    <w:tmpl w:val="14927E2C"/>
    <w:lvl w:ilvl="0" w:tplc="BFFE2E2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4CA54C5"/>
    <w:multiLevelType w:val="hybridMultilevel"/>
    <w:tmpl w:val="A1D26F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6A33EFF"/>
    <w:multiLevelType w:val="hybridMultilevel"/>
    <w:tmpl w:val="EFECED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711583E"/>
    <w:multiLevelType w:val="hybridMultilevel"/>
    <w:tmpl w:val="0B5664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8BA64FE"/>
    <w:multiLevelType w:val="hybridMultilevel"/>
    <w:tmpl w:val="55168E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9914123"/>
    <w:multiLevelType w:val="hybridMultilevel"/>
    <w:tmpl w:val="1AFEC7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B63A74"/>
    <w:multiLevelType w:val="hybridMultilevel"/>
    <w:tmpl w:val="E13C37CE"/>
    <w:lvl w:ilvl="0" w:tplc="A378BA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B96315D"/>
    <w:multiLevelType w:val="hybridMultilevel"/>
    <w:tmpl w:val="DAF2F4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D3B3E26"/>
    <w:multiLevelType w:val="hybridMultilevel"/>
    <w:tmpl w:val="9460D1A8"/>
    <w:lvl w:ilvl="0" w:tplc="93E8D15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3DE112F8"/>
    <w:multiLevelType w:val="hybridMultilevel"/>
    <w:tmpl w:val="C004DFF0"/>
    <w:lvl w:ilvl="0" w:tplc="A7CA7F60">
      <w:start w:val="1"/>
      <w:numFmt w:val="bullet"/>
      <w:lvlText w:val=""/>
      <w:lvlJc w:val="left"/>
      <w:pPr>
        <w:ind w:left="720" w:hanging="360"/>
      </w:pPr>
      <w:rPr>
        <w:rFonts w:ascii="Symbol" w:hAnsi="Symbol" w:hint="default"/>
      </w:rPr>
    </w:lvl>
    <w:lvl w:ilvl="1" w:tplc="2870B0D8">
      <w:start w:val="1"/>
      <w:numFmt w:val="bullet"/>
      <w:lvlText w:val="o"/>
      <w:lvlJc w:val="left"/>
      <w:pPr>
        <w:ind w:left="1440" w:hanging="360"/>
      </w:pPr>
      <w:rPr>
        <w:rFonts w:ascii="Courier New" w:hAnsi="Courier New" w:cs="Courier New" w:hint="default"/>
      </w:rPr>
    </w:lvl>
    <w:lvl w:ilvl="2" w:tplc="D506DEB8">
      <w:start w:val="1"/>
      <w:numFmt w:val="bullet"/>
      <w:lvlText w:val=""/>
      <w:lvlJc w:val="left"/>
      <w:pPr>
        <w:ind w:left="2160" w:hanging="360"/>
      </w:pPr>
      <w:rPr>
        <w:rFonts w:ascii="Wingdings" w:hAnsi="Wingdings" w:hint="default"/>
      </w:rPr>
    </w:lvl>
    <w:lvl w:ilvl="3" w:tplc="CE8A0E88">
      <w:start w:val="1"/>
      <w:numFmt w:val="bullet"/>
      <w:lvlText w:val=""/>
      <w:lvlJc w:val="left"/>
      <w:pPr>
        <w:ind w:left="2880" w:hanging="360"/>
      </w:pPr>
      <w:rPr>
        <w:rFonts w:ascii="Symbol" w:hAnsi="Symbol" w:hint="default"/>
      </w:rPr>
    </w:lvl>
    <w:lvl w:ilvl="4" w:tplc="C5806F16">
      <w:start w:val="1"/>
      <w:numFmt w:val="bullet"/>
      <w:lvlText w:val="o"/>
      <w:lvlJc w:val="left"/>
      <w:pPr>
        <w:ind w:left="3600" w:hanging="360"/>
      </w:pPr>
      <w:rPr>
        <w:rFonts w:ascii="Courier New" w:hAnsi="Courier New" w:cs="Courier New" w:hint="default"/>
      </w:rPr>
    </w:lvl>
    <w:lvl w:ilvl="5" w:tplc="1FC4FB46">
      <w:start w:val="1"/>
      <w:numFmt w:val="bullet"/>
      <w:lvlText w:val=""/>
      <w:lvlJc w:val="left"/>
      <w:pPr>
        <w:ind w:left="4320" w:hanging="360"/>
      </w:pPr>
      <w:rPr>
        <w:rFonts w:ascii="Wingdings" w:hAnsi="Wingdings" w:hint="default"/>
      </w:rPr>
    </w:lvl>
    <w:lvl w:ilvl="6" w:tplc="39D4DDAE">
      <w:start w:val="1"/>
      <w:numFmt w:val="bullet"/>
      <w:lvlText w:val=""/>
      <w:lvlJc w:val="left"/>
      <w:pPr>
        <w:ind w:left="5040" w:hanging="360"/>
      </w:pPr>
      <w:rPr>
        <w:rFonts w:ascii="Symbol" w:hAnsi="Symbol" w:hint="default"/>
      </w:rPr>
    </w:lvl>
    <w:lvl w:ilvl="7" w:tplc="00E0E3EE">
      <w:start w:val="1"/>
      <w:numFmt w:val="bullet"/>
      <w:lvlText w:val="o"/>
      <w:lvlJc w:val="left"/>
      <w:pPr>
        <w:ind w:left="5760" w:hanging="360"/>
      </w:pPr>
      <w:rPr>
        <w:rFonts w:ascii="Courier New" w:hAnsi="Courier New" w:cs="Courier New" w:hint="default"/>
      </w:rPr>
    </w:lvl>
    <w:lvl w:ilvl="8" w:tplc="CF64A60A">
      <w:start w:val="1"/>
      <w:numFmt w:val="bullet"/>
      <w:lvlText w:val=""/>
      <w:lvlJc w:val="left"/>
      <w:pPr>
        <w:ind w:left="6480" w:hanging="360"/>
      </w:pPr>
      <w:rPr>
        <w:rFonts w:ascii="Wingdings" w:hAnsi="Wingdings" w:hint="default"/>
      </w:rPr>
    </w:lvl>
  </w:abstractNum>
  <w:abstractNum w:abstractNumId="32" w15:restartNumberingAfterBreak="0">
    <w:nsid w:val="405C414E"/>
    <w:multiLevelType w:val="hybridMultilevel"/>
    <w:tmpl w:val="87483C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E53229"/>
    <w:multiLevelType w:val="hybridMultilevel"/>
    <w:tmpl w:val="22DCC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B912FC9"/>
    <w:multiLevelType w:val="hybridMultilevel"/>
    <w:tmpl w:val="F8BE31C4"/>
    <w:styleLink w:val="10"/>
    <w:lvl w:ilvl="0" w:tplc="B97EBB6A">
      <w:start w:val="1"/>
      <w:numFmt w:val="bullet"/>
      <w:lvlText w:val="·"/>
      <w:lvlJc w:val="left"/>
      <w:pPr>
        <w:ind w:left="967"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182848">
      <w:start w:val="1"/>
      <w:numFmt w:val="bullet"/>
      <w:lvlText w:val="o"/>
      <w:lvlJc w:val="left"/>
      <w:pPr>
        <w:tabs>
          <w:tab w:val="num" w:pos="1761"/>
        </w:tabs>
        <w:ind w:left="1364" w:firstLine="15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ECE9D2">
      <w:start w:val="1"/>
      <w:numFmt w:val="bullet"/>
      <w:lvlText w:val="▪"/>
      <w:lvlJc w:val="left"/>
      <w:pPr>
        <w:ind w:left="21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45518">
      <w:start w:val="1"/>
      <w:numFmt w:val="bullet"/>
      <w:lvlText w:val="·"/>
      <w:lvlJc w:val="left"/>
      <w:pPr>
        <w:ind w:left="291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2730C">
      <w:start w:val="1"/>
      <w:numFmt w:val="bullet"/>
      <w:lvlText w:val="o"/>
      <w:lvlJc w:val="left"/>
      <w:pPr>
        <w:ind w:left="363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0F3CA">
      <w:start w:val="1"/>
      <w:numFmt w:val="bullet"/>
      <w:lvlText w:val="▪"/>
      <w:lvlJc w:val="left"/>
      <w:pPr>
        <w:ind w:left="435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3C1838">
      <w:start w:val="1"/>
      <w:numFmt w:val="bullet"/>
      <w:lvlText w:val="·"/>
      <w:lvlJc w:val="left"/>
      <w:pPr>
        <w:ind w:left="507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2015A">
      <w:start w:val="1"/>
      <w:numFmt w:val="bullet"/>
      <w:lvlText w:val="o"/>
      <w:lvlJc w:val="left"/>
      <w:pPr>
        <w:ind w:left="57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CA0E84">
      <w:start w:val="1"/>
      <w:numFmt w:val="bullet"/>
      <w:lvlText w:val="▪"/>
      <w:lvlJc w:val="left"/>
      <w:pPr>
        <w:ind w:left="651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EA30340"/>
    <w:multiLevelType w:val="hybridMultilevel"/>
    <w:tmpl w:val="B6F0C3DC"/>
    <w:lvl w:ilvl="0" w:tplc="0419000F">
      <w:start w:val="1"/>
      <w:numFmt w:val="decimal"/>
      <w:lvlText w:val="%1."/>
      <w:lvlJc w:val="left"/>
      <w:pPr>
        <w:ind w:left="1068" w:hanging="360"/>
      </w:pPr>
      <w:rPr>
        <w:rFonts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36" w15:restartNumberingAfterBreak="0">
    <w:nsid w:val="4F413584"/>
    <w:multiLevelType w:val="hybridMultilevel"/>
    <w:tmpl w:val="9D82F3E8"/>
    <w:lvl w:ilvl="0" w:tplc="B65A457C">
      <w:start w:val="1"/>
      <w:numFmt w:val="bullet"/>
      <w:lvlText w:val=""/>
      <w:lvlJc w:val="left"/>
      <w:pPr>
        <w:ind w:left="1068" w:hanging="360"/>
      </w:pPr>
      <w:rPr>
        <w:rFonts w:ascii="Symbol" w:hAnsi="Symbol"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37" w15:restartNumberingAfterBreak="0">
    <w:nsid w:val="4F7B75C5"/>
    <w:multiLevelType w:val="hybridMultilevel"/>
    <w:tmpl w:val="9D704728"/>
    <w:lvl w:ilvl="0" w:tplc="0419000F">
      <w:start w:val="1"/>
      <w:numFmt w:val="decimal"/>
      <w:lvlText w:val="%1."/>
      <w:lvlJc w:val="left"/>
      <w:pPr>
        <w:ind w:left="375" w:hanging="375"/>
      </w:pPr>
      <w:rPr>
        <w:rFonts w:hint="default"/>
      </w:rPr>
    </w:lvl>
    <w:lvl w:ilvl="1" w:tplc="04190019">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8" w15:restartNumberingAfterBreak="0">
    <w:nsid w:val="53051F45"/>
    <w:multiLevelType w:val="hybridMultilevel"/>
    <w:tmpl w:val="96549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399506D"/>
    <w:multiLevelType w:val="hybridMultilevel"/>
    <w:tmpl w:val="65BC56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3C60F6D"/>
    <w:multiLevelType w:val="hybridMultilevel"/>
    <w:tmpl w:val="7634162C"/>
    <w:lvl w:ilvl="0" w:tplc="D48EC5BE">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9E72E42"/>
    <w:multiLevelType w:val="hybridMultilevel"/>
    <w:tmpl w:val="B936D9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AB35D50"/>
    <w:multiLevelType w:val="hybridMultilevel"/>
    <w:tmpl w:val="1E9A5CB6"/>
    <w:lvl w:ilvl="0" w:tplc="26B40C38">
      <w:start w:val="1"/>
      <w:numFmt w:val="bullet"/>
      <w:lvlText w:val=""/>
      <w:lvlJc w:val="left"/>
      <w:pPr>
        <w:ind w:left="1428" w:hanging="360"/>
      </w:pPr>
      <w:rPr>
        <w:rFonts w:ascii="Symbol" w:hAnsi="Symbol" w:hint="default"/>
      </w:rPr>
    </w:lvl>
    <w:lvl w:ilvl="1" w:tplc="3B2EC85C">
      <w:start w:val="1"/>
      <w:numFmt w:val="bullet"/>
      <w:lvlText w:val="o"/>
      <w:lvlJc w:val="left"/>
      <w:pPr>
        <w:ind w:left="2148" w:hanging="360"/>
      </w:pPr>
      <w:rPr>
        <w:rFonts w:ascii="Courier New" w:hAnsi="Courier New" w:cs="Courier New" w:hint="default"/>
      </w:rPr>
    </w:lvl>
    <w:lvl w:ilvl="2" w:tplc="2F9E085C">
      <w:start w:val="1"/>
      <w:numFmt w:val="bullet"/>
      <w:lvlText w:val=""/>
      <w:lvlJc w:val="left"/>
      <w:pPr>
        <w:ind w:left="2868" w:hanging="360"/>
      </w:pPr>
      <w:rPr>
        <w:rFonts w:ascii="Wingdings" w:hAnsi="Wingdings" w:hint="default"/>
      </w:rPr>
    </w:lvl>
    <w:lvl w:ilvl="3" w:tplc="340E811E">
      <w:start w:val="1"/>
      <w:numFmt w:val="bullet"/>
      <w:lvlText w:val=""/>
      <w:lvlJc w:val="left"/>
      <w:pPr>
        <w:ind w:left="3588" w:hanging="360"/>
      </w:pPr>
      <w:rPr>
        <w:rFonts w:ascii="Symbol" w:hAnsi="Symbol" w:hint="default"/>
      </w:rPr>
    </w:lvl>
    <w:lvl w:ilvl="4" w:tplc="FC366D08">
      <w:start w:val="1"/>
      <w:numFmt w:val="bullet"/>
      <w:lvlText w:val="o"/>
      <w:lvlJc w:val="left"/>
      <w:pPr>
        <w:ind w:left="4308" w:hanging="360"/>
      </w:pPr>
      <w:rPr>
        <w:rFonts w:ascii="Courier New" w:hAnsi="Courier New" w:cs="Courier New" w:hint="default"/>
      </w:rPr>
    </w:lvl>
    <w:lvl w:ilvl="5" w:tplc="29B8DC22">
      <w:start w:val="1"/>
      <w:numFmt w:val="bullet"/>
      <w:lvlText w:val=""/>
      <w:lvlJc w:val="left"/>
      <w:pPr>
        <w:ind w:left="5028" w:hanging="360"/>
      </w:pPr>
      <w:rPr>
        <w:rFonts w:ascii="Wingdings" w:hAnsi="Wingdings" w:hint="default"/>
      </w:rPr>
    </w:lvl>
    <w:lvl w:ilvl="6" w:tplc="8E0A9A3A">
      <w:start w:val="1"/>
      <w:numFmt w:val="bullet"/>
      <w:lvlText w:val=""/>
      <w:lvlJc w:val="left"/>
      <w:pPr>
        <w:ind w:left="5748" w:hanging="360"/>
      </w:pPr>
      <w:rPr>
        <w:rFonts w:ascii="Symbol" w:hAnsi="Symbol" w:hint="default"/>
      </w:rPr>
    </w:lvl>
    <w:lvl w:ilvl="7" w:tplc="2004B7FC">
      <w:start w:val="1"/>
      <w:numFmt w:val="bullet"/>
      <w:lvlText w:val="o"/>
      <w:lvlJc w:val="left"/>
      <w:pPr>
        <w:ind w:left="6468" w:hanging="360"/>
      </w:pPr>
      <w:rPr>
        <w:rFonts w:ascii="Courier New" w:hAnsi="Courier New" w:cs="Courier New" w:hint="default"/>
      </w:rPr>
    </w:lvl>
    <w:lvl w:ilvl="8" w:tplc="D71025DE">
      <w:start w:val="1"/>
      <w:numFmt w:val="bullet"/>
      <w:lvlText w:val=""/>
      <w:lvlJc w:val="left"/>
      <w:pPr>
        <w:ind w:left="7188" w:hanging="360"/>
      </w:pPr>
      <w:rPr>
        <w:rFonts w:ascii="Wingdings" w:hAnsi="Wingdings" w:hint="default"/>
      </w:rPr>
    </w:lvl>
  </w:abstractNum>
  <w:abstractNum w:abstractNumId="43" w15:restartNumberingAfterBreak="0">
    <w:nsid w:val="5C655BEF"/>
    <w:multiLevelType w:val="hybridMultilevel"/>
    <w:tmpl w:val="B35C4DF6"/>
    <w:lvl w:ilvl="0" w:tplc="6FE65B0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15:restartNumberingAfterBreak="0">
    <w:nsid w:val="5E9B328B"/>
    <w:multiLevelType w:val="hybridMultilevel"/>
    <w:tmpl w:val="7C5A1B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5EB57E18"/>
    <w:multiLevelType w:val="hybridMultilevel"/>
    <w:tmpl w:val="0114B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0C062FF"/>
    <w:multiLevelType w:val="hybridMultilevel"/>
    <w:tmpl w:val="040A4DCE"/>
    <w:lvl w:ilvl="0" w:tplc="D76CC41E">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15:restartNumberingAfterBreak="0">
    <w:nsid w:val="60D87C6C"/>
    <w:multiLevelType w:val="hybridMultilevel"/>
    <w:tmpl w:val="135E3F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25359FA"/>
    <w:multiLevelType w:val="hybridMultilevel"/>
    <w:tmpl w:val="43F80E00"/>
    <w:lvl w:ilvl="0" w:tplc="7FBA88A6">
      <w:start w:val="1"/>
      <w:numFmt w:val="bullet"/>
      <w:lvlText w:val=""/>
      <w:lvlJc w:val="left"/>
      <w:pPr>
        <w:ind w:left="720" w:hanging="360"/>
      </w:pPr>
      <w:rPr>
        <w:rFonts w:ascii="Symbol" w:hAnsi="Symbol" w:hint="default"/>
      </w:rPr>
    </w:lvl>
    <w:lvl w:ilvl="1" w:tplc="B3149F3E">
      <w:start w:val="1"/>
      <w:numFmt w:val="bullet"/>
      <w:lvlText w:val="o"/>
      <w:lvlJc w:val="left"/>
      <w:pPr>
        <w:ind w:left="1440" w:hanging="360"/>
      </w:pPr>
      <w:rPr>
        <w:rFonts w:ascii="Courier New" w:hAnsi="Courier New" w:cs="Courier New" w:hint="default"/>
      </w:rPr>
    </w:lvl>
    <w:lvl w:ilvl="2" w:tplc="7B7CB654">
      <w:start w:val="1"/>
      <w:numFmt w:val="bullet"/>
      <w:lvlText w:val=""/>
      <w:lvlJc w:val="left"/>
      <w:pPr>
        <w:ind w:left="2160" w:hanging="360"/>
      </w:pPr>
      <w:rPr>
        <w:rFonts w:ascii="Wingdings" w:hAnsi="Wingdings" w:hint="default"/>
      </w:rPr>
    </w:lvl>
    <w:lvl w:ilvl="3" w:tplc="42449486">
      <w:start w:val="1"/>
      <w:numFmt w:val="bullet"/>
      <w:lvlText w:val=""/>
      <w:lvlJc w:val="left"/>
      <w:pPr>
        <w:ind w:left="2880" w:hanging="360"/>
      </w:pPr>
      <w:rPr>
        <w:rFonts w:ascii="Symbol" w:hAnsi="Symbol" w:hint="default"/>
      </w:rPr>
    </w:lvl>
    <w:lvl w:ilvl="4" w:tplc="5C1ACD50">
      <w:start w:val="1"/>
      <w:numFmt w:val="bullet"/>
      <w:lvlText w:val="o"/>
      <w:lvlJc w:val="left"/>
      <w:pPr>
        <w:ind w:left="3600" w:hanging="360"/>
      </w:pPr>
      <w:rPr>
        <w:rFonts w:ascii="Courier New" w:hAnsi="Courier New" w:cs="Courier New" w:hint="default"/>
      </w:rPr>
    </w:lvl>
    <w:lvl w:ilvl="5" w:tplc="01EAC460">
      <w:start w:val="1"/>
      <w:numFmt w:val="bullet"/>
      <w:lvlText w:val=""/>
      <w:lvlJc w:val="left"/>
      <w:pPr>
        <w:ind w:left="4320" w:hanging="360"/>
      </w:pPr>
      <w:rPr>
        <w:rFonts w:ascii="Wingdings" w:hAnsi="Wingdings" w:hint="default"/>
      </w:rPr>
    </w:lvl>
    <w:lvl w:ilvl="6" w:tplc="357E813A">
      <w:start w:val="1"/>
      <w:numFmt w:val="bullet"/>
      <w:lvlText w:val=""/>
      <w:lvlJc w:val="left"/>
      <w:pPr>
        <w:ind w:left="5040" w:hanging="360"/>
      </w:pPr>
      <w:rPr>
        <w:rFonts w:ascii="Symbol" w:hAnsi="Symbol" w:hint="default"/>
      </w:rPr>
    </w:lvl>
    <w:lvl w:ilvl="7" w:tplc="1B362762">
      <w:start w:val="1"/>
      <w:numFmt w:val="bullet"/>
      <w:lvlText w:val="o"/>
      <w:lvlJc w:val="left"/>
      <w:pPr>
        <w:ind w:left="5760" w:hanging="360"/>
      </w:pPr>
      <w:rPr>
        <w:rFonts w:ascii="Courier New" w:hAnsi="Courier New" w:cs="Courier New" w:hint="default"/>
      </w:rPr>
    </w:lvl>
    <w:lvl w:ilvl="8" w:tplc="585C4590">
      <w:start w:val="1"/>
      <w:numFmt w:val="bullet"/>
      <w:lvlText w:val=""/>
      <w:lvlJc w:val="left"/>
      <w:pPr>
        <w:ind w:left="6480" w:hanging="360"/>
      </w:pPr>
      <w:rPr>
        <w:rFonts w:ascii="Wingdings" w:hAnsi="Wingdings" w:hint="default"/>
      </w:rPr>
    </w:lvl>
  </w:abstractNum>
  <w:abstractNum w:abstractNumId="49" w15:restartNumberingAfterBreak="0">
    <w:nsid w:val="64E91059"/>
    <w:multiLevelType w:val="hybridMultilevel"/>
    <w:tmpl w:val="9864A21C"/>
    <w:lvl w:ilvl="0" w:tplc="AFFE1112">
      <w:start w:val="1"/>
      <w:numFmt w:val="bullet"/>
      <w:lvlText w:val=""/>
      <w:lvlJc w:val="left"/>
      <w:pPr>
        <w:ind w:left="1428" w:hanging="360"/>
      </w:pPr>
      <w:rPr>
        <w:rFonts w:ascii="Symbol" w:hAnsi="Symbol" w:hint="default"/>
      </w:rPr>
    </w:lvl>
    <w:lvl w:ilvl="1" w:tplc="575CE84C">
      <w:start w:val="1"/>
      <w:numFmt w:val="bullet"/>
      <w:lvlText w:val="o"/>
      <w:lvlJc w:val="left"/>
      <w:pPr>
        <w:ind w:left="2148" w:hanging="360"/>
      </w:pPr>
      <w:rPr>
        <w:rFonts w:ascii="Courier New" w:hAnsi="Courier New" w:cs="Courier New" w:hint="default"/>
      </w:rPr>
    </w:lvl>
    <w:lvl w:ilvl="2" w:tplc="27F43E68">
      <w:start w:val="1"/>
      <w:numFmt w:val="bullet"/>
      <w:lvlText w:val=""/>
      <w:lvlJc w:val="left"/>
      <w:pPr>
        <w:ind w:left="2868" w:hanging="360"/>
      </w:pPr>
      <w:rPr>
        <w:rFonts w:ascii="Wingdings" w:hAnsi="Wingdings" w:hint="default"/>
      </w:rPr>
    </w:lvl>
    <w:lvl w:ilvl="3" w:tplc="6BEA662E">
      <w:start w:val="1"/>
      <w:numFmt w:val="bullet"/>
      <w:lvlText w:val=""/>
      <w:lvlJc w:val="left"/>
      <w:pPr>
        <w:ind w:left="3588" w:hanging="360"/>
      </w:pPr>
      <w:rPr>
        <w:rFonts w:ascii="Symbol" w:hAnsi="Symbol" w:hint="default"/>
      </w:rPr>
    </w:lvl>
    <w:lvl w:ilvl="4" w:tplc="64A80DBE">
      <w:start w:val="1"/>
      <w:numFmt w:val="bullet"/>
      <w:lvlText w:val="o"/>
      <w:lvlJc w:val="left"/>
      <w:pPr>
        <w:ind w:left="4308" w:hanging="360"/>
      </w:pPr>
      <w:rPr>
        <w:rFonts w:ascii="Courier New" w:hAnsi="Courier New" w:cs="Courier New" w:hint="default"/>
      </w:rPr>
    </w:lvl>
    <w:lvl w:ilvl="5" w:tplc="AE58F438">
      <w:start w:val="1"/>
      <w:numFmt w:val="bullet"/>
      <w:lvlText w:val=""/>
      <w:lvlJc w:val="left"/>
      <w:pPr>
        <w:ind w:left="5028" w:hanging="360"/>
      </w:pPr>
      <w:rPr>
        <w:rFonts w:ascii="Wingdings" w:hAnsi="Wingdings" w:hint="default"/>
      </w:rPr>
    </w:lvl>
    <w:lvl w:ilvl="6" w:tplc="B234EC7A">
      <w:start w:val="1"/>
      <w:numFmt w:val="bullet"/>
      <w:lvlText w:val=""/>
      <w:lvlJc w:val="left"/>
      <w:pPr>
        <w:ind w:left="5748" w:hanging="360"/>
      </w:pPr>
      <w:rPr>
        <w:rFonts w:ascii="Symbol" w:hAnsi="Symbol" w:hint="default"/>
      </w:rPr>
    </w:lvl>
    <w:lvl w:ilvl="7" w:tplc="82B25206">
      <w:start w:val="1"/>
      <w:numFmt w:val="bullet"/>
      <w:lvlText w:val="o"/>
      <w:lvlJc w:val="left"/>
      <w:pPr>
        <w:ind w:left="6468" w:hanging="360"/>
      </w:pPr>
      <w:rPr>
        <w:rFonts w:ascii="Courier New" w:hAnsi="Courier New" w:cs="Courier New" w:hint="default"/>
      </w:rPr>
    </w:lvl>
    <w:lvl w:ilvl="8" w:tplc="28082C5C">
      <w:start w:val="1"/>
      <w:numFmt w:val="bullet"/>
      <w:lvlText w:val=""/>
      <w:lvlJc w:val="left"/>
      <w:pPr>
        <w:ind w:left="7188" w:hanging="360"/>
      </w:pPr>
      <w:rPr>
        <w:rFonts w:ascii="Wingdings" w:hAnsi="Wingdings" w:hint="default"/>
      </w:rPr>
    </w:lvl>
  </w:abstractNum>
  <w:abstractNum w:abstractNumId="50" w15:restartNumberingAfterBreak="0">
    <w:nsid w:val="671844FD"/>
    <w:multiLevelType w:val="hybridMultilevel"/>
    <w:tmpl w:val="AD4E3D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7BE2026"/>
    <w:multiLevelType w:val="hybridMultilevel"/>
    <w:tmpl w:val="F4C00982"/>
    <w:lvl w:ilvl="0" w:tplc="0419000F">
      <w:start w:val="1"/>
      <w:numFmt w:val="decimal"/>
      <w:lvlText w:val="%1."/>
      <w:lvlJc w:val="left"/>
      <w:pPr>
        <w:ind w:left="1068" w:hanging="360"/>
      </w:pPr>
      <w:rPr>
        <w:rFonts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52" w15:restartNumberingAfterBreak="0">
    <w:nsid w:val="688468BB"/>
    <w:multiLevelType w:val="hybridMultilevel"/>
    <w:tmpl w:val="3F5AC3C2"/>
    <w:lvl w:ilvl="0" w:tplc="9F922CDA">
      <w:start w:val="1"/>
      <w:numFmt w:val="bullet"/>
      <w:lvlText w:val=""/>
      <w:lvlJc w:val="left"/>
      <w:pPr>
        <w:ind w:left="1428" w:hanging="360"/>
      </w:pPr>
      <w:rPr>
        <w:rFonts w:ascii="Symbol" w:hAnsi="Symbol" w:hint="default"/>
      </w:rPr>
    </w:lvl>
    <w:lvl w:ilvl="1" w:tplc="F2147832">
      <w:start w:val="1"/>
      <w:numFmt w:val="bullet"/>
      <w:lvlText w:val="o"/>
      <w:lvlJc w:val="left"/>
      <w:pPr>
        <w:ind w:left="2148" w:hanging="360"/>
      </w:pPr>
      <w:rPr>
        <w:rFonts w:ascii="Courier New" w:hAnsi="Courier New" w:cs="Courier New" w:hint="default"/>
      </w:rPr>
    </w:lvl>
    <w:lvl w:ilvl="2" w:tplc="83467EFA">
      <w:start w:val="1"/>
      <w:numFmt w:val="bullet"/>
      <w:lvlText w:val=""/>
      <w:lvlJc w:val="left"/>
      <w:pPr>
        <w:ind w:left="2868" w:hanging="360"/>
      </w:pPr>
      <w:rPr>
        <w:rFonts w:ascii="Wingdings" w:hAnsi="Wingdings" w:hint="default"/>
      </w:rPr>
    </w:lvl>
    <w:lvl w:ilvl="3" w:tplc="A89E58B0">
      <w:start w:val="1"/>
      <w:numFmt w:val="bullet"/>
      <w:lvlText w:val=""/>
      <w:lvlJc w:val="left"/>
      <w:pPr>
        <w:ind w:left="3588" w:hanging="360"/>
      </w:pPr>
      <w:rPr>
        <w:rFonts w:ascii="Symbol" w:hAnsi="Symbol" w:hint="default"/>
      </w:rPr>
    </w:lvl>
    <w:lvl w:ilvl="4" w:tplc="E58CD5B2">
      <w:start w:val="1"/>
      <w:numFmt w:val="bullet"/>
      <w:lvlText w:val="o"/>
      <w:lvlJc w:val="left"/>
      <w:pPr>
        <w:ind w:left="4308" w:hanging="360"/>
      </w:pPr>
      <w:rPr>
        <w:rFonts w:ascii="Courier New" w:hAnsi="Courier New" w:cs="Courier New" w:hint="default"/>
      </w:rPr>
    </w:lvl>
    <w:lvl w:ilvl="5" w:tplc="C14038A0">
      <w:start w:val="1"/>
      <w:numFmt w:val="bullet"/>
      <w:lvlText w:val=""/>
      <w:lvlJc w:val="left"/>
      <w:pPr>
        <w:ind w:left="5028" w:hanging="360"/>
      </w:pPr>
      <w:rPr>
        <w:rFonts w:ascii="Wingdings" w:hAnsi="Wingdings" w:hint="default"/>
      </w:rPr>
    </w:lvl>
    <w:lvl w:ilvl="6" w:tplc="E1A2B50A">
      <w:start w:val="1"/>
      <w:numFmt w:val="bullet"/>
      <w:lvlText w:val=""/>
      <w:lvlJc w:val="left"/>
      <w:pPr>
        <w:ind w:left="5748" w:hanging="360"/>
      </w:pPr>
      <w:rPr>
        <w:rFonts w:ascii="Symbol" w:hAnsi="Symbol" w:hint="default"/>
      </w:rPr>
    </w:lvl>
    <w:lvl w:ilvl="7" w:tplc="BDF62C10">
      <w:start w:val="1"/>
      <w:numFmt w:val="bullet"/>
      <w:lvlText w:val="o"/>
      <w:lvlJc w:val="left"/>
      <w:pPr>
        <w:ind w:left="6468" w:hanging="360"/>
      </w:pPr>
      <w:rPr>
        <w:rFonts w:ascii="Courier New" w:hAnsi="Courier New" w:cs="Courier New" w:hint="default"/>
      </w:rPr>
    </w:lvl>
    <w:lvl w:ilvl="8" w:tplc="A7804AAE">
      <w:start w:val="1"/>
      <w:numFmt w:val="bullet"/>
      <w:lvlText w:val=""/>
      <w:lvlJc w:val="left"/>
      <w:pPr>
        <w:ind w:left="7188" w:hanging="360"/>
      </w:pPr>
      <w:rPr>
        <w:rFonts w:ascii="Wingdings" w:hAnsi="Wingdings" w:hint="default"/>
      </w:rPr>
    </w:lvl>
  </w:abstractNum>
  <w:abstractNum w:abstractNumId="53" w15:restartNumberingAfterBreak="0">
    <w:nsid w:val="6A080F88"/>
    <w:multiLevelType w:val="hybridMultilevel"/>
    <w:tmpl w:val="32426FF2"/>
    <w:lvl w:ilvl="0" w:tplc="04190001">
      <w:start w:val="1"/>
      <w:numFmt w:val="bullet"/>
      <w:lvlText w:val=""/>
      <w:lvlJc w:val="left"/>
      <w:pPr>
        <w:ind w:left="2123" w:hanging="70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CF711F5"/>
    <w:multiLevelType w:val="hybridMultilevel"/>
    <w:tmpl w:val="3FB8D84A"/>
    <w:lvl w:ilvl="0" w:tplc="0E60B5AE">
      <w:start w:val="1"/>
      <w:numFmt w:val="bullet"/>
      <w:lvlText w:val=""/>
      <w:lvlJc w:val="left"/>
      <w:pPr>
        <w:ind w:left="1080" w:hanging="360"/>
      </w:pPr>
      <w:rPr>
        <w:rFonts w:ascii="Symbol" w:hAnsi="Symbol" w:hint="default"/>
      </w:rPr>
    </w:lvl>
    <w:lvl w:ilvl="1" w:tplc="7A7E9E72">
      <w:start w:val="1"/>
      <w:numFmt w:val="bullet"/>
      <w:lvlText w:val="o"/>
      <w:lvlJc w:val="left"/>
      <w:pPr>
        <w:ind w:left="1800" w:hanging="360"/>
      </w:pPr>
      <w:rPr>
        <w:rFonts w:ascii="Courier New" w:hAnsi="Courier New" w:cs="Courier New" w:hint="default"/>
      </w:rPr>
    </w:lvl>
    <w:lvl w:ilvl="2" w:tplc="FD5696C2">
      <w:start w:val="1"/>
      <w:numFmt w:val="bullet"/>
      <w:lvlText w:val=""/>
      <w:lvlJc w:val="left"/>
      <w:pPr>
        <w:ind w:left="2520" w:hanging="360"/>
      </w:pPr>
      <w:rPr>
        <w:rFonts w:ascii="Wingdings" w:hAnsi="Wingdings" w:hint="default"/>
      </w:rPr>
    </w:lvl>
    <w:lvl w:ilvl="3" w:tplc="2F44A216">
      <w:start w:val="1"/>
      <w:numFmt w:val="bullet"/>
      <w:lvlText w:val=""/>
      <w:lvlJc w:val="left"/>
      <w:pPr>
        <w:ind w:left="3240" w:hanging="360"/>
      </w:pPr>
      <w:rPr>
        <w:rFonts w:ascii="Symbol" w:hAnsi="Symbol" w:hint="default"/>
      </w:rPr>
    </w:lvl>
    <w:lvl w:ilvl="4" w:tplc="9ECA2EA2">
      <w:start w:val="1"/>
      <w:numFmt w:val="bullet"/>
      <w:lvlText w:val="o"/>
      <w:lvlJc w:val="left"/>
      <w:pPr>
        <w:ind w:left="3960" w:hanging="360"/>
      </w:pPr>
      <w:rPr>
        <w:rFonts w:ascii="Courier New" w:hAnsi="Courier New" w:cs="Courier New" w:hint="default"/>
      </w:rPr>
    </w:lvl>
    <w:lvl w:ilvl="5" w:tplc="4A60B510">
      <w:start w:val="1"/>
      <w:numFmt w:val="bullet"/>
      <w:lvlText w:val=""/>
      <w:lvlJc w:val="left"/>
      <w:pPr>
        <w:ind w:left="4680" w:hanging="360"/>
      </w:pPr>
      <w:rPr>
        <w:rFonts w:ascii="Wingdings" w:hAnsi="Wingdings" w:hint="default"/>
      </w:rPr>
    </w:lvl>
    <w:lvl w:ilvl="6" w:tplc="9826769A">
      <w:start w:val="1"/>
      <w:numFmt w:val="bullet"/>
      <w:lvlText w:val=""/>
      <w:lvlJc w:val="left"/>
      <w:pPr>
        <w:ind w:left="5400" w:hanging="360"/>
      </w:pPr>
      <w:rPr>
        <w:rFonts w:ascii="Symbol" w:hAnsi="Symbol" w:hint="default"/>
      </w:rPr>
    </w:lvl>
    <w:lvl w:ilvl="7" w:tplc="6E52C570">
      <w:start w:val="1"/>
      <w:numFmt w:val="bullet"/>
      <w:lvlText w:val="o"/>
      <w:lvlJc w:val="left"/>
      <w:pPr>
        <w:ind w:left="6120" w:hanging="360"/>
      </w:pPr>
      <w:rPr>
        <w:rFonts w:ascii="Courier New" w:hAnsi="Courier New" w:cs="Courier New" w:hint="default"/>
      </w:rPr>
    </w:lvl>
    <w:lvl w:ilvl="8" w:tplc="DC286868">
      <w:start w:val="1"/>
      <w:numFmt w:val="bullet"/>
      <w:lvlText w:val=""/>
      <w:lvlJc w:val="left"/>
      <w:pPr>
        <w:ind w:left="6840" w:hanging="360"/>
      </w:pPr>
      <w:rPr>
        <w:rFonts w:ascii="Wingdings" w:hAnsi="Wingdings" w:hint="default"/>
      </w:rPr>
    </w:lvl>
  </w:abstractNum>
  <w:abstractNum w:abstractNumId="55" w15:restartNumberingAfterBreak="0">
    <w:nsid w:val="765F70D1"/>
    <w:multiLevelType w:val="hybridMultilevel"/>
    <w:tmpl w:val="B0288ABE"/>
    <w:lvl w:ilvl="0" w:tplc="A378BA54">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BAB11B1"/>
    <w:multiLevelType w:val="hybridMultilevel"/>
    <w:tmpl w:val="F0D6F0BA"/>
    <w:lvl w:ilvl="0" w:tplc="D76CC41E">
      <w:start w:val="1"/>
      <w:numFmt w:val="bullet"/>
      <w:lvlText w:val="•"/>
      <w:lvlJc w:val="left"/>
      <w:pPr>
        <w:tabs>
          <w:tab w:val="num" w:pos="720"/>
        </w:tabs>
        <w:ind w:left="720" w:hanging="360"/>
      </w:pPr>
      <w:rPr>
        <w:rFonts w:ascii="Arial" w:hAnsi="Arial" w:hint="default"/>
      </w:rPr>
    </w:lvl>
    <w:lvl w:ilvl="1" w:tplc="2F8ECD54" w:tentative="1">
      <w:start w:val="1"/>
      <w:numFmt w:val="bullet"/>
      <w:lvlText w:val="•"/>
      <w:lvlJc w:val="left"/>
      <w:pPr>
        <w:tabs>
          <w:tab w:val="num" w:pos="1440"/>
        </w:tabs>
        <w:ind w:left="1440" w:hanging="360"/>
      </w:pPr>
      <w:rPr>
        <w:rFonts w:ascii="Arial" w:hAnsi="Arial" w:hint="default"/>
      </w:rPr>
    </w:lvl>
    <w:lvl w:ilvl="2" w:tplc="CE8C5248" w:tentative="1">
      <w:start w:val="1"/>
      <w:numFmt w:val="bullet"/>
      <w:lvlText w:val="•"/>
      <w:lvlJc w:val="left"/>
      <w:pPr>
        <w:tabs>
          <w:tab w:val="num" w:pos="2160"/>
        </w:tabs>
        <w:ind w:left="2160" w:hanging="360"/>
      </w:pPr>
      <w:rPr>
        <w:rFonts w:ascii="Arial" w:hAnsi="Arial" w:hint="default"/>
      </w:rPr>
    </w:lvl>
    <w:lvl w:ilvl="3" w:tplc="225EDACA" w:tentative="1">
      <w:start w:val="1"/>
      <w:numFmt w:val="bullet"/>
      <w:lvlText w:val="•"/>
      <w:lvlJc w:val="left"/>
      <w:pPr>
        <w:tabs>
          <w:tab w:val="num" w:pos="2880"/>
        </w:tabs>
        <w:ind w:left="2880" w:hanging="360"/>
      </w:pPr>
      <w:rPr>
        <w:rFonts w:ascii="Arial" w:hAnsi="Arial" w:hint="default"/>
      </w:rPr>
    </w:lvl>
    <w:lvl w:ilvl="4" w:tplc="0626367E" w:tentative="1">
      <w:start w:val="1"/>
      <w:numFmt w:val="bullet"/>
      <w:lvlText w:val="•"/>
      <w:lvlJc w:val="left"/>
      <w:pPr>
        <w:tabs>
          <w:tab w:val="num" w:pos="3600"/>
        </w:tabs>
        <w:ind w:left="3600" w:hanging="360"/>
      </w:pPr>
      <w:rPr>
        <w:rFonts w:ascii="Arial" w:hAnsi="Arial" w:hint="default"/>
      </w:rPr>
    </w:lvl>
    <w:lvl w:ilvl="5" w:tplc="F3F24E2C" w:tentative="1">
      <w:start w:val="1"/>
      <w:numFmt w:val="bullet"/>
      <w:lvlText w:val="•"/>
      <w:lvlJc w:val="left"/>
      <w:pPr>
        <w:tabs>
          <w:tab w:val="num" w:pos="4320"/>
        </w:tabs>
        <w:ind w:left="4320" w:hanging="360"/>
      </w:pPr>
      <w:rPr>
        <w:rFonts w:ascii="Arial" w:hAnsi="Arial" w:hint="default"/>
      </w:rPr>
    </w:lvl>
    <w:lvl w:ilvl="6" w:tplc="66CAD2A8" w:tentative="1">
      <w:start w:val="1"/>
      <w:numFmt w:val="bullet"/>
      <w:lvlText w:val="•"/>
      <w:lvlJc w:val="left"/>
      <w:pPr>
        <w:tabs>
          <w:tab w:val="num" w:pos="5040"/>
        </w:tabs>
        <w:ind w:left="5040" w:hanging="360"/>
      </w:pPr>
      <w:rPr>
        <w:rFonts w:ascii="Arial" w:hAnsi="Arial" w:hint="default"/>
      </w:rPr>
    </w:lvl>
    <w:lvl w:ilvl="7" w:tplc="2D2688B4" w:tentative="1">
      <w:start w:val="1"/>
      <w:numFmt w:val="bullet"/>
      <w:lvlText w:val="•"/>
      <w:lvlJc w:val="left"/>
      <w:pPr>
        <w:tabs>
          <w:tab w:val="num" w:pos="5760"/>
        </w:tabs>
        <w:ind w:left="5760" w:hanging="360"/>
      </w:pPr>
      <w:rPr>
        <w:rFonts w:ascii="Arial" w:hAnsi="Arial" w:hint="default"/>
      </w:rPr>
    </w:lvl>
    <w:lvl w:ilvl="8" w:tplc="D7D0C13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D253A11"/>
    <w:multiLevelType w:val="hybridMultilevel"/>
    <w:tmpl w:val="CDC45FAE"/>
    <w:lvl w:ilvl="0" w:tplc="D94857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8" w15:restartNumberingAfterBreak="0">
    <w:nsid w:val="7DBA29FE"/>
    <w:multiLevelType w:val="hybridMultilevel"/>
    <w:tmpl w:val="CDDCE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F401676"/>
    <w:multiLevelType w:val="hybridMultilevel"/>
    <w:tmpl w:val="A0E639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7FC164C6"/>
    <w:multiLevelType w:val="hybridMultilevel"/>
    <w:tmpl w:val="9F087242"/>
    <w:styleLink w:val="111111"/>
    <w:lvl w:ilvl="0" w:tplc="70B684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3"/>
  </w:num>
  <w:num w:numId="4">
    <w:abstractNumId w:val="0"/>
  </w:num>
  <w:num w:numId="5">
    <w:abstractNumId w:val="0"/>
  </w:num>
  <w:num w:numId="6">
    <w:abstractNumId w:val="0"/>
  </w:num>
  <w:num w:numId="7">
    <w:abstractNumId w:val="0"/>
  </w:num>
  <w:num w:numId="8">
    <w:abstractNumId w:val="0"/>
  </w:num>
  <w:num w:numId="9">
    <w:abstractNumId w:val="0"/>
  </w:num>
  <w:num w:numId="10">
    <w:abstractNumId w:val="60"/>
  </w:num>
  <w:num w:numId="11">
    <w:abstractNumId w:val="0"/>
  </w:num>
  <w:num w:numId="12">
    <w:abstractNumId w:val="20"/>
  </w:num>
  <w:num w:numId="13">
    <w:abstractNumId w:val="17"/>
  </w:num>
  <w:num w:numId="14">
    <w:abstractNumId w:val="0"/>
  </w:num>
  <w:num w:numId="15">
    <w:abstractNumId w:val="11"/>
  </w:num>
  <w:num w:numId="16">
    <w:abstractNumId w:val="5"/>
  </w:num>
  <w:num w:numId="17">
    <w:abstractNumId w:val="32"/>
  </w:num>
  <w:num w:numId="18">
    <w:abstractNumId w:val="0"/>
  </w:num>
  <w:num w:numId="19">
    <w:abstractNumId w:val="0"/>
  </w:num>
  <w:num w:numId="20">
    <w:abstractNumId w:val="0"/>
  </w:num>
  <w:num w:numId="21">
    <w:abstractNumId w:val="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7"/>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34"/>
  </w:num>
  <w:num w:numId="37">
    <w:abstractNumId w:val="58"/>
  </w:num>
  <w:num w:numId="38">
    <w:abstractNumId w:val="10"/>
  </w:num>
  <w:num w:numId="39">
    <w:abstractNumId w:val="31"/>
  </w:num>
  <w:num w:numId="40">
    <w:abstractNumId w:val="8"/>
  </w:num>
  <w:num w:numId="41">
    <w:abstractNumId w:val="36"/>
  </w:num>
  <w:num w:numId="42">
    <w:abstractNumId w:val="48"/>
  </w:num>
  <w:num w:numId="43">
    <w:abstractNumId w:val="54"/>
  </w:num>
  <w:num w:numId="44">
    <w:abstractNumId w:val="52"/>
  </w:num>
  <w:num w:numId="45">
    <w:abstractNumId w:val="15"/>
  </w:num>
  <w:num w:numId="46">
    <w:abstractNumId w:val="42"/>
  </w:num>
  <w:num w:numId="47">
    <w:abstractNumId w:val="49"/>
  </w:num>
  <w:num w:numId="48">
    <w:abstractNumId w:val="40"/>
  </w:num>
  <w:num w:numId="49">
    <w:abstractNumId w:val="35"/>
  </w:num>
  <w:num w:numId="50">
    <w:abstractNumId w:val="51"/>
  </w:num>
  <w:num w:numId="51">
    <w:abstractNumId w:val="45"/>
  </w:num>
  <w:num w:numId="52">
    <w:abstractNumId w:val="30"/>
  </w:num>
  <w:num w:numId="53">
    <w:abstractNumId w:val="43"/>
  </w:num>
  <w:num w:numId="54">
    <w:abstractNumId w:val="19"/>
  </w:num>
  <w:num w:numId="55">
    <w:abstractNumId w:val="57"/>
  </w:num>
  <w:num w:numId="56">
    <w:abstractNumId w:val="56"/>
  </w:num>
  <w:num w:numId="57">
    <w:abstractNumId w:val="55"/>
  </w:num>
  <w:num w:numId="58">
    <w:abstractNumId w:val="28"/>
  </w:num>
  <w:num w:numId="59">
    <w:abstractNumId w:val="22"/>
  </w:num>
  <w:num w:numId="60">
    <w:abstractNumId w:val="46"/>
  </w:num>
  <w:num w:numId="61">
    <w:abstractNumId w:val="6"/>
  </w:num>
  <w:num w:numId="62">
    <w:abstractNumId w:val="50"/>
  </w:num>
  <w:num w:numId="63">
    <w:abstractNumId w:val="44"/>
  </w:num>
  <w:num w:numId="64">
    <w:abstractNumId w:val="24"/>
  </w:num>
  <w:num w:numId="65">
    <w:abstractNumId w:val="2"/>
  </w:num>
  <w:num w:numId="66">
    <w:abstractNumId w:val="14"/>
  </w:num>
  <w:num w:numId="67">
    <w:abstractNumId w:val="18"/>
  </w:num>
  <w:num w:numId="68">
    <w:abstractNumId w:val="9"/>
  </w:num>
  <w:num w:numId="69">
    <w:abstractNumId w:val="25"/>
  </w:num>
  <w:num w:numId="70">
    <w:abstractNumId w:val="7"/>
  </w:num>
  <w:num w:numId="71">
    <w:abstractNumId w:val="26"/>
  </w:num>
  <w:num w:numId="72">
    <w:abstractNumId w:val="23"/>
  </w:num>
  <w:num w:numId="73">
    <w:abstractNumId w:val="27"/>
  </w:num>
  <w:num w:numId="74">
    <w:abstractNumId w:val="4"/>
  </w:num>
  <w:num w:numId="75">
    <w:abstractNumId w:val="41"/>
  </w:num>
  <w:num w:numId="76">
    <w:abstractNumId w:val="39"/>
  </w:num>
  <w:num w:numId="77">
    <w:abstractNumId w:val="29"/>
  </w:num>
  <w:num w:numId="78">
    <w:abstractNumId w:val="59"/>
  </w:num>
  <w:num w:numId="79">
    <w:abstractNumId w:val="1"/>
  </w:num>
  <w:num w:numId="80">
    <w:abstractNumId w:val="3"/>
  </w:num>
  <w:num w:numId="81">
    <w:abstractNumId w:val="16"/>
  </w:num>
  <w:num w:numId="82">
    <w:abstractNumId w:val="38"/>
  </w:num>
  <w:num w:numId="83">
    <w:abstractNumId w:val="33"/>
  </w:num>
  <w:num w:numId="84">
    <w:abstractNumId w:val="47"/>
  </w:num>
  <w:num w:numId="85">
    <w:abstractNumId w:val="12"/>
  </w:num>
  <w:num w:numId="86">
    <w:abstractNumId w:val="1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xMTKwNDQ3MjY2N7ZQ0lEKTi0uzszPAykwqgUAfeba5CwAAAA="/>
  </w:docVars>
  <w:rsids>
    <w:rsidRoot w:val="00187BA3"/>
    <w:rsid w:val="00001800"/>
    <w:rsid w:val="00015EE5"/>
    <w:rsid w:val="00017343"/>
    <w:rsid w:val="00021FEA"/>
    <w:rsid w:val="000345F1"/>
    <w:rsid w:val="000366BC"/>
    <w:rsid w:val="00037C4B"/>
    <w:rsid w:val="000414F6"/>
    <w:rsid w:val="00051F38"/>
    <w:rsid w:val="00064FEC"/>
    <w:rsid w:val="00065D0C"/>
    <w:rsid w:val="00094ED6"/>
    <w:rsid w:val="000A277C"/>
    <w:rsid w:val="000B0DCD"/>
    <w:rsid w:val="000B7A71"/>
    <w:rsid w:val="000E14DB"/>
    <w:rsid w:val="00122110"/>
    <w:rsid w:val="00144C58"/>
    <w:rsid w:val="00146FA3"/>
    <w:rsid w:val="00150FA6"/>
    <w:rsid w:val="00171D80"/>
    <w:rsid w:val="00172112"/>
    <w:rsid w:val="00174593"/>
    <w:rsid w:val="0017531C"/>
    <w:rsid w:val="00175C52"/>
    <w:rsid w:val="00186C35"/>
    <w:rsid w:val="00187BA3"/>
    <w:rsid w:val="001B5B91"/>
    <w:rsid w:val="001D24E4"/>
    <w:rsid w:val="001D40F8"/>
    <w:rsid w:val="001D484A"/>
    <w:rsid w:val="001F4A3C"/>
    <w:rsid w:val="001F5D24"/>
    <w:rsid w:val="00201A19"/>
    <w:rsid w:val="00207691"/>
    <w:rsid w:val="0020771B"/>
    <w:rsid w:val="002145F1"/>
    <w:rsid w:val="002165EA"/>
    <w:rsid w:val="0021676E"/>
    <w:rsid w:val="00221384"/>
    <w:rsid w:val="002334C0"/>
    <w:rsid w:val="0025228A"/>
    <w:rsid w:val="00255B40"/>
    <w:rsid w:val="002651E9"/>
    <w:rsid w:val="002758A4"/>
    <w:rsid w:val="00275A41"/>
    <w:rsid w:val="002929B1"/>
    <w:rsid w:val="002A0C02"/>
    <w:rsid w:val="002A305E"/>
    <w:rsid w:val="002B53DE"/>
    <w:rsid w:val="002C165F"/>
    <w:rsid w:val="002D2CF7"/>
    <w:rsid w:val="002E6C4C"/>
    <w:rsid w:val="002F38B6"/>
    <w:rsid w:val="002F7719"/>
    <w:rsid w:val="00301C01"/>
    <w:rsid w:val="00311757"/>
    <w:rsid w:val="00315A5D"/>
    <w:rsid w:val="0032061E"/>
    <w:rsid w:val="00321834"/>
    <w:rsid w:val="00334F6C"/>
    <w:rsid w:val="00337A20"/>
    <w:rsid w:val="00341660"/>
    <w:rsid w:val="00342EE0"/>
    <w:rsid w:val="0034590E"/>
    <w:rsid w:val="003527A8"/>
    <w:rsid w:val="00354395"/>
    <w:rsid w:val="00364741"/>
    <w:rsid w:val="0036727F"/>
    <w:rsid w:val="0037752C"/>
    <w:rsid w:val="00381476"/>
    <w:rsid w:val="00384B6A"/>
    <w:rsid w:val="0038545E"/>
    <w:rsid w:val="003A282F"/>
    <w:rsid w:val="003B0404"/>
    <w:rsid w:val="003B392D"/>
    <w:rsid w:val="003E1C18"/>
    <w:rsid w:val="003E2441"/>
    <w:rsid w:val="003E29AE"/>
    <w:rsid w:val="003F0349"/>
    <w:rsid w:val="00401CD5"/>
    <w:rsid w:val="00407213"/>
    <w:rsid w:val="00410741"/>
    <w:rsid w:val="00413554"/>
    <w:rsid w:val="00417184"/>
    <w:rsid w:val="00427B0E"/>
    <w:rsid w:val="00443900"/>
    <w:rsid w:val="00467FA0"/>
    <w:rsid w:val="004914BD"/>
    <w:rsid w:val="0049584C"/>
    <w:rsid w:val="004978B3"/>
    <w:rsid w:val="00497CA8"/>
    <w:rsid w:val="004A0BA3"/>
    <w:rsid w:val="004A6A9D"/>
    <w:rsid w:val="004C6DE4"/>
    <w:rsid w:val="004D13EB"/>
    <w:rsid w:val="004D6B87"/>
    <w:rsid w:val="004E1288"/>
    <w:rsid w:val="004E5E50"/>
    <w:rsid w:val="004F09AF"/>
    <w:rsid w:val="004F1429"/>
    <w:rsid w:val="004F413D"/>
    <w:rsid w:val="004F4F24"/>
    <w:rsid w:val="004F7A2F"/>
    <w:rsid w:val="005008F9"/>
    <w:rsid w:val="0052193F"/>
    <w:rsid w:val="005219AF"/>
    <w:rsid w:val="0052679E"/>
    <w:rsid w:val="00527203"/>
    <w:rsid w:val="005627B3"/>
    <w:rsid w:val="00562845"/>
    <w:rsid w:val="00563D3D"/>
    <w:rsid w:val="005653DE"/>
    <w:rsid w:val="00570461"/>
    <w:rsid w:val="00583004"/>
    <w:rsid w:val="005B6D15"/>
    <w:rsid w:val="005B7062"/>
    <w:rsid w:val="005C7877"/>
    <w:rsid w:val="005D145C"/>
    <w:rsid w:val="005F668D"/>
    <w:rsid w:val="0060054C"/>
    <w:rsid w:val="0061162E"/>
    <w:rsid w:val="00624531"/>
    <w:rsid w:val="006364D5"/>
    <w:rsid w:val="006425FF"/>
    <w:rsid w:val="006446FF"/>
    <w:rsid w:val="006534F0"/>
    <w:rsid w:val="00653525"/>
    <w:rsid w:val="00662890"/>
    <w:rsid w:val="0066485C"/>
    <w:rsid w:val="0066740A"/>
    <w:rsid w:val="0068676A"/>
    <w:rsid w:val="00690549"/>
    <w:rsid w:val="006D0A48"/>
    <w:rsid w:val="006D39CD"/>
    <w:rsid w:val="006F55E0"/>
    <w:rsid w:val="0072615F"/>
    <w:rsid w:val="0073274D"/>
    <w:rsid w:val="00734192"/>
    <w:rsid w:val="0073686D"/>
    <w:rsid w:val="0075206A"/>
    <w:rsid w:val="00756445"/>
    <w:rsid w:val="007944ED"/>
    <w:rsid w:val="007A52E6"/>
    <w:rsid w:val="007B6060"/>
    <w:rsid w:val="007D16C2"/>
    <w:rsid w:val="007D1DD6"/>
    <w:rsid w:val="007D42AC"/>
    <w:rsid w:val="007D43B2"/>
    <w:rsid w:val="007D7257"/>
    <w:rsid w:val="007E1018"/>
    <w:rsid w:val="007E429F"/>
    <w:rsid w:val="007F529C"/>
    <w:rsid w:val="008141CB"/>
    <w:rsid w:val="00831264"/>
    <w:rsid w:val="008317AD"/>
    <w:rsid w:val="00834AEB"/>
    <w:rsid w:val="008358AE"/>
    <w:rsid w:val="008371F9"/>
    <w:rsid w:val="00841177"/>
    <w:rsid w:val="008679B5"/>
    <w:rsid w:val="008730C4"/>
    <w:rsid w:val="00877EF5"/>
    <w:rsid w:val="00890B9B"/>
    <w:rsid w:val="00890C4B"/>
    <w:rsid w:val="00895771"/>
    <w:rsid w:val="008A24EB"/>
    <w:rsid w:val="008A3A44"/>
    <w:rsid w:val="008A786B"/>
    <w:rsid w:val="008B269D"/>
    <w:rsid w:val="008D6C00"/>
    <w:rsid w:val="008D6F8C"/>
    <w:rsid w:val="008E1B7D"/>
    <w:rsid w:val="008E50A4"/>
    <w:rsid w:val="00906BDC"/>
    <w:rsid w:val="00910303"/>
    <w:rsid w:val="009103C4"/>
    <w:rsid w:val="0091604A"/>
    <w:rsid w:val="00924161"/>
    <w:rsid w:val="009318D0"/>
    <w:rsid w:val="009423C8"/>
    <w:rsid w:val="009470C1"/>
    <w:rsid w:val="00960C32"/>
    <w:rsid w:val="0097294B"/>
    <w:rsid w:val="00982EDF"/>
    <w:rsid w:val="00985FE3"/>
    <w:rsid w:val="00991BF8"/>
    <w:rsid w:val="009B4039"/>
    <w:rsid w:val="009C0364"/>
    <w:rsid w:val="009C6B5A"/>
    <w:rsid w:val="009E062C"/>
    <w:rsid w:val="009E2C2B"/>
    <w:rsid w:val="009E685D"/>
    <w:rsid w:val="009F2091"/>
    <w:rsid w:val="00A054AC"/>
    <w:rsid w:val="00A311CB"/>
    <w:rsid w:val="00A322B9"/>
    <w:rsid w:val="00A43CE5"/>
    <w:rsid w:val="00A53CD4"/>
    <w:rsid w:val="00A571EA"/>
    <w:rsid w:val="00A70490"/>
    <w:rsid w:val="00A70F44"/>
    <w:rsid w:val="00A72B1B"/>
    <w:rsid w:val="00A84901"/>
    <w:rsid w:val="00A8531D"/>
    <w:rsid w:val="00A859D3"/>
    <w:rsid w:val="00A86E5F"/>
    <w:rsid w:val="00A91645"/>
    <w:rsid w:val="00AA49EC"/>
    <w:rsid w:val="00AB384B"/>
    <w:rsid w:val="00AE3406"/>
    <w:rsid w:val="00AF3168"/>
    <w:rsid w:val="00B0565A"/>
    <w:rsid w:val="00B104EF"/>
    <w:rsid w:val="00B23363"/>
    <w:rsid w:val="00B23B74"/>
    <w:rsid w:val="00B24C65"/>
    <w:rsid w:val="00B33232"/>
    <w:rsid w:val="00B46390"/>
    <w:rsid w:val="00B607DE"/>
    <w:rsid w:val="00B6445C"/>
    <w:rsid w:val="00B65A2B"/>
    <w:rsid w:val="00B7479D"/>
    <w:rsid w:val="00B810AD"/>
    <w:rsid w:val="00B8195D"/>
    <w:rsid w:val="00B8218A"/>
    <w:rsid w:val="00B8401B"/>
    <w:rsid w:val="00B8507B"/>
    <w:rsid w:val="00B96E9F"/>
    <w:rsid w:val="00BA46B4"/>
    <w:rsid w:val="00BB0E64"/>
    <w:rsid w:val="00BB6554"/>
    <w:rsid w:val="00BC0F0B"/>
    <w:rsid w:val="00BC1383"/>
    <w:rsid w:val="00BD74B4"/>
    <w:rsid w:val="00BF1B99"/>
    <w:rsid w:val="00BF3A59"/>
    <w:rsid w:val="00C10D41"/>
    <w:rsid w:val="00C20DD2"/>
    <w:rsid w:val="00C34847"/>
    <w:rsid w:val="00C4630C"/>
    <w:rsid w:val="00C50E9F"/>
    <w:rsid w:val="00C76650"/>
    <w:rsid w:val="00C7738C"/>
    <w:rsid w:val="00C81573"/>
    <w:rsid w:val="00C85A73"/>
    <w:rsid w:val="00C960A4"/>
    <w:rsid w:val="00CB29F4"/>
    <w:rsid w:val="00CB562F"/>
    <w:rsid w:val="00CB6FFD"/>
    <w:rsid w:val="00CB71DA"/>
    <w:rsid w:val="00CC5156"/>
    <w:rsid w:val="00CC5BAC"/>
    <w:rsid w:val="00CC7701"/>
    <w:rsid w:val="00CD2797"/>
    <w:rsid w:val="00CD75E6"/>
    <w:rsid w:val="00CD77AA"/>
    <w:rsid w:val="00CF724D"/>
    <w:rsid w:val="00D07C36"/>
    <w:rsid w:val="00D14D2B"/>
    <w:rsid w:val="00D2153B"/>
    <w:rsid w:val="00D2226B"/>
    <w:rsid w:val="00D2727B"/>
    <w:rsid w:val="00D37EDF"/>
    <w:rsid w:val="00D570F8"/>
    <w:rsid w:val="00D64039"/>
    <w:rsid w:val="00D64DE8"/>
    <w:rsid w:val="00D71DD0"/>
    <w:rsid w:val="00D74813"/>
    <w:rsid w:val="00D96EAB"/>
    <w:rsid w:val="00DC1F88"/>
    <w:rsid w:val="00DC3E15"/>
    <w:rsid w:val="00E0145A"/>
    <w:rsid w:val="00E108BE"/>
    <w:rsid w:val="00E10DBD"/>
    <w:rsid w:val="00E4137C"/>
    <w:rsid w:val="00E55C77"/>
    <w:rsid w:val="00E606F0"/>
    <w:rsid w:val="00E65564"/>
    <w:rsid w:val="00E66C23"/>
    <w:rsid w:val="00E80D38"/>
    <w:rsid w:val="00EB2B59"/>
    <w:rsid w:val="00EB78B2"/>
    <w:rsid w:val="00EC333A"/>
    <w:rsid w:val="00ED5598"/>
    <w:rsid w:val="00EE59C2"/>
    <w:rsid w:val="00EF3174"/>
    <w:rsid w:val="00F0321D"/>
    <w:rsid w:val="00F05351"/>
    <w:rsid w:val="00F201E7"/>
    <w:rsid w:val="00F31282"/>
    <w:rsid w:val="00F44253"/>
    <w:rsid w:val="00F71339"/>
    <w:rsid w:val="00F756F0"/>
    <w:rsid w:val="00F76439"/>
    <w:rsid w:val="00F807AF"/>
    <w:rsid w:val="00F80DBE"/>
    <w:rsid w:val="00F81529"/>
    <w:rsid w:val="00F81854"/>
    <w:rsid w:val="00F8226D"/>
    <w:rsid w:val="00F83A41"/>
    <w:rsid w:val="00FC0BA2"/>
    <w:rsid w:val="00FC31C8"/>
    <w:rsid w:val="00FC49E2"/>
    <w:rsid w:val="00FC7C18"/>
    <w:rsid w:val="00FD2D2C"/>
    <w:rsid w:val="00FD4952"/>
    <w:rsid w:val="00FF5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62AB4"/>
  <w15:chartTrackingRefBased/>
  <w15:docId w15:val="{7135ADFF-4EC5-A741-8A02-76179FA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Термины"/>
    <w:qFormat/>
    <w:rsid w:val="00BC1383"/>
    <w:pPr>
      <w:spacing w:line="360" w:lineRule="auto"/>
      <w:ind w:firstLine="709"/>
      <w:jc w:val="both"/>
    </w:pPr>
    <w:rPr>
      <w:rFonts w:ascii="Times New Roman" w:hAnsi="Times New Roman"/>
      <w:sz w:val="24"/>
      <w:szCs w:val="22"/>
      <w:lang w:eastAsia="en-US"/>
    </w:rPr>
  </w:style>
  <w:style w:type="paragraph" w:styleId="11">
    <w:name w:val="heading 1"/>
    <w:basedOn w:val="2"/>
    <w:link w:val="12"/>
    <w:qFormat/>
    <w:rsid w:val="00183653"/>
    <w:pPr>
      <w:ind w:firstLine="0"/>
      <w:outlineLvl w:val="0"/>
    </w:pPr>
  </w:style>
  <w:style w:type="paragraph" w:styleId="2">
    <w:name w:val="heading 2"/>
    <w:aliases w:val="Наим. подраздела"/>
    <w:basedOn w:val="a0"/>
    <w:next w:val="a"/>
    <w:link w:val="20"/>
    <w:unhideWhenUsed/>
    <w:qFormat/>
    <w:rsid w:val="002F7719"/>
    <w:pPr>
      <w:outlineLvl w:val="1"/>
    </w:pPr>
  </w:style>
  <w:style w:type="paragraph" w:styleId="3">
    <w:name w:val="heading 3"/>
    <w:basedOn w:val="a"/>
    <w:next w:val="a"/>
    <w:link w:val="30"/>
    <w:unhideWhenUsed/>
    <w:qFormat/>
    <w:rsid w:val="0034590E"/>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qFormat/>
    <w:rsid w:val="0034590E"/>
    <w:pPr>
      <w:keepNext/>
      <w:keepLines/>
      <w:spacing w:before="40" w:line="288" w:lineRule="auto"/>
      <w:ind w:firstLine="567"/>
      <w:outlineLvl w:val="3"/>
    </w:pPr>
    <w:rPr>
      <w:rFonts w:ascii="Calibri Light" w:eastAsia="Times New Roman" w:hAnsi="Calibri Light"/>
      <w:i/>
      <w:iCs/>
      <w:color w:val="2E74B5"/>
      <w:sz w:val="22"/>
    </w:rPr>
  </w:style>
  <w:style w:type="paragraph" w:styleId="5">
    <w:name w:val="heading 5"/>
    <w:basedOn w:val="a"/>
    <w:next w:val="a"/>
    <w:link w:val="50"/>
    <w:qFormat/>
    <w:rsid w:val="0034590E"/>
    <w:pPr>
      <w:keepNext/>
      <w:keepLines/>
      <w:spacing w:before="200" w:line="288" w:lineRule="auto"/>
      <w:ind w:firstLine="567"/>
      <w:outlineLvl w:val="4"/>
    </w:pPr>
    <w:rPr>
      <w:rFonts w:ascii="Calibri Light" w:eastAsia="Times New Roman" w:hAnsi="Calibri Light"/>
      <w:color w:val="1F4D78"/>
      <w:sz w:val="22"/>
    </w:rPr>
  </w:style>
  <w:style w:type="paragraph" w:styleId="6">
    <w:name w:val="heading 6"/>
    <w:basedOn w:val="a"/>
    <w:next w:val="a"/>
    <w:link w:val="60"/>
    <w:qFormat/>
    <w:rsid w:val="0034590E"/>
    <w:pPr>
      <w:keepNext/>
      <w:autoSpaceDE w:val="0"/>
      <w:autoSpaceDN w:val="0"/>
      <w:adjustRightInd w:val="0"/>
      <w:spacing w:line="480" w:lineRule="auto"/>
      <w:jc w:val="left"/>
      <w:outlineLvl w:val="5"/>
    </w:pPr>
    <w:rPr>
      <w:rFonts w:eastAsia="Times New Roman"/>
      <w:i/>
      <w:iCs/>
      <w:szCs w:val="24"/>
      <w:lang w:val="en-US" w:eastAsia="ru-RU"/>
    </w:rPr>
  </w:style>
  <w:style w:type="paragraph" w:styleId="7">
    <w:name w:val="heading 7"/>
    <w:basedOn w:val="a"/>
    <w:next w:val="a"/>
    <w:link w:val="70"/>
    <w:qFormat/>
    <w:rsid w:val="0034590E"/>
    <w:pPr>
      <w:keepNext/>
      <w:autoSpaceDE w:val="0"/>
      <w:autoSpaceDN w:val="0"/>
      <w:adjustRightInd w:val="0"/>
      <w:jc w:val="left"/>
      <w:outlineLvl w:val="6"/>
    </w:pPr>
    <w:rPr>
      <w:rFonts w:ascii="Arial" w:eastAsia="Times New Roman" w:hAnsi="Arial" w:cs="Arial"/>
      <w:b/>
      <w:bCs/>
      <w:sz w:val="28"/>
      <w:szCs w:val="28"/>
      <w:lang w:eastAsia="ru-RU"/>
    </w:rPr>
  </w:style>
  <w:style w:type="paragraph" w:styleId="8">
    <w:name w:val="heading 8"/>
    <w:basedOn w:val="a"/>
    <w:next w:val="a"/>
    <w:link w:val="80"/>
    <w:qFormat/>
    <w:rsid w:val="0034590E"/>
    <w:pPr>
      <w:keepNext/>
      <w:keepLines/>
      <w:spacing w:before="200" w:line="240" w:lineRule="auto"/>
      <w:ind w:firstLine="0"/>
      <w:jc w:val="left"/>
      <w:outlineLvl w:val="7"/>
    </w:pPr>
    <w:rPr>
      <w:rFonts w:ascii="Calibri" w:eastAsia="SimSun" w:hAnsi="Calibri"/>
      <w:color w:val="6F6F74"/>
      <w:sz w:val="20"/>
      <w:szCs w:val="20"/>
      <w:lang w:eastAsia="ru-RU"/>
    </w:rPr>
  </w:style>
  <w:style w:type="paragraph" w:styleId="9">
    <w:name w:val="heading 9"/>
    <w:basedOn w:val="a"/>
    <w:next w:val="a"/>
    <w:link w:val="90"/>
    <w:qFormat/>
    <w:rsid w:val="0034590E"/>
    <w:pPr>
      <w:keepNext/>
      <w:keepLines/>
      <w:spacing w:before="200" w:line="240" w:lineRule="auto"/>
      <w:ind w:firstLine="0"/>
      <w:jc w:val="left"/>
      <w:outlineLvl w:val="8"/>
    </w:pPr>
    <w:rPr>
      <w:rFonts w:ascii="Calibri" w:eastAsia="SimSun" w:hAnsi="Calibri"/>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rsid w:val="00C15E9F"/>
  </w:style>
  <w:style w:type="character" w:customStyle="1" w:styleId="a5">
    <w:name w:val="Нижний колонтитул Знак"/>
    <w:basedOn w:val="a1"/>
    <w:rsid w:val="00C15E9F"/>
  </w:style>
  <w:style w:type="character" w:customStyle="1" w:styleId="apple-converted-space">
    <w:name w:val="apple-converted-space"/>
    <w:basedOn w:val="a1"/>
    <w:rsid w:val="004B3C53"/>
  </w:style>
  <w:style w:type="character" w:customStyle="1" w:styleId="-">
    <w:name w:val="Интернет-ссылка"/>
    <w:uiPriority w:val="99"/>
    <w:unhideWhenUsed/>
    <w:rsid w:val="004B3C53"/>
    <w:rPr>
      <w:color w:val="0000FF"/>
      <w:u w:val="single"/>
    </w:rPr>
  </w:style>
  <w:style w:type="character" w:customStyle="1" w:styleId="12">
    <w:name w:val="Заголовок 1 Знак"/>
    <w:link w:val="11"/>
    <w:qFormat/>
    <w:rsid w:val="00183653"/>
    <w:rPr>
      <w:rFonts w:ascii="Times New Roman" w:hAnsi="Times New Roman" w:cs="Times New Roman"/>
      <w:b/>
      <w:sz w:val="24"/>
      <w:szCs w:val="24"/>
      <w:u w:val="single"/>
    </w:rPr>
  </w:style>
  <w:style w:type="character" w:customStyle="1" w:styleId="a6">
    <w:name w:val="Текст выноски Знак"/>
    <w:uiPriority w:val="99"/>
    <w:qFormat/>
    <w:rsid w:val="00E9341B"/>
    <w:rPr>
      <w:rFonts w:ascii="Tahoma" w:hAnsi="Tahoma" w:cs="Tahoma"/>
      <w:sz w:val="16"/>
      <w:szCs w:val="16"/>
    </w:rPr>
  </w:style>
  <w:style w:type="character" w:customStyle="1" w:styleId="a7">
    <w:name w:val="Подзаголовок Знак"/>
    <w:uiPriority w:val="11"/>
    <w:rsid w:val="00181EC4"/>
    <w:rPr>
      <w:rFonts w:ascii="Times New Roman" w:hAnsi="Times New Roman" w:cs="Times New Roman"/>
      <w:b/>
      <w:sz w:val="24"/>
      <w:szCs w:val="24"/>
      <w:u w:val="single"/>
    </w:rPr>
  </w:style>
  <w:style w:type="character" w:styleId="a8">
    <w:name w:val="Subtle Reference"/>
    <w:uiPriority w:val="31"/>
    <w:qFormat/>
    <w:rsid w:val="00181EC4"/>
    <w:rPr>
      <w:rFonts w:ascii="Times New Roman" w:hAnsi="Times New Roman" w:cs="Times New Roman"/>
      <w:b/>
      <w:sz w:val="24"/>
      <w:szCs w:val="24"/>
    </w:rPr>
  </w:style>
  <w:style w:type="character" w:customStyle="1" w:styleId="a9">
    <w:name w:val="Абзац списка Знак"/>
    <w:basedOn w:val="a1"/>
    <w:uiPriority w:val="34"/>
    <w:rsid w:val="00300F50"/>
  </w:style>
  <w:style w:type="character" w:customStyle="1" w:styleId="aa">
    <w:name w:val="Без интервала Знак"/>
    <w:uiPriority w:val="1"/>
    <w:rsid w:val="008B1499"/>
    <w:rPr>
      <w:rFonts w:ascii="Times New Roman" w:hAnsi="Times New Roman" w:cs="Times New Roman"/>
      <w:sz w:val="24"/>
      <w:szCs w:val="24"/>
    </w:rPr>
  </w:style>
  <w:style w:type="character" w:customStyle="1" w:styleId="ab">
    <w:name w:val="УД Знак"/>
    <w:rsid w:val="00300F50"/>
    <w:rPr>
      <w:rFonts w:ascii="Times New Roman" w:hAnsi="Times New Roman" w:cs="Times New Roman"/>
      <w:b/>
      <w:sz w:val="24"/>
      <w:szCs w:val="24"/>
    </w:rPr>
  </w:style>
  <w:style w:type="character" w:customStyle="1" w:styleId="ac">
    <w:name w:val="Ком Знак"/>
    <w:rsid w:val="008B1499"/>
    <w:rPr>
      <w:rFonts w:ascii="Times New Roman" w:hAnsi="Times New Roman" w:cs="Times New Roman"/>
      <w:i/>
      <w:sz w:val="24"/>
      <w:szCs w:val="24"/>
    </w:rPr>
  </w:style>
  <w:style w:type="character" w:styleId="ad">
    <w:name w:val="annotation reference"/>
    <w:unhideWhenUsed/>
    <w:qFormat/>
    <w:rsid w:val="009C1F13"/>
    <w:rPr>
      <w:sz w:val="16"/>
      <w:szCs w:val="16"/>
    </w:rPr>
  </w:style>
  <w:style w:type="character" w:customStyle="1" w:styleId="ae">
    <w:name w:val="Текст примечания Знак"/>
    <w:uiPriority w:val="99"/>
    <w:qFormat/>
    <w:rsid w:val="009C1F13"/>
    <w:rPr>
      <w:rFonts w:ascii="Times New Roman" w:hAnsi="Times New Roman"/>
      <w:sz w:val="20"/>
      <w:szCs w:val="20"/>
    </w:rPr>
  </w:style>
  <w:style w:type="character" w:customStyle="1" w:styleId="af">
    <w:name w:val="Тема примечания Знак"/>
    <w:uiPriority w:val="99"/>
    <w:qFormat/>
    <w:rsid w:val="009C1F13"/>
    <w:rPr>
      <w:rFonts w:ascii="Times New Roman" w:hAnsi="Times New Roman"/>
      <w:b/>
      <w:bCs/>
      <w:sz w:val="20"/>
      <w:szCs w:val="20"/>
    </w:rPr>
  </w:style>
  <w:style w:type="character" w:customStyle="1" w:styleId="af0">
    <w:name w:val="Название Знак"/>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1">
    <w:name w:val="Текст сноски Знак"/>
    <w:rsid w:val="004008B9"/>
    <w:rPr>
      <w:rFonts w:ascii="Calibri" w:eastAsia="Calibri" w:hAnsi="Calibri" w:cs="Times New Roman"/>
      <w:sz w:val="20"/>
      <w:szCs w:val="20"/>
    </w:rPr>
  </w:style>
  <w:style w:type="character" w:styleId="af2">
    <w:name w:val="footnote reference"/>
    <w:unhideWhenUsed/>
    <w:qFormat/>
    <w:rsid w:val="004008B9"/>
    <w:rPr>
      <w:vertAlign w:val="superscript"/>
    </w:rPr>
  </w:style>
  <w:style w:type="character" w:customStyle="1" w:styleId="20">
    <w:name w:val="Заголовок 2 Знак"/>
    <w:aliases w:val="Наим. подраздела Знак"/>
    <w:link w:val="2"/>
    <w:qFormat/>
    <w:rsid w:val="002F7719"/>
    <w:rPr>
      <w:rFonts w:ascii="Times New Roman" w:hAnsi="Times New Roman" w:cs="Times New Roman"/>
      <w:b/>
      <w:sz w:val="24"/>
      <w:szCs w:val="24"/>
      <w:u w:val="single"/>
    </w:rPr>
  </w:style>
  <w:style w:type="character" w:customStyle="1" w:styleId="Normal1">
    <w:name w:val="Normal1 Знак"/>
    <w:uiPriority w:val="99"/>
    <w:rsid w:val="003F4166"/>
    <w:rPr>
      <w:rFonts w:ascii="Times New Roman" w:eastAsia="Times New Roman" w:hAnsi="Times New Roman" w:cs="Times New Roman"/>
      <w:sz w:val="20"/>
      <w:szCs w:val="20"/>
      <w:lang w:eastAsia="ru-RU"/>
    </w:rPr>
  </w:style>
  <w:style w:type="character" w:customStyle="1" w:styleId="13">
    <w:name w:val="Стиль1 Знак"/>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3">
    <w:name w:val="Ссылка указателя"/>
    <w:qFormat/>
    <w:rsid w:val="00275A41"/>
  </w:style>
  <w:style w:type="paragraph" w:customStyle="1" w:styleId="14">
    <w:name w:val="Заголовок1"/>
    <w:basedOn w:val="a"/>
    <w:next w:val="af4"/>
    <w:rsid w:val="00275A41"/>
    <w:pPr>
      <w:keepNext/>
      <w:spacing w:before="240" w:after="120"/>
    </w:pPr>
    <w:rPr>
      <w:rFonts w:ascii="Liberation Sans" w:eastAsia="Microsoft YaHei" w:hAnsi="Liberation Sans" w:cs="Mangal"/>
      <w:sz w:val="28"/>
      <w:szCs w:val="28"/>
    </w:rPr>
  </w:style>
  <w:style w:type="paragraph" w:styleId="af4">
    <w:name w:val="Body Text"/>
    <w:basedOn w:val="a"/>
    <w:link w:val="af5"/>
    <w:rsid w:val="00275A41"/>
    <w:pPr>
      <w:spacing w:after="140" w:line="288" w:lineRule="auto"/>
    </w:pPr>
  </w:style>
  <w:style w:type="paragraph" w:styleId="af6">
    <w:name w:val="List"/>
    <w:basedOn w:val="af4"/>
    <w:rsid w:val="00275A41"/>
    <w:rPr>
      <w:rFonts w:cs="Mangal"/>
    </w:rPr>
  </w:style>
  <w:style w:type="paragraph" w:styleId="af7">
    <w:name w:val="caption"/>
    <w:basedOn w:val="a"/>
    <w:qFormat/>
    <w:rsid w:val="00275A41"/>
    <w:pPr>
      <w:suppressLineNumbers/>
      <w:spacing w:before="120" w:after="120"/>
    </w:pPr>
    <w:rPr>
      <w:rFonts w:cs="Mangal"/>
      <w:i/>
      <w:iCs/>
      <w:szCs w:val="24"/>
    </w:rPr>
  </w:style>
  <w:style w:type="paragraph" w:styleId="af8">
    <w:name w:val="index heading"/>
    <w:basedOn w:val="a"/>
    <w:rsid w:val="00275A41"/>
    <w:pPr>
      <w:suppressLineNumbers/>
    </w:pPr>
    <w:rPr>
      <w:rFonts w:cs="Mangal"/>
    </w:rPr>
  </w:style>
  <w:style w:type="paragraph" w:styleId="af9">
    <w:name w:val="header"/>
    <w:basedOn w:val="a"/>
    <w:link w:val="15"/>
    <w:unhideWhenUsed/>
    <w:qFormat/>
    <w:rsid w:val="00C15E9F"/>
    <w:pPr>
      <w:tabs>
        <w:tab w:val="center" w:pos="4677"/>
        <w:tab w:val="right" w:pos="9355"/>
      </w:tabs>
      <w:spacing w:line="240" w:lineRule="auto"/>
    </w:pPr>
  </w:style>
  <w:style w:type="paragraph" w:styleId="afa">
    <w:name w:val="footer"/>
    <w:basedOn w:val="a"/>
    <w:link w:val="16"/>
    <w:unhideWhenUsed/>
    <w:qFormat/>
    <w:rsid w:val="00C15E9F"/>
    <w:pPr>
      <w:tabs>
        <w:tab w:val="center" w:pos="4677"/>
        <w:tab w:val="right" w:pos="9355"/>
      </w:tabs>
      <w:spacing w:line="240" w:lineRule="auto"/>
    </w:pPr>
  </w:style>
  <w:style w:type="paragraph" w:customStyle="1" w:styleId="afb">
    <w:name w:val="Обычный (веб)"/>
    <w:basedOn w:val="a"/>
    <w:link w:val="afc"/>
    <w:uiPriority w:val="99"/>
    <w:unhideWhenUsed/>
    <w:qFormat/>
    <w:rsid w:val="00E80D38"/>
    <w:pPr>
      <w:spacing w:before="100" w:beforeAutospacing="1" w:after="100" w:afterAutospacing="1"/>
      <w:ind w:firstLine="0"/>
    </w:pPr>
    <w:rPr>
      <w:rFonts w:eastAsia="Times New Roman"/>
      <w:szCs w:val="24"/>
      <w:lang w:eastAsia="ru-RU"/>
    </w:rPr>
  </w:style>
  <w:style w:type="paragraph" w:styleId="afd">
    <w:name w:val="List Paragraph"/>
    <w:basedOn w:val="a"/>
    <w:link w:val="17"/>
    <w:uiPriority w:val="34"/>
    <w:qFormat/>
    <w:rsid w:val="006B7CAB"/>
    <w:pPr>
      <w:ind w:left="720"/>
      <w:contextualSpacing/>
    </w:pPr>
  </w:style>
  <w:style w:type="paragraph" w:customStyle="1" w:styleId="desc">
    <w:name w:val="desc"/>
    <w:basedOn w:val="a"/>
    <w:rsid w:val="006B7CAB"/>
    <w:pPr>
      <w:spacing w:beforeAutospacing="1" w:afterAutospacing="1" w:line="240" w:lineRule="auto"/>
    </w:pPr>
    <w:rPr>
      <w:rFonts w:eastAsia="Times New Roman"/>
      <w:szCs w:val="24"/>
      <w:lang w:eastAsia="ru-RU"/>
    </w:rPr>
  </w:style>
  <w:style w:type="paragraph" w:styleId="afe">
    <w:name w:val="TOC Heading"/>
    <w:basedOn w:val="11"/>
    <w:uiPriority w:val="39"/>
    <w:unhideWhenUsed/>
    <w:qFormat/>
    <w:rsid w:val="00E9341B"/>
    <w:pPr>
      <w:spacing w:line="276" w:lineRule="auto"/>
    </w:pPr>
  </w:style>
  <w:style w:type="paragraph" w:styleId="aff">
    <w:name w:val="Balloon Text"/>
    <w:basedOn w:val="a"/>
    <w:link w:val="18"/>
    <w:unhideWhenUsed/>
    <w:qFormat/>
    <w:rsid w:val="00E9341B"/>
    <w:pPr>
      <w:spacing w:line="240" w:lineRule="auto"/>
    </w:pPr>
    <w:rPr>
      <w:rFonts w:ascii="Tahoma" w:hAnsi="Tahoma" w:cs="Tahoma"/>
      <w:sz w:val="16"/>
      <w:szCs w:val="16"/>
    </w:rPr>
  </w:style>
  <w:style w:type="paragraph" w:styleId="19">
    <w:name w:val="toc 1"/>
    <w:basedOn w:val="a"/>
    <w:autoRedefine/>
    <w:uiPriority w:val="39"/>
    <w:unhideWhenUsed/>
    <w:qFormat/>
    <w:rsid w:val="00186C35"/>
    <w:pPr>
      <w:tabs>
        <w:tab w:val="right" w:leader="dot" w:pos="9345"/>
      </w:tabs>
      <w:spacing w:after="100"/>
      <w:ind w:firstLine="0"/>
    </w:pPr>
  </w:style>
  <w:style w:type="paragraph" w:styleId="a0">
    <w:name w:val="Subtitle"/>
    <w:basedOn w:val="a"/>
    <w:link w:val="1a"/>
    <w:uiPriority w:val="11"/>
    <w:qFormat/>
    <w:rsid w:val="00181EC4"/>
    <w:pPr>
      <w:suppressAutoHyphens/>
      <w:spacing w:before="240"/>
    </w:pPr>
    <w:rPr>
      <w:b/>
      <w:szCs w:val="24"/>
      <w:u w:val="single"/>
    </w:rPr>
  </w:style>
  <w:style w:type="paragraph" w:styleId="aff0">
    <w:name w:val="No Spacing"/>
    <w:basedOn w:val="afd"/>
    <w:uiPriority w:val="1"/>
    <w:qFormat/>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
    <w:link w:val="1b"/>
    <w:unhideWhenUsed/>
    <w:qFormat/>
    <w:rsid w:val="009C1F13"/>
    <w:pPr>
      <w:spacing w:line="240" w:lineRule="auto"/>
    </w:pPr>
    <w:rPr>
      <w:sz w:val="20"/>
      <w:szCs w:val="20"/>
    </w:rPr>
  </w:style>
  <w:style w:type="paragraph" w:styleId="aff4">
    <w:name w:val="annotation subject"/>
    <w:basedOn w:val="aff3"/>
    <w:link w:val="1c"/>
    <w:unhideWhenUsed/>
    <w:qFormat/>
    <w:rsid w:val="009C1F13"/>
    <w:rPr>
      <w:b/>
      <w:bCs/>
    </w:rPr>
  </w:style>
  <w:style w:type="paragraph" w:customStyle="1" w:styleId="aff5">
    <w:name w:val="Название"/>
    <w:basedOn w:val="a"/>
    <w:uiPriority w:val="10"/>
    <w:rsid w:val="00A43933"/>
    <w:pPr>
      <w:contextualSpacing/>
      <w:jc w:val="center"/>
    </w:pPr>
    <w:rPr>
      <w:rFonts w:eastAsia="Times New Roman"/>
      <w:spacing w:val="-10"/>
      <w:sz w:val="28"/>
      <w:szCs w:val="56"/>
      <w:u w:val="single"/>
    </w:rPr>
  </w:style>
  <w:style w:type="paragraph" w:styleId="21">
    <w:name w:val="toc 2"/>
    <w:basedOn w:val="a"/>
    <w:autoRedefine/>
    <w:uiPriority w:val="39"/>
    <w:qFormat/>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
    <w:link w:val="1d"/>
    <w:unhideWhenUsed/>
    <w:qFormat/>
    <w:rsid w:val="004008B9"/>
    <w:pPr>
      <w:spacing w:after="200" w:line="276" w:lineRule="auto"/>
    </w:pPr>
    <w:rPr>
      <w:rFonts w:ascii="Calibri" w:hAnsi="Calibri"/>
      <w:sz w:val="20"/>
      <w:szCs w:val="20"/>
    </w:rPr>
  </w:style>
  <w:style w:type="paragraph" w:customStyle="1" w:styleId="1e">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
    <w:uiPriority w:val="99"/>
    <w:qFormat/>
    <w:rsid w:val="00275A41"/>
  </w:style>
  <w:style w:type="table" w:styleId="aff8">
    <w:name w:val="Table Grid"/>
    <w:basedOn w:val="a2"/>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1"/>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9">
    <w:name w:val="Strong"/>
    <w:uiPriority w:val="22"/>
    <w:qFormat/>
    <w:rsid w:val="009E685D"/>
    <w:rPr>
      <w:b/>
      <w:bCs/>
    </w:rPr>
  </w:style>
  <w:style w:type="character" w:styleId="affa">
    <w:name w:val="Emphasis"/>
    <w:uiPriority w:val="20"/>
    <w:qFormat/>
    <w:rsid w:val="002F7719"/>
    <w:rPr>
      <w:i/>
      <w:iCs/>
    </w:rPr>
  </w:style>
  <w:style w:type="character" w:styleId="affb">
    <w:name w:val="Hyperlink"/>
    <w:uiPriority w:val="99"/>
    <w:unhideWhenUsed/>
    <w:rsid w:val="00275A41"/>
    <w:rPr>
      <w:color w:val="0000FF"/>
      <w:u w:val="single"/>
    </w:rPr>
  </w:style>
  <w:style w:type="paragraph" w:customStyle="1" w:styleId="1">
    <w:name w:val="Стиль1"/>
    <w:basedOn w:val="a"/>
    <w:link w:val="110"/>
    <w:rsid w:val="00EE59C2"/>
    <w:pPr>
      <w:numPr>
        <w:numId w:val="1"/>
      </w:numPr>
      <w:tabs>
        <w:tab w:val="num" w:pos="360"/>
      </w:tabs>
      <w:spacing w:before="240"/>
      <w:ind w:left="709" w:hanging="425"/>
    </w:pPr>
    <w:rPr>
      <w:rFonts w:eastAsia="Times New Roman"/>
    </w:rPr>
  </w:style>
  <w:style w:type="character" w:customStyle="1" w:styleId="110">
    <w:name w:val="Стиль1 Знак1"/>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c">
    <w:name w:val="Revision"/>
    <w:hidden/>
    <w:uiPriority w:val="99"/>
    <w:rsid w:val="00AE3406"/>
    <w:rPr>
      <w:rFonts w:ascii="Times New Roman" w:hAnsi="Times New Roman"/>
      <w:sz w:val="24"/>
      <w:szCs w:val="22"/>
      <w:lang w:eastAsia="en-US"/>
    </w:rPr>
  </w:style>
  <w:style w:type="paragraph" w:customStyle="1" w:styleId="affd">
    <w:name w:val="Список ключевых слов"/>
    <w:basedOn w:val="afd"/>
    <w:link w:val="affe"/>
    <w:qFormat/>
    <w:rsid w:val="0021676E"/>
    <w:pPr>
      <w:tabs>
        <w:tab w:val="num" w:pos="360"/>
      </w:tabs>
      <w:ind w:left="0"/>
    </w:pPr>
    <w:rPr>
      <w:szCs w:val="28"/>
    </w:rPr>
  </w:style>
  <w:style w:type="paragraph" w:customStyle="1" w:styleId="afff">
    <w:name w:val="Сокращения"/>
    <w:basedOn w:val="a"/>
    <w:link w:val="afff0"/>
    <w:qFormat/>
    <w:rsid w:val="0021676E"/>
  </w:style>
  <w:style w:type="character" w:customStyle="1" w:styleId="17">
    <w:name w:val="Абзац списка Знак1"/>
    <w:link w:val="afd"/>
    <w:uiPriority w:val="34"/>
    <w:rsid w:val="0021676E"/>
    <w:rPr>
      <w:rFonts w:ascii="Times New Roman" w:hAnsi="Times New Roman"/>
      <w:sz w:val="24"/>
    </w:rPr>
  </w:style>
  <w:style w:type="character" w:customStyle="1" w:styleId="affe">
    <w:name w:val="Список ключевых слов Знак"/>
    <w:link w:val="affd"/>
    <w:rsid w:val="0021676E"/>
    <w:rPr>
      <w:rFonts w:ascii="Times New Roman" w:hAnsi="Times New Roman"/>
      <w:sz w:val="24"/>
      <w:szCs w:val="28"/>
      <w:lang w:eastAsia="en-US"/>
    </w:rPr>
  </w:style>
  <w:style w:type="paragraph" w:customStyle="1" w:styleId="afff1">
    <w:name w:val="Наим. раздела"/>
    <w:basedOn w:val="CustomContentNormal"/>
    <w:next w:val="a"/>
    <w:link w:val="afff2"/>
    <w:qFormat/>
    <w:rsid w:val="00E80D38"/>
    <w:pPr>
      <w:pageBreakBefore/>
    </w:pPr>
  </w:style>
  <w:style w:type="character" w:customStyle="1" w:styleId="afff0">
    <w:name w:val="Сокращения Знак"/>
    <w:link w:val="afff"/>
    <w:rsid w:val="0021676E"/>
    <w:rPr>
      <w:rFonts w:ascii="Times New Roman" w:hAnsi="Times New Roman"/>
      <w:sz w:val="24"/>
    </w:rPr>
  </w:style>
  <w:style w:type="paragraph" w:customStyle="1" w:styleId="1f0">
    <w:name w:val="Текст в 1 разделе"/>
    <w:basedOn w:val="a"/>
    <w:link w:val="1f1"/>
    <w:qFormat/>
    <w:rsid w:val="0021676E"/>
    <w:rPr>
      <w:rFonts w:eastAsia="Times New Roman"/>
      <w:szCs w:val="24"/>
    </w:rPr>
  </w:style>
  <w:style w:type="character" w:customStyle="1" w:styleId="CustomContentNormal0">
    <w:name w:val="Custom Content Normal Знак"/>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link w:val="afff1"/>
    <w:rsid w:val="00E80D38"/>
    <w:rPr>
      <w:rFonts w:ascii="Times New Roman" w:eastAsia="Sans" w:hAnsi="Times New Roman"/>
      <w:b/>
      <w:sz w:val="28"/>
      <w:szCs w:val="22"/>
      <w:lang w:eastAsia="en-US"/>
    </w:rPr>
  </w:style>
  <w:style w:type="paragraph" w:customStyle="1" w:styleId="afff3">
    <w:name w:val="Таблицы"/>
    <w:basedOn w:val="afb"/>
    <w:link w:val="afff4"/>
    <w:qFormat/>
    <w:rsid w:val="0021676E"/>
    <w:pPr>
      <w:spacing w:line="240" w:lineRule="auto"/>
    </w:pPr>
  </w:style>
  <w:style w:type="character" w:customStyle="1" w:styleId="1f1">
    <w:name w:val="Текст в 1 разделе Знак"/>
    <w:link w:val="1f0"/>
    <w:rsid w:val="0021676E"/>
    <w:rPr>
      <w:rFonts w:ascii="Times New Roman" w:eastAsia="Times New Roman" w:hAnsi="Times New Roman" w:cs="Times New Roman"/>
      <w:sz w:val="24"/>
      <w:szCs w:val="24"/>
    </w:rPr>
  </w:style>
  <w:style w:type="paragraph" w:customStyle="1" w:styleId="afff5">
    <w:name w:val="Наим. табл"/>
    <w:basedOn w:val="a"/>
    <w:link w:val="afff6"/>
    <w:qFormat/>
    <w:rsid w:val="0021676E"/>
  </w:style>
  <w:style w:type="character" w:customStyle="1" w:styleId="afc">
    <w:name w:val="Обычный (веб) Знак"/>
    <w:link w:val="afb"/>
    <w:rsid w:val="00E80D38"/>
    <w:rPr>
      <w:rFonts w:ascii="Times New Roman" w:eastAsia="Times New Roman" w:hAnsi="Times New Roman"/>
      <w:sz w:val="24"/>
      <w:szCs w:val="24"/>
    </w:rPr>
  </w:style>
  <w:style w:type="character" w:customStyle="1" w:styleId="afff4">
    <w:name w:val="Таблицы Знак"/>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
    <w:link w:val="2-60"/>
    <w:qFormat/>
    <w:rsid w:val="00334F6C"/>
    <w:rPr>
      <w:szCs w:val="24"/>
    </w:rPr>
  </w:style>
  <w:style w:type="character" w:customStyle="1" w:styleId="afff6">
    <w:name w:val="Наим. табл Знак"/>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link w:val="afff7"/>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f0"/>
    <w:link w:val="afffb"/>
    <w:uiPriority w:val="99"/>
    <w:qFormat/>
    <w:rsid w:val="00094ED6"/>
    <w:rPr>
      <w:i/>
      <w:color w:val="FF0000"/>
      <w:sz w:val="18"/>
    </w:rPr>
  </w:style>
  <w:style w:type="character" w:customStyle="1" w:styleId="afffb">
    <w:name w:val="Памятки Знак"/>
    <w:link w:val="afffa"/>
    <w:uiPriority w:val="99"/>
    <w:rsid w:val="00094ED6"/>
    <w:rPr>
      <w:rFonts w:ascii="Times New Roman" w:eastAsia="Times New Roman" w:hAnsi="Times New Roman" w:cs="Times New Roman"/>
      <w:i/>
      <w:color w:val="FF0000"/>
      <w:sz w:val="18"/>
      <w:szCs w:val="24"/>
    </w:rPr>
  </w:style>
  <w:style w:type="table" w:customStyle="1" w:styleId="71">
    <w:name w:val="Сетка таблицы7"/>
    <w:basedOn w:val="a2"/>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basedOn w:val="a2"/>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f8"/>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ссылка"/>
    <w:basedOn w:val="a"/>
    <w:link w:val="afffd"/>
    <w:qFormat/>
    <w:rsid w:val="00A91645"/>
    <w:rPr>
      <w:rFonts w:eastAsia="Times New Roman"/>
      <w:i/>
      <w:color w:val="0070C0"/>
      <w:szCs w:val="24"/>
      <w:u w:val="single"/>
    </w:rPr>
  </w:style>
  <w:style w:type="character" w:customStyle="1" w:styleId="afffd">
    <w:name w:val="ссылка Знак"/>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link w:val="1f3"/>
    <w:rsid w:val="00C4630C"/>
    <w:rPr>
      <w:rFonts w:ascii="Times New Roman" w:eastAsia="Times New Roman" w:hAnsi="Times New Roman" w:cs="Times New Roman"/>
      <w:sz w:val="28"/>
      <w:szCs w:val="28"/>
      <w:shd w:val="clear" w:color="auto" w:fill="FFFFFF"/>
    </w:rPr>
  </w:style>
  <w:style w:type="character" w:customStyle="1" w:styleId="22">
    <w:name w:val="Заголовок №2_"/>
    <w:link w:val="23"/>
    <w:rsid w:val="00C4630C"/>
    <w:rPr>
      <w:rFonts w:ascii="Times New Roman" w:eastAsia="Times New Roman" w:hAnsi="Times New Roman" w:cs="Times New Roman"/>
      <w:b/>
      <w:bCs/>
      <w:sz w:val="28"/>
      <w:szCs w:val="28"/>
      <w:shd w:val="clear" w:color="auto" w:fill="FFFFFF"/>
    </w:rPr>
  </w:style>
  <w:style w:type="paragraph" w:customStyle="1" w:styleId="1f3">
    <w:name w:val="Основной текст1"/>
    <w:basedOn w:val="a"/>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styleId="affff">
    <w:name w:val="Normal (Web)"/>
    <w:basedOn w:val="a"/>
    <w:link w:val="affff0"/>
    <w:uiPriority w:val="99"/>
    <w:unhideWhenUsed/>
    <w:qFormat/>
    <w:rsid w:val="004F09AF"/>
    <w:pPr>
      <w:spacing w:beforeAutospacing="1" w:afterAutospacing="1" w:line="288" w:lineRule="auto"/>
    </w:pPr>
    <w:rPr>
      <w:rFonts w:eastAsia="Times New Roman"/>
      <w:szCs w:val="24"/>
      <w:lang w:eastAsia="ru-RU"/>
    </w:rPr>
  </w:style>
  <w:style w:type="character" w:customStyle="1" w:styleId="affff0">
    <w:name w:val="Обычный (Интернет) Знак"/>
    <w:basedOn w:val="a1"/>
    <w:link w:val="affff"/>
    <w:uiPriority w:val="99"/>
    <w:rsid w:val="004F09AF"/>
    <w:rPr>
      <w:rFonts w:ascii="Times New Roman" w:eastAsia="Times New Roman" w:hAnsi="Times New Roman"/>
      <w:sz w:val="24"/>
      <w:szCs w:val="24"/>
    </w:rPr>
  </w:style>
  <w:style w:type="paragraph" w:customStyle="1" w:styleId="affff1">
    <w:name w:val="рек"/>
    <w:basedOn w:val="afd"/>
    <w:link w:val="affff2"/>
    <w:qFormat/>
    <w:rsid w:val="00B33232"/>
    <w:pPr>
      <w:tabs>
        <w:tab w:val="num" w:pos="360"/>
        <w:tab w:val="left" w:pos="1134"/>
      </w:tabs>
      <w:spacing w:before="240"/>
      <w:contextualSpacing w:val="0"/>
    </w:pPr>
    <w:rPr>
      <w:rFonts w:eastAsiaTheme="minorHAnsi"/>
      <w:szCs w:val="24"/>
    </w:rPr>
  </w:style>
  <w:style w:type="character" w:customStyle="1" w:styleId="affff2">
    <w:name w:val="рек Знак"/>
    <w:basedOn w:val="a9"/>
    <w:link w:val="affff1"/>
    <w:rsid w:val="00B33232"/>
    <w:rPr>
      <w:rFonts w:ascii="Times New Roman" w:eastAsiaTheme="minorHAnsi" w:hAnsi="Times New Roman"/>
      <w:sz w:val="24"/>
      <w:szCs w:val="24"/>
      <w:lang w:eastAsia="en-US"/>
    </w:rPr>
  </w:style>
  <w:style w:type="character" w:customStyle="1" w:styleId="1b">
    <w:name w:val="Текст примечания Знак1"/>
    <w:basedOn w:val="a1"/>
    <w:link w:val="aff3"/>
    <w:uiPriority w:val="99"/>
    <w:rsid w:val="00F83A41"/>
    <w:rPr>
      <w:rFonts w:ascii="Times New Roman" w:hAnsi="Times New Roman"/>
      <w:lang w:eastAsia="en-US"/>
    </w:rPr>
  </w:style>
  <w:style w:type="character" w:customStyle="1" w:styleId="sokr">
    <w:name w:val="sokr"/>
    <w:rsid w:val="00413554"/>
  </w:style>
  <w:style w:type="paragraph" w:customStyle="1" w:styleId="Normal11">
    <w:name w:val="Normal 1"/>
    <w:rsid w:val="00413554"/>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rPr>
  </w:style>
  <w:style w:type="character" w:styleId="affff3">
    <w:name w:val="FollowedHyperlink"/>
    <w:basedOn w:val="a1"/>
    <w:uiPriority w:val="99"/>
    <w:unhideWhenUsed/>
    <w:rsid w:val="00413554"/>
    <w:rPr>
      <w:color w:val="954F72" w:themeColor="followedHyperlink"/>
      <w:u w:val="single"/>
    </w:rPr>
  </w:style>
  <w:style w:type="paragraph" w:customStyle="1" w:styleId="affff4">
    <w:name w:val="Содержимое таблицы"/>
    <w:basedOn w:val="a"/>
    <w:qFormat/>
    <w:rsid w:val="00321834"/>
    <w:pPr>
      <w:suppressLineNumbers/>
      <w:ind w:firstLine="0"/>
      <w:jc w:val="left"/>
    </w:pPr>
    <w:rPr>
      <w:rFonts w:cs="Tahoma"/>
    </w:rPr>
  </w:style>
  <w:style w:type="table" w:customStyle="1" w:styleId="1f4">
    <w:name w:val="Сетка таблицы светлая1"/>
    <w:basedOn w:val="a2"/>
    <w:uiPriority w:val="40"/>
    <w:rsid w:val="00D71DD0"/>
    <w:rPr>
      <w:rFonts w:asciiTheme="minorHAnsi" w:eastAsiaTheme="minorHAnsi" w:hAnsiTheme="minorHAnsi" w:cstheme="minorBidi"/>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30">
    <w:name w:val="Заголовок 3 Знак"/>
    <w:basedOn w:val="a1"/>
    <w:link w:val="3"/>
    <w:rsid w:val="0034590E"/>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1"/>
    <w:link w:val="4"/>
    <w:rsid w:val="0034590E"/>
    <w:rPr>
      <w:rFonts w:ascii="Calibri Light" w:eastAsia="Times New Roman" w:hAnsi="Calibri Light"/>
      <w:i/>
      <w:iCs/>
      <w:color w:val="2E74B5"/>
      <w:sz w:val="22"/>
      <w:szCs w:val="22"/>
      <w:lang w:eastAsia="en-US"/>
    </w:rPr>
  </w:style>
  <w:style w:type="character" w:customStyle="1" w:styleId="50">
    <w:name w:val="Заголовок 5 Знак"/>
    <w:basedOn w:val="a1"/>
    <w:link w:val="5"/>
    <w:rsid w:val="0034590E"/>
    <w:rPr>
      <w:rFonts w:ascii="Calibri Light" w:eastAsia="Times New Roman" w:hAnsi="Calibri Light"/>
      <w:color w:val="1F4D78"/>
      <w:sz w:val="22"/>
      <w:szCs w:val="22"/>
      <w:lang w:eastAsia="en-US"/>
    </w:rPr>
  </w:style>
  <w:style w:type="character" w:customStyle="1" w:styleId="60">
    <w:name w:val="Заголовок 6 Знак"/>
    <w:basedOn w:val="a1"/>
    <w:link w:val="6"/>
    <w:rsid w:val="0034590E"/>
    <w:rPr>
      <w:rFonts w:ascii="Times New Roman" w:eastAsia="Times New Roman" w:hAnsi="Times New Roman"/>
      <w:i/>
      <w:iCs/>
      <w:sz w:val="24"/>
      <w:szCs w:val="24"/>
      <w:lang w:val="en-US"/>
    </w:rPr>
  </w:style>
  <w:style w:type="character" w:customStyle="1" w:styleId="70">
    <w:name w:val="Заголовок 7 Знак"/>
    <w:basedOn w:val="a1"/>
    <w:link w:val="7"/>
    <w:rsid w:val="0034590E"/>
    <w:rPr>
      <w:rFonts w:ascii="Arial" w:eastAsia="Times New Roman" w:hAnsi="Arial" w:cs="Arial"/>
      <w:b/>
      <w:bCs/>
      <w:sz w:val="28"/>
      <w:szCs w:val="28"/>
    </w:rPr>
  </w:style>
  <w:style w:type="character" w:customStyle="1" w:styleId="80">
    <w:name w:val="Заголовок 8 Знак"/>
    <w:basedOn w:val="a1"/>
    <w:link w:val="8"/>
    <w:rsid w:val="0034590E"/>
    <w:rPr>
      <w:rFonts w:eastAsia="SimSun"/>
      <w:color w:val="6F6F74"/>
    </w:rPr>
  </w:style>
  <w:style w:type="character" w:customStyle="1" w:styleId="90">
    <w:name w:val="Заголовок 9 Знак"/>
    <w:basedOn w:val="a1"/>
    <w:link w:val="9"/>
    <w:rsid w:val="0034590E"/>
    <w:rPr>
      <w:rFonts w:eastAsia="SimSun"/>
      <w:i/>
      <w:iCs/>
      <w:color w:val="404040"/>
    </w:rPr>
  </w:style>
  <w:style w:type="paragraph" w:styleId="affff5">
    <w:name w:val="Title"/>
    <w:aliases w:val="Заголовок мой,Название1"/>
    <w:basedOn w:val="a"/>
    <w:link w:val="affff6"/>
    <w:qFormat/>
    <w:rsid w:val="0034590E"/>
    <w:pPr>
      <w:contextualSpacing/>
      <w:jc w:val="center"/>
    </w:pPr>
    <w:rPr>
      <w:rFonts w:eastAsiaTheme="majorEastAsia" w:cstheme="majorBidi"/>
      <w:spacing w:val="-10"/>
      <w:sz w:val="28"/>
      <w:szCs w:val="56"/>
      <w:u w:val="single"/>
    </w:rPr>
  </w:style>
  <w:style w:type="character" w:customStyle="1" w:styleId="affff6">
    <w:name w:val="Заголовок Знак"/>
    <w:aliases w:val="Заголовок мой Знак,Название1 Знак"/>
    <w:basedOn w:val="a1"/>
    <w:link w:val="affff5"/>
    <w:rsid w:val="0034590E"/>
    <w:rPr>
      <w:rFonts w:ascii="Times New Roman" w:eastAsiaTheme="majorEastAsia" w:hAnsi="Times New Roman" w:cstheme="majorBidi"/>
      <w:spacing w:val="-10"/>
      <w:sz w:val="28"/>
      <w:szCs w:val="56"/>
      <w:u w:val="single"/>
      <w:lang w:eastAsia="en-US"/>
    </w:rPr>
  </w:style>
  <w:style w:type="table" w:customStyle="1" w:styleId="-131">
    <w:name w:val="Список-таблица 1 светлая — акцент 31"/>
    <w:basedOn w:val="a2"/>
    <w:uiPriority w:val="46"/>
    <w:rsid w:val="0034590E"/>
    <w:rPr>
      <w:rFonts w:asciiTheme="minorHAnsi" w:eastAsiaTheme="minorHAnsi" w:hAnsiTheme="minorHAnsi" w:cstheme="minorBidi"/>
      <w:szCs w:val="22"/>
      <w:lang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a"/>
    <w:qFormat/>
    <w:rsid w:val="0034590E"/>
    <w:pPr>
      <w:widowControl w:val="0"/>
      <w:spacing w:line="240" w:lineRule="auto"/>
      <w:ind w:left="103" w:firstLine="0"/>
      <w:jc w:val="left"/>
    </w:pPr>
    <w:rPr>
      <w:rFonts w:ascii="Calibri" w:eastAsia="Times New Roman" w:hAnsi="Calibri" w:cs="Calibri"/>
      <w:sz w:val="22"/>
      <w:lang w:val="en-US"/>
    </w:rPr>
  </w:style>
  <w:style w:type="table" w:customStyle="1" w:styleId="-11">
    <w:name w:val="Таблица-сетка 1 светлая1"/>
    <w:basedOn w:val="a2"/>
    <w:uiPriority w:val="46"/>
    <w:rsid w:val="0034590E"/>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11111">
    <w:name w:val="1 / 1.1 / 1.1.11"/>
    <w:basedOn w:val="a3"/>
    <w:next w:val="111111"/>
    <w:rsid w:val="0034590E"/>
    <w:pPr>
      <w:numPr>
        <w:numId w:val="12"/>
      </w:numPr>
    </w:pPr>
  </w:style>
  <w:style w:type="numbering" w:customStyle="1" w:styleId="1ai1">
    <w:name w:val="1 / a / i1"/>
    <w:basedOn w:val="a3"/>
    <w:next w:val="1ai"/>
    <w:rsid w:val="0034590E"/>
    <w:pPr>
      <w:numPr>
        <w:numId w:val="13"/>
      </w:numPr>
    </w:pPr>
  </w:style>
  <w:style w:type="numbering" w:styleId="111111">
    <w:name w:val="Outline List 2"/>
    <w:basedOn w:val="a3"/>
    <w:uiPriority w:val="99"/>
    <w:semiHidden/>
    <w:unhideWhenUsed/>
    <w:rsid w:val="0034590E"/>
    <w:pPr>
      <w:numPr>
        <w:numId w:val="10"/>
      </w:numPr>
    </w:pPr>
  </w:style>
  <w:style w:type="numbering" w:styleId="1ai">
    <w:name w:val="Outline List 1"/>
    <w:basedOn w:val="a3"/>
    <w:uiPriority w:val="99"/>
    <w:semiHidden/>
    <w:unhideWhenUsed/>
    <w:rsid w:val="0034590E"/>
    <w:pPr>
      <w:numPr>
        <w:numId w:val="11"/>
      </w:numPr>
    </w:pPr>
  </w:style>
  <w:style w:type="paragraph" w:customStyle="1" w:styleId="msonormal0">
    <w:name w:val="msonormal"/>
    <w:basedOn w:val="a"/>
    <w:qFormat/>
    <w:rsid w:val="0034590E"/>
    <w:pPr>
      <w:spacing w:before="100" w:beforeAutospacing="1" w:after="100" w:afterAutospacing="1" w:line="288" w:lineRule="auto"/>
      <w:ind w:firstLine="0"/>
      <w:jc w:val="left"/>
    </w:pPr>
    <w:rPr>
      <w:rFonts w:eastAsia="Times New Roman"/>
      <w:szCs w:val="24"/>
      <w:lang w:eastAsia="ru-RU"/>
    </w:rPr>
  </w:style>
  <w:style w:type="character" w:customStyle="1" w:styleId="1f5">
    <w:name w:val="Заголовок Знак1"/>
    <w:aliases w:val="Заголовок мой Знак1"/>
    <w:basedOn w:val="a1"/>
    <w:rsid w:val="0034590E"/>
    <w:rPr>
      <w:rFonts w:asciiTheme="majorHAnsi" w:eastAsiaTheme="majorEastAsia" w:hAnsiTheme="majorHAnsi" w:cstheme="majorBidi"/>
      <w:spacing w:val="-10"/>
      <w:kern w:val="28"/>
      <w:sz w:val="56"/>
      <w:szCs w:val="56"/>
    </w:rPr>
  </w:style>
  <w:style w:type="paragraph" w:customStyle="1" w:styleId="1f6">
    <w:name w:val="Обычный с отступом 1 см"/>
    <w:basedOn w:val="a"/>
    <w:rsid w:val="0034590E"/>
    <w:pPr>
      <w:widowControl w:val="0"/>
      <w:ind w:firstLine="680"/>
    </w:pPr>
    <w:rPr>
      <w:rFonts w:ascii="Arial" w:eastAsia="Times New Roman" w:hAnsi="Arial"/>
      <w:bCs/>
      <w:iCs/>
      <w:sz w:val="28"/>
      <w:szCs w:val="20"/>
      <w:lang w:eastAsia="ru-RU"/>
    </w:rPr>
  </w:style>
  <w:style w:type="character" w:styleId="affff7">
    <w:name w:val="endnote reference"/>
    <w:basedOn w:val="a1"/>
    <w:unhideWhenUsed/>
    <w:rsid w:val="0034590E"/>
    <w:rPr>
      <w:vertAlign w:val="superscript"/>
    </w:rPr>
  </w:style>
  <w:style w:type="character" w:customStyle="1" w:styleId="ListLabel67">
    <w:name w:val="ListLabel 67"/>
    <w:qFormat/>
    <w:rsid w:val="0034590E"/>
    <w:rPr>
      <w:sz w:val="20"/>
    </w:rPr>
  </w:style>
  <w:style w:type="character" w:styleId="affff8">
    <w:name w:val="Placeholder Text"/>
    <w:basedOn w:val="a1"/>
    <w:uiPriority w:val="99"/>
    <w:semiHidden/>
    <w:rsid w:val="0034590E"/>
    <w:rPr>
      <w:color w:val="808080"/>
    </w:rPr>
  </w:style>
  <w:style w:type="paragraph" w:customStyle="1" w:styleId="Number">
    <w:name w:val="Number"/>
    <w:basedOn w:val="a"/>
    <w:uiPriority w:val="99"/>
    <w:rsid w:val="0034590E"/>
    <w:pPr>
      <w:autoSpaceDE w:val="0"/>
      <w:autoSpaceDN w:val="0"/>
      <w:adjustRightInd w:val="0"/>
      <w:spacing w:before="40"/>
      <w:ind w:left="715" w:hanging="6"/>
    </w:pPr>
    <w:rPr>
      <w:rFonts w:eastAsiaTheme="minorEastAsia"/>
      <w:color w:val="000000"/>
      <w:szCs w:val="24"/>
      <w:lang w:eastAsia="ru-RU"/>
    </w:rPr>
  </w:style>
  <w:style w:type="character" w:customStyle="1" w:styleId="mlacitation">
    <w:name w:val="mlacitation"/>
    <w:basedOn w:val="a1"/>
    <w:rsid w:val="0034590E"/>
  </w:style>
  <w:style w:type="character" w:customStyle="1" w:styleId="urllink">
    <w:name w:val="urllink"/>
    <w:basedOn w:val="a1"/>
    <w:rsid w:val="0034590E"/>
  </w:style>
  <w:style w:type="paragraph" w:customStyle="1" w:styleId="Numlist">
    <w:name w:val="Num_list"/>
    <w:basedOn w:val="a"/>
    <w:qFormat/>
    <w:rsid w:val="0034590E"/>
    <w:pPr>
      <w:overflowPunct w:val="0"/>
      <w:spacing w:line="240" w:lineRule="auto"/>
      <w:ind w:firstLine="708"/>
      <w:jc w:val="left"/>
      <w:textAlignment w:val="baseline"/>
    </w:pPr>
    <w:rPr>
      <w:rFonts w:eastAsia="Times New Roman"/>
      <w:szCs w:val="24"/>
      <w:lang w:eastAsia="ru-RU"/>
    </w:rPr>
  </w:style>
  <w:style w:type="character" w:customStyle="1" w:styleId="af5">
    <w:name w:val="Основной текст Знак"/>
    <w:link w:val="af4"/>
    <w:locked/>
    <w:rsid w:val="0034590E"/>
    <w:rPr>
      <w:rFonts w:ascii="Times New Roman" w:hAnsi="Times New Roman"/>
      <w:sz w:val="24"/>
      <w:szCs w:val="22"/>
      <w:lang w:eastAsia="en-US"/>
    </w:rPr>
  </w:style>
  <w:style w:type="paragraph" w:styleId="1f7">
    <w:name w:val="index 1"/>
    <w:basedOn w:val="a"/>
    <w:next w:val="a"/>
    <w:autoRedefine/>
    <w:uiPriority w:val="99"/>
    <w:semiHidden/>
    <w:rsid w:val="0034590E"/>
    <w:pPr>
      <w:ind w:left="240" w:hanging="240"/>
    </w:pPr>
  </w:style>
  <w:style w:type="character" w:customStyle="1" w:styleId="15">
    <w:name w:val="Верхний колонтитул Знак1"/>
    <w:link w:val="af9"/>
    <w:locked/>
    <w:rsid w:val="0034590E"/>
    <w:rPr>
      <w:rFonts w:ascii="Times New Roman" w:hAnsi="Times New Roman"/>
      <w:sz w:val="24"/>
      <w:szCs w:val="22"/>
      <w:lang w:eastAsia="en-US"/>
    </w:rPr>
  </w:style>
  <w:style w:type="character" w:customStyle="1" w:styleId="16">
    <w:name w:val="Нижний колонтитул Знак1"/>
    <w:link w:val="afa"/>
    <w:locked/>
    <w:rsid w:val="0034590E"/>
    <w:rPr>
      <w:rFonts w:ascii="Times New Roman" w:hAnsi="Times New Roman"/>
      <w:sz w:val="24"/>
      <w:szCs w:val="22"/>
      <w:lang w:eastAsia="en-US"/>
    </w:rPr>
  </w:style>
  <w:style w:type="character" w:customStyle="1" w:styleId="18">
    <w:name w:val="Текст выноски Знак1"/>
    <w:link w:val="aff"/>
    <w:locked/>
    <w:rsid w:val="0034590E"/>
    <w:rPr>
      <w:rFonts w:ascii="Tahoma" w:hAnsi="Tahoma" w:cs="Tahoma"/>
      <w:sz w:val="16"/>
      <w:szCs w:val="16"/>
      <w:lang w:eastAsia="en-US"/>
    </w:rPr>
  </w:style>
  <w:style w:type="character" w:customStyle="1" w:styleId="1a">
    <w:name w:val="Подзаголовок Знак1"/>
    <w:link w:val="a0"/>
    <w:uiPriority w:val="11"/>
    <w:locked/>
    <w:rsid w:val="0034590E"/>
    <w:rPr>
      <w:rFonts w:ascii="Times New Roman" w:hAnsi="Times New Roman"/>
      <w:b/>
      <w:sz w:val="24"/>
      <w:szCs w:val="24"/>
      <w:u w:val="single"/>
      <w:lang w:eastAsia="en-US"/>
    </w:rPr>
  </w:style>
  <w:style w:type="character" w:customStyle="1" w:styleId="1c">
    <w:name w:val="Тема примечания Знак1"/>
    <w:link w:val="aff4"/>
    <w:locked/>
    <w:rsid w:val="0034590E"/>
    <w:rPr>
      <w:rFonts w:ascii="Times New Roman" w:hAnsi="Times New Roman"/>
      <w:b/>
      <w:bCs/>
      <w:lang w:eastAsia="en-US"/>
    </w:rPr>
  </w:style>
  <w:style w:type="character" w:customStyle="1" w:styleId="1d">
    <w:name w:val="Текст сноски Знак1"/>
    <w:link w:val="aff6"/>
    <w:locked/>
    <w:rsid w:val="0034590E"/>
    <w:rPr>
      <w:lang w:eastAsia="en-US"/>
    </w:rPr>
  </w:style>
  <w:style w:type="paragraph" w:customStyle="1" w:styleId="affff9">
    <w:name w:val="Стиль"/>
    <w:uiPriority w:val="99"/>
    <w:rsid w:val="0034590E"/>
    <w:pPr>
      <w:keepNext/>
      <w:keepLines/>
      <w:spacing w:line="276" w:lineRule="auto"/>
      <w:outlineLvl w:val="0"/>
    </w:pPr>
    <w:rPr>
      <w:rFonts w:ascii="Times New Roman" w:hAnsi="Times New Roman"/>
      <w:sz w:val="24"/>
      <w:szCs w:val="22"/>
      <w:lang w:eastAsia="en-US"/>
    </w:rPr>
  </w:style>
  <w:style w:type="paragraph" w:customStyle="1" w:styleId="1f8">
    <w:name w:val="УДД1"/>
    <w:aliases w:val="УУР1"/>
    <w:basedOn w:val="afff9"/>
    <w:uiPriority w:val="99"/>
    <w:rsid w:val="0034590E"/>
    <w:pPr>
      <w:contextualSpacing w:val="0"/>
    </w:pPr>
  </w:style>
  <w:style w:type="paragraph" w:customStyle="1" w:styleId="ConsPlusNormal">
    <w:name w:val="ConsPlusNormal"/>
    <w:qFormat/>
    <w:rsid w:val="0034590E"/>
    <w:pPr>
      <w:widowControl w:val="0"/>
      <w:autoSpaceDE w:val="0"/>
      <w:autoSpaceDN w:val="0"/>
    </w:pPr>
    <w:rPr>
      <w:rFonts w:eastAsia="Times New Roman" w:cs="Calibri"/>
      <w:sz w:val="22"/>
    </w:rPr>
  </w:style>
  <w:style w:type="paragraph" w:styleId="32">
    <w:name w:val="toc 3"/>
    <w:basedOn w:val="a"/>
    <w:next w:val="a"/>
    <w:autoRedefine/>
    <w:uiPriority w:val="39"/>
    <w:unhideWhenUsed/>
    <w:qFormat/>
    <w:rsid w:val="0034590E"/>
    <w:pPr>
      <w:ind w:left="480"/>
      <w:jc w:val="left"/>
    </w:pPr>
    <w:rPr>
      <w:rFonts w:asciiTheme="minorHAnsi" w:hAnsiTheme="minorHAnsi"/>
      <w:sz w:val="20"/>
      <w:szCs w:val="20"/>
    </w:rPr>
  </w:style>
  <w:style w:type="numbering" w:customStyle="1" w:styleId="1f9">
    <w:name w:val="Нет списка1"/>
    <w:next w:val="a3"/>
    <w:uiPriority w:val="99"/>
    <w:semiHidden/>
    <w:unhideWhenUsed/>
    <w:rsid w:val="0034590E"/>
  </w:style>
  <w:style w:type="numbering" w:customStyle="1" w:styleId="24">
    <w:name w:val="Нет списка2"/>
    <w:next w:val="a3"/>
    <w:uiPriority w:val="99"/>
    <w:semiHidden/>
    <w:unhideWhenUsed/>
    <w:rsid w:val="0034590E"/>
  </w:style>
  <w:style w:type="numbering" w:customStyle="1" w:styleId="33">
    <w:name w:val="Нет списка3"/>
    <w:next w:val="a3"/>
    <w:uiPriority w:val="99"/>
    <w:semiHidden/>
    <w:unhideWhenUsed/>
    <w:rsid w:val="0034590E"/>
  </w:style>
  <w:style w:type="paragraph" w:styleId="HTML">
    <w:name w:val="HTML Preformatted"/>
    <w:basedOn w:val="a"/>
    <w:link w:val="HTML0"/>
    <w:rsid w:val="0034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34590E"/>
    <w:rPr>
      <w:rFonts w:ascii="Courier New" w:eastAsia="Times New Roman" w:hAnsi="Courier New" w:cs="Courier New"/>
    </w:rPr>
  </w:style>
  <w:style w:type="paragraph" w:styleId="affffa">
    <w:name w:val="endnote text"/>
    <w:basedOn w:val="a"/>
    <w:link w:val="affffb"/>
    <w:uiPriority w:val="99"/>
    <w:unhideWhenUsed/>
    <w:rsid w:val="0034590E"/>
    <w:pPr>
      <w:spacing w:line="240" w:lineRule="auto"/>
      <w:ind w:firstLine="567"/>
    </w:pPr>
    <w:rPr>
      <w:rFonts w:ascii="Calibri" w:hAnsi="Calibri"/>
      <w:sz w:val="20"/>
      <w:szCs w:val="20"/>
    </w:rPr>
  </w:style>
  <w:style w:type="character" w:customStyle="1" w:styleId="affffb">
    <w:name w:val="Текст концевой сноски Знак"/>
    <w:basedOn w:val="a1"/>
    <w:link w:val="affffa"/>
    <w:uiPriority w:val="99"/>
    <w:rsid w:val="0034590E"/>
    <w:rPr>
      <w:lang w:eastAsia="en-US"/>
    </w:rPr>
  </w:style>
  <w:style w:type="character" w:customStyle="1" w:styleId="1fa">
    <w:name w:val="Строгий1"/>
    <w:rsid w:val="0034590E"/>
    <w:rPr>
      <w:b/>
      <w:bCs/>
    </w:rPr>
  </w:style>
  <w:style w:type="paragraph" w:customStyle="1" w:styleId="310">
    <w:name w:val="Основной текст с отступом 31"/>
    <w:basedOn w:val="a"/>
    <w:rsid w:val="0034590E"/>
    <w:pPr>
      <w:suppressAutoHyphens/>
      <w:spacing w:after="120" w:line="240" w:lineRule="auto"/>
      <w:ind w:left="283" w:firstLine="567"/>
    </w:pPr>
    <w:rPr>
      <w:rFonts w:eastAsia="Times New Roman" w:cs="Calibri"/>
      <w:sz w:val="16"/>
      <w:szCs w:val="16"/>
      <w:lang w:eastAsia="ar-SA"/>
    </w:rPr>
  </w:style>
  <w:style w:type="table" w:customStyle="1" w:styleId="25">
    <w:name w:val="Сетка таблицы2"/>
    <w:basedOn w:val="a2"/>
    <w:next w:val="aff8"/>
    <w:uiPriority w:val="59"/>
    <w:rsid w:val="0034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5pt">
    <w:name w:val="Основной текст + Arial;10;5 pt"/>
    <w:rsid w:val="0034590E"/>
    <w:rPr>
      <w:rFonts w:ascii="Arial" w:eastAsia="Arial" w:hAnsi="Arial" w:cs="Arial"/>
      <w:b w:val="0"/>
      <w:bCs w:val="0"/>
      <w:i w:val="0"/>
      <w:iCs w:val="0"/>
      <w:smallCaps w:val="0"/>
      <w:strike w:val="0"/>
      <w:color w:val="000000"/>
      <w:spacing w:val="0"/>
      <w:w w:val="100"/>
      <w:position w:val="0"/>
      <w:sz w:val="21"/>
      <w:szCs w:val="21"/>
      <w:u w:val="none"/>
      <w:lang w:val="ru-RU"/>
    </w:rPr>
  </w:style>
  <w:style w:type="character" w:customStyle="1" w:styleId="src">
    <w:name w:val="src"/>
    <w:rsid w:val="0034590E"/>
  </w:style>
  <w:style w:type="paragraph" w:customStyle="1" w:styleId="firstlast">
    <w:name w:val="first last"/>
    <w:basedOn w:val="a"/>
    <w:uiPriority w:val="99"/>
    <w:rsid w:val="0034590E"/>
    <w:pPr>
      <w:spacing w:before="100" w:beforeAutospacing="1" w:after="100" w:afterAutospacing="1" w:line="240" w:lineRule="auto"/>
      <w:ind w:firstLine="567"/>
    </w:pPr>
    <w:rPr>
      <w:rFonts w:eastAsia="Times New Roman"/>
      <w:szCs w:val="24"/>
      <w:lang w:eastAsia="ru-RU"/>
    </w:rPr>
  </w:style>
  <w:style w:type="paragraph" w:customStyle="1" w:styleId="last">
    <w:name w:val="last"/>
    <w:basedOn w:val="a"/>
    <w:uiPriority w:val="99"/>
    <w:rsid w:val="0034590E"/>
    <w:pPr>
      <w:spacing w:before="100" w:beforeAutospacing="1" w:after="100" w:afterAutospacing="1" w:line="240" w:lineRule="auto"/>
      <w:ind w:firstLine="567"/>
    </w:pPr>
    <w:rPr>
      <w:rFonts w:eastAsia="Times New Roman"/>
      <w:szCs w:val="24"/>
      <w:lang w:eastAsia="ru-RU"/>
    </w:rPr>
  </w:style>
  <w:style w:type="paragraph" w:customStyle="1" w:styleId="para">
    <w:name w:val="para"/>
    <w:basedOn w:val="a"/>
    <w:uiPriority w:val="99"/>
    <w:rsid w:val="0034590E"/>
    <w:pPr>
      <w:spacing w:before="100" w:beforeAutospacing="1" w:after="100" w:afterAutospacing="1" w:line="240" w:lineRule="auto"/>
      <w:ind w:firstLine="567"/>
    </w:pPr>
    <w:rPr>
      <w:rFonts w:ascii="Arial" w:eastAsia="Times New Roman" w:hAnsi="Arial" w:cs="Arial"/>
      <w:color w:val="000000"/>
      <w:sz w:val="26"/>
      <w:szCs w:val="26"/>
      <w:lang w:eastAsia="ru-RU"/>
    </w:rPr>
  </w:style>
  <w:style w:type="character" w:customStyle="1" w:styleId="selectbg">
    <w:name w:val="select_bg"/>
    <w:rsid w:val="0034590E"/>
  </w:style>
  <w:style w:type="character" w:customStyle="1" w:styleId="postbody1">
    <w:name w:val="postbody1"/>
    <w:rsid w:val="0034590E"/>
    <w:rPr>
      <w:sz w:val="18"/>
      <w:szCs w:val="18"/>
    </w:rPr>
  </w:style>
  <w:style w:type="character" w:customStyle="1" w:styleId="volume">
    <w:name w:val="volume"/>
    <w:rsid w:val="0034590E"/>
  </w:style>
  <w:style w:type="character" w:customStyle="1" w:styleId="issue">
    <w:name w:val="issue"/>
    <w:rsid w:val="0034590E"/>
  </w:style>
  <w:style w:type="character" w:customStyle="1" w:styleId="pages">
    <w:name w:val="pages"/>
    <w:rsid w:val="0034590E"/>
  </w:style>
  <w:style w:type="paragraph" w:customStyle="1" w:styleId="210">
    <w:name w:val="Основной текст 21"/>
    <w:basedOn w:val="a"/>
    <w:rsid w:val="0034590E"/>
    <w:pPr>
      <w:suppressAutoHyphens/>
      <w:spacing w:line="240" w:lineRule="auto"/>
      <w:ind w:firstLine="567"/>
    </w:pPr>
    <w:rPr>
      <w:rFonts w:eastAsia="Times New Roman" w:cs="Calibri"/>
      <w:szCs w:val="20"/>
      <w:lang w:eastAsia="ar-SA"/>
    </w:rPr>
  </w:style>
  <w:style w:type="paragraph" w:customStyle="1" w:styleId="1fb">
    <w:name w:val="Абзац списка1"/>
    <w:basedOn w:val="a"/>
    <w:uiPriority w:val="34"/>
    <w:qFormat/>
    <w:rsid w:val="0034590E"/>
    <w:pPr>
      <w:suppressAutoHyphens/>
      <w:spacing w:after="200" w:line="276" w:lineRule="auto"/>
      <w:ind w:firstLine="567"/>
    </w:pPr>
    <w:rPr>
      <w:rFonts w:ascii="Calibri" w:hAnsi="Calibri" w:cs="Calibri"/>
      <w:sz w:val="22"/>
      <w:lang w:val="nl-NL" w:eastAsia="ar-SA"/>
    </w:rPr>
  </w:style>
  <w:style w:type="paragraph" w:customStyle="1" w:styleId="220">
    <w:name w:val="Основной текст 22"/>
    <w:basedOn w:val="a"/>
    <w:rsid w:val="0034590E"/>
    <w:pPr>
      <w:suppressAutoHyphens/>
      <w:spacing w:line="100" w:lineRule="atLeast"/>
      <w:ind w:firstLine="567"/>
    </w:pPr>
    <w:rPr>
      <w:rFonts w:eastAsia="Times New Roman"/>
      <w:kern w:val="1"/>
      <w:szCs w:val="24"/>
      <w:lang w:eastAsia="ar-SA"/>
    </w:rPr>
  </w:style>
  <w:style w:type="paragraph" w:styleId="affffc">
    <w:name w:val="Body Text Indent"/>
    <w:basedOn w:val="a"/>
    <w:link w:val="affffd"/>
    <w:uiPriority w:val="99"/>
    <w:unhideWhenUsed/>
    <w:rsid w:val="0034590E"/>
    <w:pPr>
      <w:spacing w:after="120" w:line="288" w:lineRule="auto"/>
      <w:ind w:left="283" w:firstLine="567"/>
    </w:pPr>
    <w:rPr>
      <w:rFonts w:ascii="Calibri" w:hAnsi="Calibri"/>
      <w:sz w:val="22"/>
    </w:rPr>
  </w:style>
  <w:style w:type="character" w:customStyle="1" w:styleId="affffd">
    <w:name w:val="Основной текст с отступом Знак"/>
    <w:basedOn w:val="a1"/>
    <w:link w:val="affffc"/>
    <w:uiPriority w:val="99"/>
    <w:rsid w:val="0034590E"/>
    <w:rPr>
      <w:sz w:val="22"/>
      <w:szCs w:val="22"/>
      <w:lang w:eastAsia="en-US"/>
    </w:rPr>
  </w:style>
  <w:style w:type="paragraph" w:customStyle="1" w:styleId="TextDrugs">
    <w:name w:val="Text_Drugs"/>
    <w:basedOn w:val="a"/>
    <w:rsid w:val="0034590E"/>
    <w:pPr>
      <w:suppressAutoHyphens/>
      <w:spacing w:line="100" w:lineRule="atLeast"/>
      <w:ind w:firstLine="567"/>
    </w:pPr>
    <w:rPr>
      <w:rFonts w:ascii="Cambria" w:eastAsia="MS Mincho" w:hAnsi="Cambria"/>
      <w:kern w:val="1"/>
      <w:szCs w:val="24"/>
      <w:lang w:val="de-DE" w:eastAsia="ar-SA"/>
    </w:rPr>
  </w:style>
  <w:style w:type="character" w:customStyle="1" w:styleId="jrnl">
    <w:name w:val="jrnl"/>
    <w:rsid w:val="0034590E"/>
  </w:style>
  <w:style w:type="character" w:customStyle="1" w:styleId="highlight">
    <w:name w:val="highlight"/>
    <w:rsid w:val="0034590E"/>
  </w:style>
  <w:style w:type="character" w:customStyle="1" w:styleId="maintextbldleft">
    <w:name w:val="maintextbldleft"/>
    <w:rsid w:val="0034590E"/>
  </w:style>
  <w:style w:type="character" w:customStyle="1" w:styleId="maintextleft">
    <w:name w:val="maintextleft"/>
    <w:rsid w:val="0034590E"/>
  </w:style>
  <w:style w:type="paragraph" w:customStyle="1" w:styleId="26">
    <w:name w:val="Абзац списка2"/>
    <w:basedOn w:val="a"/>
    <w:rsid w:val="0034590E"/>
    <w:pPr>
      <w:suppressAutoHyphens/>
      <w:spacing w:after="200" w:line="276" w:lineRule="auto"/>
      <w:ind w:firstLine="567"/>
    </w:pPr>
    <w:rPr>
      <w:rFonts w:ascii="Calibri" w:hAnsi="Calibri" w:cs="Calibri"/>
      <w:sz w:val="22"/>
      <w:lang w:val="nl-NL" w:eastAsia="ar-SA"/>
    </w:rPr>
  </w:style>
  <w:style w:type="paragraph" w:customStyle="1" w:styleId="230">
    <w:name w:val="Основной текст 23"/>
    <w:basedOn w:val="a"/>
    <w:rsid w:val="0034590E"/>
    <w:pPr>
      <w:suppressAutoHyphens/>
      <w:spacing w:line="100" w:lineRule="atLeast"/>
      <w:ind w:firstLine="567"/>
    </w:pPr>
    <w:rPr>
      <w:rFonts w:eastAsia="Times New Roman"/>
      <w:kern w:val="1"/>
      <w:szCs w:val="24"/>
      <w:lang w:eastAsia="ar-SA"/>
    </w:rPr>
  </w:style>
  <w:style w:type="character" w:customStyle="1" w:styleId="hps">
    <w:name w:val="hps"/>
    <w:rsid w:val="0034590E"/>
  </w:style>
  <w:style w:type="paragraph" w:styleId="27">
    <w:name w:val="Body Text 2"/>
    <w:basedOn w:val="a"/>
    <w:link w:val="28"/>
    <w:semiHidden/>
    <w:rsid w:val="0034590E"/>
    <w:pPr>
      <w:spacing w:line="240" w:lineRule="auto"/>
      <w:ind w:firstLine="567"/>
    </w:pPr>
    <w:rPr>
      <w:rFonts w:eastAsia="Times New Roman"/>
      <w:szCs w:val="20"/>
      <w:lang w:eastAsia="ru-RU"/>
    </w:rPr>
  </w:style>
  <w:style w:type="character" w:customStyle="1" w:styleId="28">
    <w:name w:val="Основной текст 2 Знак"/>
    <w:basedOn w:val="a1"/>
    <w:link w:val="27"/>
    <w:semiHidden/>
    <w:rsid w:val="0034590E"/>
    <w:rPr>
      <w:rFonts w:ascii="Times New Roman" w:eastAsia="Times New Roman" w:hAnsi="Times New Roman"/>
      <w:sz w:val="24"/>
    </w:rPr>
  </w:style>
  <w:style w:type="character" w:customStyle="1" w:styleId="highwire-citation-authors">
    <w:name w:val="highwire-citation-authors"/>
    <w:rsid w:val="0034590E"/>
  </w:style>
  <w:style w:type="character" w:customStyle="1" w:styleId="nlm-given-names">
    <w:name w:val="nlm-given-names"/>
    <w:rsid w:val="0034590E"/>
  </w:style>
  <w:style w:type="character" w:customStyle="1" w:styleId="nlm-surname">
    <w:name w:val="nlm-surname"/>
    <w:rsid w:val="0034590E"/>
  </w:style>
  <w:style w:type="character" w:customStyle="1" w:styleId="highwire-cite-metadata-journal">
    <w:name w:val="highwire-cite-metadata-journal"/>
    <w:rsid w:val="0034590E"/>
  </w:style>
  <w:style w:type="character" w:customStyle="1" w:styleId="highwire-cite-metadata-date">
    <w:name w:val="highwire-cite-metadata-date"/>
    <w:rsid w:val="0034590E"/>
  </w:style>
  <w:style w:type="character" w:customStyle="1" w:styleId="highwire-cite-metadata-volume-pages">
    <w:name w:val="highwire-cite-metadata-volume-pages"/>
    <w:rsid w:val="0034590E"/>
  </w:style>
  <w:style w:type="character" w:customStyle="1" w:styleId="highwire-cite-metadata-doi">
    <w:name w:val="highwire-cite-metadata-doi"/>
    <w:rsid w:val="0034590E"/>
  </w:style>
  <w:style w:type="character" w:customStyle="1" w:styleId="freeaccess">
    <w:name w:val="freeaccess"/>
    <w:rsid w:val="0034590E"/>
  </w:style>
  <w:style w:type="character" w:styleId="affffe">
    <w:name w:val="page number"/>
    <w:uiPriority w:val="99"/>
    <w:rsid w:val="0034590E"/>
  </w:style>
  <w:style w:type="paragraph" w:customStyle="1" w:styleId="34">
    <w:name w:val="Абзац списка3"/>
    <w:basedOn w:val="a"/>
    <w:rsid w:val="0034590E"/>
    <w:pPr>
      <w:spacing w:line="240" w:lineRule="auto"/>
      <w:ind w:left="720" w:firstLine="567"/>
    </w:pPr>
    <w:rPr>
      <w:szCs w:val="24"/>
      <w:lang w:eastAsia="ru-RU"/>
    </w:rPr>
  </w:style>
  <w:style w:type="character" w:customStyle="1" w:styleId="WW8Num3z0">
    <w:name w:val="WW8Num3z0"/>
    <w:rsid w:val="0034590E"/>
    <w:rPr>
      <w:rFonts w:ascii="Symbol" w:hAnsi="Symbol" w:cs="Symbol"/>
    </w:rPr>
  </w:style>
  <w:style w:type="character" w:customStyle="1" w:styleId="WW8Num3z1">
    <w:name w:val="WW8Num3z1"/>
    <w:rsid w:val="0034590E"/>
    <w:rPr>
      <w:rFonts w:ascii="Courier New" w:hAnsi="Courier New" w:cs="Courier New"/>
    </w:rPr>
  </w:style>
  <w:style w:type="character" w:customStyle="1" w:styleId="WW8Num3z2">
    <w:name w:val="WW8Num3z2"/>
    <w:rsid w:val="0034590E"/>
    <w:rPr>
      <w:rFonts w:ascii="Wingdings" w:hAnsi="Wingdings" w:cs="Wingdings"/>
    </w:rPr>
  </w:style>
  <w:style w:type="character" w:customStyle="1" w:styleId="WW8Num3z4">
    <w:name w:val="WW8Num3z4"/>
    <w:rsid w:val="0034590E"/>
    <w:rPr>
      <w:rFonts w:ascii="Courier New" w:hAnsi="Courier New" w:cs="Courier New"/>
    </w:rPr>
  </w:style>
  <w:style w:type="character" w:customStyle="1" w:styleId="WW8Num4z0">
    <w:name w:val="WW8Num4z0"/>
    <w:rsid w:val="0034590E"/>
    <w:rPr>
      <w:rFonts w:ascii="Symbol" w:hAnsi="Symbol" w:cs="Symbol"/>
    </w:rPr>
  </w:style>
  <w:style w:type="character" w:customStyle="1" w:styleId="WW8Num5z0">
    <w:name w:val="WW8Num5z0"/>
    <w:rsid w:val="0034590E"/>
    <w:rPr>
      <w:rFonts w:ascii="Calibri" w:hAnsi="Calibri" w:cs="Calibri"/>
    </w:rPr>
  </w:style>
  <w:style w:type="character" w:customStyle="1" w:styleId="WW8Num5z1">
    <w:name w:val="WW8Num5z1"/>
    <w:rsid w:val="0034590E"/>
    <w:rPr>
      <w:rFonts w:ascii="Calibri" w:hAnsi="Calibri" w:cs="Calibri"/>
    </w:rPr>
  </w:style>
  <w:style w:type="character" w:customStyle="1" w:styleId="WW8Num5z2">
    <w:name w:val="WW8Num5z2"/>
    <w:rsid w:val="0034590E"/>
    <w:rPr>
      <w:rFonts w:ascii="Wingdings" w:hAnsi="Wingdings" w:cs="Wingdings"/>
    </w:rPr>
  </w:style>
  <w:style w:type="character" w:customStyle="1" w:styleId="WW8Num5z4">
    <w:name w:val="WW8Num5z4"/>
    <w:rsid w:val="0034590E"/>
    <w:rPr>
      <w:rFonts w:ascii="Courier New" w:hAnsi="Courier New" w:cs="Courier New"/>
    </w:rPr>
  </w:style>
  <w:style w:type="character" w:customStyle="1" w:styleId="WW8Num6z0">
    <w:name w:val="WW8Num6z0"/>
    <w:rsid w:val="0034590E"/>
    <w:rPr>
      <w:rFonts w:ascii="Gill Sans" w:hAnsi="Gill Sans" w:cs="Gill Sans"/>
      <w:sz w:val="28"/>
      <w:szCs w:val="22"/>
    </w:rPr>
  </w:style>
  <w:style w:type="character" w:customStyle="1" w:styleId="WW8Num6z1">
    <w:name w:val="WW8Num6z1"/>
    <w:rsid w:val="0034590E"/>
    <w:rPr>
      <w:rFonts w:ascii="Courier New" w:hAnsi="Courier New" w:cs="Courier New"/>
    </w:rPr>
  </w:style>
  <w:style w:type="character" w:customStyle="1" w:styleId="WW8Num6z2">
    <w:name w:val="WW8Num6z2"/>
    <w:rsid w:val="0034590E"/>
    <w:rPr>
      <w:rFonts w:ascii="Wingdings" w:hAnsi="Wingdings" w:cs="Wingdings"/>
    </w:rPr>
  </w:style>
  <w:style w:type="character" w:customStyle="1" w:styleId="WW8Num7z0">
    <w:name w:val="WW8Num7z0"/>
    <w:rsid w:val="0034590E"/>
    <w:rPr>
      <w:rFonts w:ascii="Symbol" w:hAnsi="Symbol" w:cs="Symbol"/>
    </w:rPr>
  </w:style>
  <w:style w:type="character" w:customStyle="1" w:styleId="WW8Num7z1">
    <w:name w:val="WW8Num7z1"/>
    <w:rsid w:val="0034590E"/>
    <w:rPr>
      <w:rFonts w:ascii="Calibri" w:hAnsi="Calibri" w:cs="Calibri"/>
    </w:rPr>
  </w:style>
  <w:style w:type="character" w:customStyle="1" w:styleId="WW8Num8z0">
    <w:name w:val="WW8Num8z0"/>
    <w:rsid w:val="0034590E"/>
    <w:rPr>
      <w:rFonts w:ascii="Symbol" w:hAnsi="Symbol" w:cs="Symbol"/>
    </w:rPr>
  </w:style>
  <w:style w:type="character" w:customStyle="1" w:styleId="WW8Num9z0">
    <w:name w:val="WW8Num9z0"/>
    <w:rsid w:val="0034590E"/>
    <w:rPr>
      <w:rFonts w:ascii="Calibri" w:eastAsia="Times New Roman" w:hAnsi="Calibri" w:cs="Times New Roman"/>
    </w:rPr>
  </w:style>
  <w:style w:type="character" w:customStyle="1" w:styleId="WW8Num10z0">
    <w:name w:val="WW8Num10z0"/>
    <w:rsid w:val="0034590E"/>
    <w:rPr>
      <w:b w:val="0"/>
      <w:i w:val="0"/>
    </w:rPr>
  </w:style>
  <w:style w:type="character" w:customStyle="1" w:styleId="WW8Num11z0">
    <w:name w:val="WW8Num11z0"/>
    <w:rsid w:val="0034590E"/>
    <w:rPr>
      <w:rFonts w:ascii="Symbol" w:hAnsi="Symbol" w:cs="Symbol"/>
    </w:rPr>
  </w:style>
  <w:style w:type="character" w:customStyle="1" w:styleId="WW8Num12z0">
    <w:name w:val="WW8Num12z0"/>
    <w:rsid w:val="0034590E"/>
    <w:rPr>
      <w:rFonts w:ascii="Symbol" w:hAnsi="Symbol" w:cs="Symbol"/>
    </w:rPr>
  </w:style>
  <w:style w:type="character" w:customStyle="1" w:styleId="WW8Num13z0">
    <w:name w:val="WW8Num13z0"/>
    <w:rsid w:val="0034590E"/>
    <w:rPr>
      <w:rFonts w:ascii="Symbol" w:hAnsi="Symbol" w:cs="Symbol"/>
    </w:rPr>
  </w:style>
  <w:style w:type="character" w:customStyle="1" w:styleId="WW8Num14z0">
    <w:name w:val="WW8Num14z0"/>
    <w:rsid w:val="0034590E"/>
    <w:rPr>
      <w:rFonts w:ascii="Calibri" w:hAnsi="Calibri" w:cs="Calibri"/>
    </w:rPr>
  </w:style>
  <w:style w:type="character" w:customStyle="1" w:styleId="WW8Num15z0">
    <w:name w:val="WW8Num15z0"/>
    <w:rsid w:val="0034590E"/>
    <w:rPr>
      <w:rFonts w:ascii="Symbol" w:hAnsi="Symbol" w:cs="Symbol"/>
    </w:rPr>
  </w:style>
  <w:style w:type="character" w:customStyle="1" w:styleId="WW8Num16z0">
    <w:name w:val="WW8Num16z0"/>
    <w:rsid w:val="0034590E"/>
    <w:rPr>
      <w:rFonts w:ascii="Symbol" w:hAnsi="Symbol" w:cs="Symbol"/>
    </w:rPr>
  </w:style>
  <w:style w:type="character" w:customStyle="1" w:styleId="WW8Num17z0">
    <w:name w:val="WW8Num17z0"/>
    <w:rsid w:val="0034590E"/>
    <w:rPr>
      <w:rFonts w:ascii="Calibri" w:hAnsi="Calibri" w:cs="Calibri"/>
    </w:rPr>
  </w:style>
  <w:style w:type="character" w:customStyle="1" w:styleId="WW8Num18z0">
    <w:name w:val="WW8Num18z0"/>
    <w:rsid w:val="0034590E"/>
    <w:rPr>
      <w:rFonts w:ascii="Symbol" w:hAnsi="Symbol" w:cs="Symbol"/>
    </w:rPr>
  </w:style>
  <w:style w:type="character" w:customStyle="1" w:styleId="WW8Num19z0">
    <w:name w:val="WW8Num19z0"/>
    <w:rsid w:val="0034590E"/>
    <w:rPr>
      <w:rFonts w:ascii="Symbol" w:hAnsi="Symbol" w:cs="Symbol"/>
    </w:rPr>
  </w:style>
  <w:style w:type="character" w:customStyle="1" w:styleId="WW8Num20z0">
    <w:name w:val="WW8Num20z0"/>
    <w:rsid w:val="0034590E"/>
    <w:rPr>
      <w:rFonts w:ascii="Symbol" w:hAnsi="Symbol" w:cs="Symbol"/>
    </w:rPr>
  </w:style>
  <w:style w:type="character" w:customStyle="1" w:styleId="WW8Num21z0">
    <w:name w:val="WW8Num21z0"/>
    <w:rsid w:val="0034590E"/>
    <w:rPr>
      <w:rFonts w:ascii="Symbol" w:hAnsi="Symbol" w:cs="Symbol"/>
    </w:rPr>
  </w:style>
  <w:style w:type="character" w:customStyle="1" w:styleId="WW8Num22z0">
    <w:name w:val="WW8Num22z0"/>
    <w:rsid w:val="0034590E"/>
    <w:rPr>
      <w:rFonts w:ascii="Symbol" w:hAnsi="Symbol" w:cs="Symbol"/>
    </w:rPr>
  </w:style>
  <w:style w:type="character" w:customStyle="1" w:styleId="WW8Num23z0">
    <w:name w:val="WW8Num23z0"/>
    <w:rsid w:val="0034590E"/>
    <w:rPr>
      <w:rFonts w:ascii="Symbol" w:hAnsi="Symbol" w:cs="Symbol"/>
    </w:rPr>
  </w:style>
  <w:style w:type="character" w:customStyle="1" w:styleId="WW8Num24z0">
    <w:name w:val="WW8Num24z0"/>
    <w:rsid w:val="0034590E"/>
    <w:rPr>
      <w:rFonts w:ascii="Symbol" w:hAnsi="Symbol" w:cs="Symbol"/>
    </w:rPr>
  </w:style>
  <w:style w:type="character" w:customStyle="1" w:styleId="WW8Num25z0">
    <w:name w:val="WW8Num25z0"/>
    <w:rsid w:val="0034590E"/>
    <w:rPr>
      <w:rFonts w:ascii="Symbol" w:hAnsi="Symbol" w:cs="Symbol"/>
    </w:rPr>
  </w:style>
  <w:style w:type="character" w:customStyle="1" w:styleId="WW8Num26z0">
    <w:name w:val="WW8Num26z0"/>
    <w:rsid w:val="0034590E"/>
    <w:rPr>
      <w:rFonts w:ascii="Symbol" w:hAnsi="Symbol" w:cs="Symbol"/>
    </w:rPr>
  </w:style>
  <w:style w:type="character" w:customStyle="1" w:styleId="WW8Num27z0">
    <w:name w:val="WW8Num27z0"/>
    <w:rsid w:val="0034590E"/>
    <w:rPr>
      <w:rFonts w:ascii="Calibri" w:hAnsi="Calibri" w:cs="Calibri"/>
    </w:rPr>
  </w:style>
  <w:style w:type="character" w:customStyle="1" w:styleId="WW8Num27z1">
    <w:name w:val="WW8Num27z1"/>
    <w:rsid w:val="0034590E"/>
    <w:rPr>
      <w:rFonts w:ascii="Courier New" w:hAnsi="Courier New" w:cs="Courier New"/>
    </w:rPr>
  </w:style>
  <w:style w:type="character" w:customStyle="1" w:styleId="WW8Num27z2">
    <w:name w:val="WW8Num27z2"/>
    <w:rsid w:val="0034590E"/>
    <w:rPr>
      <w:rFonts w:ascii="Wingdings" w:hAnsi="Wingdings" w:cs="Wingdings"/>
    </w:rPr>
  </w:style>
  <w:style w:type="character" w:customStyle="1" w:styleId="WW8Num27z4">
    <w:name w:val="WW8Num27z4"/>
    <w:rsid w:val="0034590E"/>
    <w:rPr>
      <w:rFonts w:ascii="Courier New" w:hAnsi="Courier New" w:cs="Courier New"/>
    </w:rPr>
  </w:style>
  <w:style w:type="character" w:customStyle="1" w:styleId="WW8Num28z0">
    <w:name w:val="WW8Num28z0"/>
    <w:rsid w:val="0034590E"/>
    <w:rPr>
      <w:rFonts w:ascii="Symbol" w:hAnsi="Symbol" w:cs="Symbol"/>
    </w:rPr>
  </w:style>
  <w:style w:type="character" w:customStyle="1" w:styleId="WW8Num29z0">
    <w:name w:val="WW8Num29z0"/>
    <w:rsid w:val="0034590E"/>
    <w:rPr>
      <w:rFonts w:ascii="Symbol" w:hAnsi="Symbol" w:cs="Symbol"/>
    </w:rPr>
  </w:style>
  <w:style w:type="character" w:customStyle="1" w:styleId="WW8Num30z0">
    <w:name w:val="WW8Num30z0"/>
    <w:rsid w:val="0034590E"/>
    <w:rPr>
      <w:rFonts w:ascii="Symbol" w:hAnsi="Symbol" w:cs="Symbol"/>
    </w:rPr>
  </w:style>
  <w:style w:type="character" w:customStyle="1" w:styleId="WW8Num31z0">
    <w:name w:val="WW8Num31z0"/>
    <w:rsid w:val="0034590E"/>
    <w:rPr>
      <w:b w:val="0"/>
      <w:i w:val="0"/>
      <w:kern w:val="1"/>
    </w:rPr>
  </w:style>
  <w:style w:type="character" w:customStyle="1" w:styleId="WW8Num32z0">
    <w:name w:val="WW8Num32z0"/>
    <w:rsid w:val="0034590E"/>
    <w:rPr>
      <w:rFonts w:ascii="Symbol" w:hAnsi="Symbol" w:cs="Symbol"/>
    </w:rPr>
  </w:style>
  <w:style w:type="character" w:customStyle="1" w:styleId="WW8Num34z0">
    <w:name w:val="WW8Num34z0"/>
    <w:rsid w:val="0034590E"/>
    <w:rPr>
      <w:rFonts w:ascii="Symbol" w:hAnsi="Symbol" w:cs="Symbol"/>
    </w:rPr>
  </w:style>
  <w:style w:type="character" w:customStyle="1" w:styleId="WW8Num34z1">
    <w:name w:val="WW8Num34z1"/>
    <w:rsid w:val="0034590E"/>
    <w:rPr>
      <w:rFonts w:ascii="Courier New" w:hAnsi="Courier New" w:cs="Courier New"/>
    </w:rPr>
  </w:style>
  <w:style w:type="character" w:customStyle="1" w:styleId="WW8Num34z2">
    <w:name w:val="WW8Num34z2"/>
    <w:rsid w:val="0034590E"/>
    <w:rPr>
      <w:rFonts w:ascii="Wingdings" w:hAnsi="Wingdings" w:cs="Wingdings"/>
    </w:rPr>
  </w:style>
  <w:style w:type="character" w:customStyle="1" w:styleId="WW8Num34z4">
    <w:name w:val="WW8Num34z4"/>
    <w:rsid w:val="0034590E"/>
    <w:rPr>
      <w:rFonts w:ascii="Courier New" w:hAnsi="Courier New" w:cs="Courier New"/>
    </w:rPr>
  </w:style>
  <w:style w:type="character" w:customStyle="1" w:styleId="WW8Num35z0">
    <w:name w:val="WW8Num35z0"/>
    <w:rsid w:val="0034590E"/>
    <w:rPr>
      <w:rFonts w:ascii="Calibri" w:hAnsi="Calibri" w:cs="Calibri"/>
    </w:rPr>
  </w:style>
  <w:style w:type="character" w:customStyle="1" w:styleId="WW8Num36z0">
    <w:name w:val="WW8Num36z0"/>
    <w:rsid w:val="0034590E"/>
    <w:rPr>
      <w:rFonts w:ascii="Symbol" w:hAnsi="Symbol" w:cs="Symbol"/>
    </w:rPr>
  </w:style>
  <w:style w:type="character" w:customStyle="1" w:styleId="WW8Num37z0">
    <w:name w:val="WW8Num37z0"/>
    <w:rsid w:val="0034590E"/>
    <w:rPr>
      <w:rFonts w:ascii="Symbol" w:hAnsi="Symbol" w:cs="Symbol"/>
    </w:rPr>
  </w:style>
  <w:style w:type="character" w:customStyle="1" w:styleId="WW8Num38z0">
    <w:name w:val="WW8Num38z0"/>
    <w:rsid w:val="0034590E"/>
    <w:rPr>
      <w:rFonts w:ascii="Symbol" w:hAnsi="Symbol" w:cs="Symbol"/>
    </w:rPr>
  </w:style>
  <w:style w:type="character" w:customStyle="1" w:styleId="WW8Num39z0">
    <w:name w:val="WW8Num39z0"/>
    <w:rsid w:val="0034590E"/>
    <w:rPr>
      <w:rFonts w:ascii="Symbol" w:hAnsi="Symbol" w:cs="Symbol"/>
    </w:rPr>
  </w:style>
  <w:style w:type="character" w:customStyle="1" w:styleId="WW8Num40z0">
    <w:name w:val="WW8Num40z0"/>
    <w:rsid w:val="0034590E"/>
    <w:rPr>
      <w:rFonts w:ascii="Symbol" w:hAnsi="Symbol" w:cs="Symbol"/>
    </w:rPr>
  </w:style>
  <w:style w:type="character" w:customStyle="1" w:styleId="WW8Num41z0">
    <w:name w:val="WW8Num41z0"/>
    <w:rsid w:val="0034590E"/>
    <w:rPr>
      <w:rFonts w:ascii="Calibri" w:hAnsi="Calibri" w:cs="Calibri"/>
    </w:rPr>
  </w:style>
  <w:style w:type="character" w:customStyle="1" w:styleId="WW8Num42z0">
    <w:name w:val="WW8Num42z0"/>
    <w:rsid w:val="0034590E"/>
    <w:rPr>
      <w:rFonts w:ascii="Symbol" w:hAnsi="Symbol" w:cs="Symbol"/>
    </w:rPr>
  </w:style>
  <w:style w:type="character" w:customStyle="1" w:styleId="WW8Num43z0">
    <w:name w:val="WW8Num43z0"/>
    <w:rsid w:val="0034590E"/>
    <w:rPr>
      <w:rFonts w:ascii="Symbol" w:hAnsi="Symbol" w:cs="Symbol"/>
    </w:rPr>
  </w:style>
  <w:style w:type="character" w:customStyle="1" w:styleId="WW8Num44z0">
    <w:name w:val="WW8Num44z0"/>
    <w:rsid w:val="0034590E"/>
    <w:rPr>
      <w:rFonts w:ascii="Symbol" w:hAnsi="Symbol" w:cs="Symbol"/>
    </w:rPr>
  </w:style>
  <w:style w:type="character" w:customStyle="1" w:styleId="WW8Num45z0">
    <w:name w:val="WW8Num45z0"/>
    <w:rsid w:val="0034590E"/>
    <w:rPr>
      <w:rFonts w:ascii="Symbol" w:hAnsi="Symbol" w:cs="Symbol"/>
    </w:rPr>
  </w:style>
  <w:style w:type="character" w:customStyle="1" w:styleId="WW8Num46z0">
    <w:name w:val="WW8Num46z0"/>
    <w:rsid w:val="0034590E"/>
    <w:rPr>
      <w:rFonts w:ascii="Symbol" w:hAnsi="Symbol" w:cs="Symbol"/>
    </w:rPr>
  </w:style>
  <w:style w:type="character" w:customStyle="1" w:styleId="WW8Num47z0">
    <w:name w:val="WW8Num47z0"/>
    <w:rsid w:val="0034590E"/>
    <w:rPr>
      <w:rFonts w:ascii="Calibri" w:hAnsi="Calibri" w:cs="Calibri"/>
    </w:rPr>
  </w:style>
  <w:style w:type="character" w:customStyle="1" w:styleId="WW8Num48z0">
    <w:name w:val="WW8Num48z0"/>
    <w:rsid w:val="0034590E"/>
    <w:rPr>
      <w:rFonts w:ascii="Symbol" w:hAnsi="Symbol" w:cs="Symbol"/>
    </w:rPr>
  </w:style>
  <w:style w:type="character" w:customStyle="1" w:styleId="WW8Num49z0">
    <w:name w:val="WW8Num49z0"/>
    <w:rsid w:val="0034590E"/>
    <w:rPr>
      <w:rFonts w:ascii="Symbol" w:hAnsi="Symbol" w:cs="Symbol"/>
    </w:rPr>
  </w:style>
  <w:style w:type="character" w:customStyle="1" w:styleId="WW8Num49z1">
    <w:name w:val="WW8Num49z1"/>
    <w:rsid w:val="0034590E"/>
    <w:rPr>
      <w:rFonts w:ascii="Courier New" w:hAnsi="Courier New" w:cs="Courier New"/>
    </w:rPr>
  </w:style>
  <w:style w:type="character" w:customStyle="1" w:styleId="WW8Num49z2">
    <w:name w:val="WW8Num49z2"/>
    <w:rsid w:val="0034590E"/>
    <w:rPr>
      <w:rFonts w:ascii="Wingdings" w:hAnsi="Wingdings" w:cs="Wingdings"/>
    </w:rPr>
  </w:style>
  <w:style w:type="character" w:customStyle="1" w:styleId="WW8Num50z0">
    <w:name w:val="WW8Num50z0"/>
    <w:rsid w:val="0034590E"/>
    <w:rPr>
      <w:rFonts w:ascii="Symbol" w:hAnsi="Symbol" w:cs="Symbol"/>
    </w:rPr>
  </w:style>
  <w:style w:type="character" w:customStyle="1" w:styleId="29">
    <w:name w:val="Основной шрифт абзаца2"/>
    <w:rsid w:val="0034590E"/>
  </w:style>
  <w:style w:type="character" w:customStyle="1" w:styleId="WW8Num4z1">
    <w:name w:val="WW8Num4z1"/>
    <w:rsid w:val="0034590E"/>
    <w:rPr>
      <w:rFonts w:ascii="Courier New" w:hAnsi="Courier New" w:cs="Courier New"/>
      <w:color w:val="000000"/>
    </w:rPr>
  </w:style>
  <w:style w:type="character" w:customStyle="1" w:styleId="WW8Num4z2">
    <w:name w:val="WW8Num4z2"/>
    <w:rsid w:val="0034590E"/>
    <w:rPr>
      <w:rFonts w:ascii="Wingdings" w:hAnsi="Wingdings" w:cs="Wingdings"/>
    </w:rPr>
  </w:style>
  <w:style w:type="character" w:customStyle="1" w:styleId="WW8Num4z4">
    <w:name w:val="WW8Num4z4"/>
    <w:rsid w:val="0034590E"/>
    <w:rPr>
      <w:rFonts w:ascii="Courier New" w:hAnsi="Courier New" w:cs="Courier New"/>
    </w:rPr>
  </w:style>
  <w:style w:type="character" w:customStyle="1" w:styleId="WW8Num7z2">
    <w:name w:val="WW8Num7z2"/>
    <w:rsid w:val="0034590E"/>
    <w:rPr>
      <w:rFonts w:ascii="Wingdings" w:hAnsi="Wingdings" w:cs="Wingdings"/>
    </w:rPr>
  </w:style>
  <w:style w:type="character" w:customStyle="1" w:styleId="WW8Num7z4">
    <w:name w:val="WW8Num7z4"/>
    <w:rsid w:val="0034590E"/>
    <w:rPr>
      <w:rFonts w:ascii="Courier New" w:hAnsi="Courier New" w:cs="Courier New"/>
    </w:rPr>
  </w:style>
  <w:style w:type="character" w:customStyle="1" w:styleId="WW8Num8z1">
    <w:name w:val="WW8Num8z1"/>
    <w:rsid w:val="0034590E"/>
    <w:rPr>
      <w:rFonts w:ascii="Courier New" w:hAnsi="Courier New" w:cs="Courier New"/>
    </w:rPr>
  </w:style>
  <w:style w:type="character" w:customStyle="1" w:styleId="WW8Num8z2">
    <w:name w:val="WW8Num8z2"/>
    <w:rsid w:val="0034590E"/>
    <w:rPr>
      <w:rFonts w:ascii="Wingdings" w:hAnsi="Wingdings" w:cs="Wingdings"/>
    </w:rPr>
  </w:style>
  <w:style w:type="character" w:customStyle="1" w:styleId="WW8Num9z1">
    <w:name w:val="WW8Num9z1"/>
    <w:rsid w:val="0034590E"/>
    <w:rPr>
      <w:rFonts w:ascii="Symbol" w:hAnsi="Symbol" w:cs="Courier New"/>
    </w:rPr>
  </w:style>
  <w:style w:type="character" w:customStyle="1" w:styleId="WW8Num15z1">
    <w:name w:val="WW8Num15z1"/>
    <w:rsid w:val="0034590E"/>
    <w:rPr>
      <w:rFonts w:ascii="Courier New" w:hAnsi="Courier New" w:cs="Courier New"/>
    </w:rPr>
  </w:style>
  <w:style w:type="character" w:customStyle="1" w:styleId="WW8Num15z2">
    <w:name w:val="WW8Num15z2"/>
    <w:rsid w:val="0034590E"/>
    <w:rPr>
      <w:rFonts w:ascii="Wingdings" w:hAnsi="Wingdings" w:cs="Wingdings"/>
    </w:rPr>
  </w:style>
  <w:style w:type="character" w:customStyle="1" w:styleId="WW8Num16z1">
    <w:name w:val="WW8Num16z1"/>
    <w:rsid w:val="0034590E"/>
    <w:rPr>
      <w:rFonts w:ascii="Courier New" w:hAnsi="Courier New" w:cs="Courier New"/>
    </w:rPr>
  </w:style>
  <w:style w:type="character" w:customStyle="1" w:styleId="WW8Num16z2">
    <w:name w:val="WW8Num16z2"/>
    <w:rsid w:val="0034590E"/>
    <w:rPr>
      <w:rFonts w:ascii="Wingdings" w:hAnsi="Wingdings" w:cs="Wingdings"/>
    </w:rPr>
  </w:style>
  <w:style w:type="character" w:customStyle="1" w:styleId="WW8Num17z1">
    <w:name w:val="WW8Num17z1"/>
    <w:rsid w:val="0034590E"/>
    <w:rPr>
      <w:rFonts w:ascii="Courier New" w:hAnsi="Courier New" w:cs="Courier New"/>
    </w:rPr>
  </w:style>
  <w:style w:type="character" w:customStyle="1" w:styleId="WW8Num17z2">
    <w:name w:val="WW8Num17z2"/>
    <w:rsid w:val="0034590E"/>
    <w:rPr>
      <w:rFonts w:ascii="Wingdings" w:hAnsi="Wingdings" w:cs="Wingdings"/>
    </w:rPr>
  </w:style>
  <w:style w:type="character" w:customStyle="1" w:styleId="WW8Num17z3">
    <w:name w:val="WW8Num17z3"/>
    <w:rsid w:val="0034590E"/>
    <w:rPr>
      <w:rFonts w:ascii="Symbol" w:hAnsi="Symbol" w:cs="Symbol"/>
    </w:rPr>
  </w:style>
  <w:style w:type="character" w:customStyle="1" w:styleId="WW8Num18z1">
    <w:name w:val="WW8Num18z1"/>
    <w:rsid w:val="0034590E"/>
    <w:rPr>
      <w:rFonts w:ascii="Courier New" w:hAnsi="Courier New" w:cs="Courier New"/>
    </w:rPr>
  </w:style>
  <w:style w:type="character" w:customStyle="1" w:styleId="WW8Num18z2">
    <w:name w:val="WW8Num18z2"/>
    <w:rsid w:val="0034590E"/>
    <w:rPr>
      <w:rFonts w:ascii="Wingdings" w:hAnsi="Wingdings" w:cs="Wingdings"/>
    </w:rPr>
  </w:style>
  <w:style w:type="character" w:customStyle="1" w:styleId="WW8Num19z1">
    <w:name w:val="WW8Num19z1"/>
    <w:rsid w:val="0034590E"/>
    <w:rPr>
      <w:rFonts w:ascii="Courier New" w:hAnsi="Courier New" w:cs="Courier New"/>
    </w:rPr>
  </w:style>
  <w:style w:type="character" w:customStyle="1" w:styleId="WW8Num19z2">
    <w:name w:val="WW8Num19z2"/>
    <w:rsid w:val="0034590E"/>
    <w:rPr>
      <w:rFonts w:ascii="Wingdings" w:hAnsi="Wingdings" w:cs="Wingdings"/>
    </w:rPr>
  </w:style>
  <w:style w:type="character" w:customStyle="1" w:styleId="WW8Num20z1">
    <w:name w:val="WW8Num20z1"/>
    <w:rsid w:val="0034590E"/>
    <w:rPr>
      <w:rFonts w:ascii="Courier New" w:hAnsi="Courier New" w:cs="Courier New"/>
    </w:rPr>
  </w:style>
  <w:style w:type="character" w:customStyle="1" w:styleId="WW8Num20z2">
    <w:name w:val="WW8Num20z2"/>
    <w:rsid w:val="0034590E"/>
    <w:rPr>
      <w:rFonts w:ascii="Wingdings" w:hAnsi="Wingdings" w:cs="Wingdings"/>
    </w:rPr>
  </w:style>
  <w:style w:type="character" w:customStyle="1" w:styleId="WW8Num21z1">
    <w:name w:val="WW8Num21z1"/>
    <w:rsid w:val="0034590E"/>
    <w:rPr>
      <w:rFonts w:ascii="Courier New" w:hAnsi="Courier New" w:cs="Courier New"/>
    </w:rPr>
  </w:style>
  <w:style w:type="character" w:customStyle="1" w:styleId="WW8Num21z2">
    <w:name w:val="WW8Num21z2"/>
    <w:rsid w:val="0034590E"/>
    <w:rPr>
      <w:rFonts w:ascii="Wingdings" w:hAnsi="Wingdings" w:cs="Wingdings"/>
    </w:rPr>
  </w:style>
  <w:style w:type="character" w:customStyle="1" w:styleId="WW8Num22z1">
    <w:name w:val="WW8Num22z1"/>
    <w:rsid w:val="0034590E"/>
    <w:rPr>
      <w:rFonts w:ascii="Courier New" w:hAnsi="Courier New" w:cs="Courier New"/>
    </w:rPr>
  </w:style>
  <w:style w:type="character" w:customStyle="1" w:styleId="WW8Num22z2">
    <w:name w:val="WW8Num22z2"/>
    <w:rsid w:val="0034590E"/>
    <w:rPr>
      <w:rFonts w:ascii="Wingdings" w:hAnsi="Wingdings" w:cs="Wingdings"/>
    </w:rPr>
  </w:style>
  <w:style w:type="character" w:customStyle="1" w:styleId="WW8Num23z1">
    <w:name w:val="WW8Num23z1"/>
    <w:rsid w:val="0034590E"/>
    <w:rPr>
      <w:rFonts w:ascii="Courier New" w:hAnsi="Courier New" w:cs="Courier New"/>
    </w:rPr>
  </w:style>
  <w:style w:type="character" w:customStyle="1" w:styleId="WW8Num23z2">
    <w:name w:val="WW8Num23z2"/>
    <w:rsid w:val="0034590E"/>
    <w:rPr>
      <w:rFonts w:ascii="Wingdings" w:hAnsi="Wingdings" w:cs="Wingdings"/>
    </w:rPr>
  </w:style>
  <w:style w:type="character" w:customStyle="1" w:styleId="WW8Num24z1">
    <w:name w:val="WW8Num24z1"/>
    <w:rsid w:val="0034590E"/>
    <w:rPr>
      <w:rFonts w:ascii="Courier New" w:hAnsi="Courier New" w:cs="Courier New"/>
    </w:rPr>
  </w:style>
  <w:style w:type="character" w:customStyle="1" w:styleId="WW8Num24z2">
    <w:name w:val="WW8Num24z2"/>
    <w:rsid w:val="0034590E"/>
    <w:rPr>
      <w:rFonts w:ascii="Wingdings" w:hAnsi="Wingdings" w:cs="Wingdings"/>
    </w:rPr>
  </w:style>
  <w:style w:type="character" w:customStyle="1" w:styleId="WW8Num25z1">
    <w:name w:val="WW8Num25z1"/>
    <w:rsid w:val="0034590E"/>
    <w:rPr>
      <w:rFonts w:ascii="Courier New" w:hAnsi="Courier New" w:cs="Courier New"/>
    </w:rPr>
  </w:style>
  <w:style w:type="character" w:customStyle="1" w:styleId="WW8Num25z2">
    <w:name w:val="WW8Num25z2"/>
    <w:rsid w:val="0034590E"/>
    <w:rPr>
      <w:rFonts w:ascii="Wingdings" w:hAnsi="Wingdings" w:cs="Wingdings"/>
    </w:rPr>
  </w:style>
  <w:style w:type="character" w:customStyle="1" w:styleId="WW8Num26z1">
    <w:name w:val="WW8Num26z1"/>
    <w:rsid w:val="0034590E"/>
    <w:rPr>
      <w:rFonts w:ascii="Courier New" w:hAnsi="Courier New" w:cs="Courier New"/>
    </w:rPr>
  </w:style>
  <w:style w:type="character" w:customStyle="1" w:styleId="WW8Num26z2">
    <w:name w:val="WW8Num26z2"/>
    <w:rsid w:val="0034590E"/>
    <w:rPr>
      <w:rFonts w:ascii="Wingdings" w:hAnsi="Wingdings" w:cs="Wingdings"/>
    </w:rPr>
  </w:style>
  <w:style w:type="character" w:customStyle="1" w:styleId="WW8Num27z3">
    <w:name w:val="WW8Num27z3"/>
    <w:rsid w:val="0034590E"/>
    <w:rPr>
      <w:rFonts w:ascii="Symbol" w:hAnsi="Symbol" w:cs="Symbol"/>
    </w:rPr>
  </w:style>
  <w:style w:type="character" w:customStyle="1" w:styleId="WW8Num28z1">
    <w:name w:val="WW8Num28z1"/>
    <w:rsid w:val="0034590E"/>
    <w:rPr>
      <w:rFonts w:ascii="Courier New" w:hAnsi="Courier New" w:cs="Courier New"/>
    </w:rPr>
  </w:style>
  <w:style w:type="character" w:customStyle="1" w:styleId="WW8Num28z2">
    <w:name w:val="WW8Num28z2"/>
    <w:rsid w:val="0034590E"/>
    <w:rPr>
      <w:rFonts w:ascii="Wingdings" w:hAnsi="Wingdings" w:cs="Wingdings"/>
    </w:rPr>
  </w:style>
  <w:style w:type="character" w:customStyle="1" w:styleId="WW8Num29z1">
    <w:name w:val="WW8Num29z1"/>
    <w:rsid w:val="0034590E"/>
    <w:rPr>
      <w:rFonts w:ascii="Courier New" w:hAnsi="Courier New" w:cs="Courier New"/>
    </w:rPr>
  </w:style>
  <w:style w:type="character" w:customStyle="1" w:styleId="WW8Num29z2">
    <w:name w:val="WW8Num29z2"/>
    <w:rsid w:val="0034590E"/>
    <w:rPr>
      <w:rFonts w:ascii="Wingdings" w:hAnsi="Wingdings" w:cs="Wingdings"/>
    </w:rPr>
  </w:style>
  <w:style w:type="character" w:customStyle="1" w:styleId="WW8Num32z1">
    <w:name w:val="WW8Num32z1"/>
    <w:rsid w:val="0034590E"/>
    <w:rPr>
      <w:rFonts w:ascii="Calibri" w:hAnsi="Calibri" w:cs="Calibri"/>
    </w:rPr>
  </w:style>
  <w:style w:type="character" w:customStyle="1" w:styleId="WW8Num32z2">
    <w:name w:val="WW8Num32z2"/>
    <w:rsid w:val="0034590E"/>
    <w:rPr>
      <w:rFonts w:ascii="Wingdings" w:hAnsi="Wingdings" w:cs="Wingdings"/>
    </w:rPr>
  </w:style>
  <w:style w:type="character" w:customStyle="1" w:styleId="WW8Num32z4">
    <w:name w:val="WW8Num32z4"/>
    <w:rsid w:val="0034590E"/>
    <w:rPr>
      <w:rFonts w:ascii="Courier New" w:hAnsi="Courier New" w:cs="Courier New"/>
    </w:rPr>
  </w:style>
  <w:style w:type="character" w:customStyle="1" w:styleId="WW8Num33z0">
    <w:name w:val="WW8Num33z0"/>
    <w:rsid w:val="0034590E"/>
    <w:rPr>
      <w:rFonts w:ascii="Symbol" w:hAnsi="Symbol" w:cs="Symbol"/>
    </w:rPr>
  </w:style>
  <w:style w:type="character" w:customStyle="1" w:styleId="WW8Num35z1">
    <w:name w:val="WW8Num35z1"/>
    <w:rsid w:val="0034590E"/>
    <w:rPr>
      <w:rFonts w:ascii="Courier New" w:hAnsi="Courier New" w:cs="Courier New"/>
    </w:rPr>
  </w:style>
  <w:style w:type="character" w:customStyle="1" w:styleId="WW8Num35z2">
    <w:name w:val="WW8Num35z2"/>
    <w:rsid w:val="0034590E"/>
    <w:rPr>
      <w:rFonts w:ascii="Wingdings" w:hAnsi="Wingdings" w:cs="Wingdings"/>
    </w:rPr>
  </w:style>
  <w:style w:type="character" w:customStyle="1" w:styleId="WW8Num35z3">
    <w:name w:val="WW8Num35z3"/>
    <w:rsid w:val="0034590E"/>
    <w:rPr>
      <w:rFonts w:ascii="Symbol" w:hAnsi="Symbol" w:cs="Symbol"/>
    </w:rPr>
  </w:style>
  <w:style w:type="character" w:customStyle="1" w:styleId="WW8Num36z1">
    <w:name w:val="WW8Num36z1"/>
    <w:rsid w:val="0034590E"/>
    <w:rPr>
      <w:rFonts w:ascii="Courier New" w:hAnsi="Courier New" w:cs="Courier New"/>
    </w:rPr>
  </w:style>
  <w:style w:type="character" w:customStyle="1" w:styleId="WW8Num36z2">
    <w:name w:val="WW8Num36z2"/>
    <w:rsid w:val="0034590E"/>
    <w:rPr>
      <w:rFonts w:ascii="Wingdings" w:hAnsi="Wingdings" w:cs="Wingdings"/>
    </w:rPr>
  </w:style>
  <w:style w:type="character" w:customStyle="1" w:styleId="WW8Num37z1">
    <w:name w:val="WW8Num37z1"/>
    <w:rsid w:val="0034590E"/>
    <w:rPr>
      <w:rFonts w:ascii="Courier New" w:hAnsi="Courier New" w:cs="Courier New"/>
    </w:rPr>
  </w:style>
  <w:style w:type="character" w:customStyle="1" w:styleId="WW8Num37z2">
    <w:name w:val="WW8Num37z2"/>
    <w:rsid w:val="0034590E"/>
    <w:rPr>
      <w:rFonts w:ascii="Wingdings" w:hAnsi="Wingdings" w:cs="Wingdings"/>
    </w:rPr>
  </w:style>
  <w:style w:type="character" w:customStyle="1" w:styleId="WW8Num39z1">
    <w:name w:val="WW8Num39z1"/>
    <w:rsid w:val="0034590E"/>
    <w:rPr>
      <w:rFonts w:ascii="Calibri" w:hAnsi="Calibri" w:cs="Calibri"/>
    </w:rPr>
  </w:style>
  <w:style w:type="character" w:customStyle="1" w:styleId="WW8Num39z2">
    <w:name w:val="WW8Num39z2"/>
    <w:rsid w:val="0034590E"/>
    <w:rPr>
      <w:rFonts w:ascii="Wingdings" w:hAnsi="Wingdings" w:cs="Wingdings"/>
    </w:rPr>
  </w:style>
  <w:style w:type="character" w:customStyle="1" w:styleId="WW8Num39z4">
    <w:name w:val="WW8Num39z4"/>
    <w:rsid w:val="0034590E"/>
    <w:rPr>
      <w:rFonts w:ascii="Courier New" w:hAnsi="Courier New" w:cs="Courier New"/>
    </w:rPr>
  </w:style>
  <w:style w:type="character" w:customStyle="1" w:styleId="WW8Num40z1">
    <w:name w:val="WW8Num40z1"/>
    <w:rsid w:val="0034590E"/>
    <w:rPr>
      <w:rFonts w:ascii="Courier New" w:hAnsi="Courier New" w:cs="Courier New"/>
    </w:rPr>
  </w:style>
  <w:style w:type="character" w:customStyle="1" w:styleId="WW8Num40z2">
    <w:name w:val="WW8Num40z2"/>
    <w:rsid w:val="0034590E"/>
    <w:rPr>
      <w:rFonts w:ascii="Wingdings" w:hAnsi="Wingdings" w:cs="Wingdings"/>
    </w:rPr>
  </w:style>
  <w:style w:type="character" w:customStyle="1" w:styleId="WW8Num41z1">
    <w:name w:val="WW8Num41z1"/>
    <w:rsid w:val="0034590E"/>
    <w:rPr>
      <w:rFonts w:ascii="Courier New" w:hAnsi="Courier New" w:cs="Courier New"/>
    </w:rPr>
  </w:style>
  <w:style w:type="character" w:customStyle="1" w:styleId="WW8Num41z2">
    <w:name w:val="WW8Num41z2"/>
    <w:rsid w:val="0034590E"/>
    <w:rPr>
      <w:rFonts w:ascii="Wingdings" w:hAnsi="Wingdings" w:cs="Wingdings"/>
    </w:rPr>
  </w:style>
  <w:style w:type="character" w:customStyle="1" w:styleId="WW8Num41z3">
    <w:name w:val="WW8Num41z3"/>
    <w:rsid w:val="0034590E"/>
    <w:rPr>
      <w:rFonts w:ascii="Symbol" w:hAnsi="Symbol" w:cs="Symbol"/>
    </w:rPr>
  </w:style>
  <w:style w:type="character" w:customStyle="1" w:styleId="WW8Num42z1">
    <w:name w:val="WW8Num42z1"/>
    <w:rsid w:val="0034590E"/>
    <w:rPr>
      <w:rFonts w:ascii="Courier New" w:hAnsi="Courier New" w:cs="Courier New"/>
    </w:rPr>
  </w:style>
  <w:style w:type="character" w:customStyle="1" w:styleId="WW8Num42z2">
    <w:name w:val="WW8Num42z2"/>
    <w:rsid w:val="0034590E"/>
    <w:rPr>
      <w:rFonts w:ascii="Wingdings" w:hAnsi="Wingdings" w:cs="Wingdings"/>
    </w:rPr>
  </w:style>
  <w:style w:type="character" w:customStyle="1" w:styleId="WW8Num43z1">
    <w:name w:val="WW8Num43z1"/>
    <w:rsid w:val="0034590E"/>
    <w:rPr>
      <w:rFonts w:ascii="Courier New" w:hAnsi="Courier New" w:cs="Courier New"/>
    </w:rPr>
  </w:style>
  <w:style w:type="character" w:customStyle="1" w:styleId="WW8Num43z2">
    <w:name w:val="WW8Num43z2"/>
    <w:rsid w:val="0034590E"/>
    <w:rPr>
      <w:rFonts w:ascii="Wingdings" w:hAnsi="Wingdings" w:cs="Wingdings"/>
    </w:rPr>
  </w:style>
  <w:style w:type="character" w:customStyle="1" w:styleId="WW8Num44z1">
    <w:name w:val="WW8Num44z1"/>
    <w:rsid w:val="0034590E"/>
    <w:rPr>
      <w:rFonts w:ascii="Courier New" w:hAnsi="Courier New" w:cs="Courier New"/>
    </w:rPr>
  </w:style>
  <w:style w:type="character" w:customStyle="1" w:styleId="WW8Num44z2">
    <w:name w:val="WW8Num44z2"/>
    <w:rsid w:val="0034590E"/>
    <w:rPr>
      <w:rFonts w:ascii="Wingdings" w:hAnsi="Wingdings" w:cs="Wingdings"/>
    </w:rPr>
  </w:style>
  <w:style w:type="character" w:customStyle="1" w:styleId="WW8Num45z1">
    <w:name w:val="WW8Num45z1"/>
    <w:rsid w:val="0034590E"/>
    <w:rPr>
      <w:rFonts w:ascii="Courier New" w:hAnsi="Courier New" w:cs="Courier New"/>
    </w:rPr>
  </w:style>
  <w:style w:type="character" w:customStyle="1" w:styleId="WW8Num45z2">
    <w:name w:val="WW8Num45z2"/>
    <w:rsid w:val="0034590E"/>
    <w:rPr>
      <w:rFonts w:ascii="Wingdings" w:hAnsi="Wingdings" w:cs="Wingdings"/>
    </w:rPr>
  </w:style>
  <w:style w:type="character" w:customStyle="1" w:styleId="WW8Num46z1">
    <w:name w:val="WW8Num46z1"/>
    <w:rsid w:val="0034590E"/>
    <w:rPr>
      <w:rFonts w:ascii="Courier New" w:hAnsi="Courier New" w:cs="Courier New"/>
    </w:rPr>
  </w:style>
  <w:style w:type="character" w:customStyle="1" w:styleId="WW8Num46z2">
    <w:name w:val="WW8Num46z2"/>
    <w:rsid w:val="0034590E"/>
    <w:rPr>
      <w:rFonts w:ascii="Wingdings" w:hAnsi="Wingdings" w:cs="Wingdings"/>
    </w:rPr>
  </w:style>
  <w:style w:type="character" w:customStyle="1" w:styleId="WW8Num47z1">
    <w:name w:val="WW8Num47z1"/>
    <w:rsid w:val="0034590E"/>
    <w:rPr>
      <w:rFonts w:ascii="Courier New" w:hAnsi="Courier New" w:cs="Courier New"/>
    </w:rPr>
  </w:style>
  <w:style w:type="character" w:customStyle="1" w:styleId="WW8Num47z2">
    <w:name w:val="WW8Num47z2"/>
    <w:rsid w:val="0034590E"/>
    <w:rPr>
      <w:rFonts w:ascii="Wingdings" w:hAnsi="Wingdings" w:cs="Wingdings"/>
    </w:rPr>
  </w:style>
  <w:style w:type="character" w:customStyle="1" w:styleId="WW8Num47z3">
    <w:name w:val="WW8Num47z3"/>
    <w:rsid w:val="0034590E"/>
    <w:rPr>
      <w:rFonts w:ascii="Symbol" w:hAnsi="Symbol" w:cs="Symbol"/>
    </w:rPr>
  </w:style>
  <w:style w:type="character" w:customStyle="1" w:styleId="WW8Num48z1">
    <w:name w:val="WW8Num48z1"/>
    <w:rsid w:val="0034590E"/>
    <w:rPr>
      <w:rFonts w:ascii="Courier New" w:hAnsi="Courier New" w:cs="Courier New"/>
    </w:rPr>
  </w:style>
  <w:style w:type="character" w:customStyle="1" w:styleId="WW8Num48z2">
    <w:name w:val="WW8Num48z2"/>
    <w:rsid w:val="0034590E"/>
    <w:rPr>
      <w:rFonts w:ascii="Wingdings" w:hAnsi="Wingdings" w:cs="Wingdings"/>
    </w:rPr>
  </w:style>
  <w:style w:type="character" w:customStyle="1" w:styleId="WW8Num50z1">
    <w:name w:val="WW8Num50z1"/>
    <w:rsid w:val="0034590E"/>
    <w:rPr>
      <w:rFonts w:ascii="Courier New" w:hAnsi="Courier New" w:cs="Courier New"/>
    </w:rPr>
  </w:style>
  <w:style w:type="character" w:customStyle="1" w:styleId="WW8Num50z2">
    <w:name w:val="WW8Num50z2"/>
    <w:rsid w:val="0034590E"/>
    <w:rPr>
      <w:rFonts w:ascii="Wingdings" w:hAnsi="Wingdings" w:cs="Wingdings"/>
    </w:rPr>
  </w:style>
  <w:style w:type="character" w:customStyle="1" w:styleId="WW8Num51z0">
    <w:name w:val="WW8Num51z0"/>
    <w:rsid w:val="0034590E"/>
    <w:rPr>
      <w:rFonts w:ascii="Symbol" w:hAnsi="Symbol" w:cs="Symbol"/>
    </w:rPr>
  </w:style>
  <w:style w:type="character" w:customStyle="1" w:styleId="WW8Num51z1">
    <w:name w:val="WW8Num51z1"/>
    <w:rsid w:val="0034590E"/>
    <w:rPr>
      <w:rFonts w:ascii="Courier New" w:hAnsi="Courier New" w:cs="Courier New"/>
    </w:rPr>
  </w:style>
  <w:style w:type="character" w:customStyle="1" w:styleId="WW8Num51z2">
    <w:name w:val="WW8Num51z2"/>
    <w:rsid w:val="0034590E"/>
    <w:rPr>
      <w:rFonts w:ascii="Wingdings" w:hAnsi="Wingdings" w:cs="Wingdings"/>
    </w:rPr>
  </w:style>
  <w:style w:type="character" w:customStyle="1" w:styleId="WW8Num52z0">
    <w:name w:val="WW8Num52z0"/>
    <w:rsid w:val="0034590E"/>
    <w:rPr>
      <w:rFonts w:ascii="Symbol" w:hAnsi="Symbol" w:cs="Symbol"/>
    </w:rPr>
  </w:style>
  <w:style w:type="character" w:customStyle="1" w:styleId="WW8Num52z1">
    <w:name w:val="WW8Num52z1"/>
    <w:rsid w:val="0034590E"/>
    <w:rPr>
      <w:rFonts w:ascii="Courier New" w:hAnsi="Courier New" w:cs="Courier New"/>
    </w:rPr>
  </w:style>
  <w:style w:type="character" w:customStyle="1" w:styleId="WW8Num52z2">
    <w:name w:val="WW8Num52z2"/>
    <w:rsid w:val="0034590E"/>
    <w:rPr>
      <w:rFonts w:ascii="Wingdings" w:hAnsi="Wingdings" w:cs="Wingdings"/>
    </w:rPr>
  </w:style>
  <w:style w:type="character" w:customStyle="1" w:styleId="WW8Num53z0">
    <w:name w:val="WW8Num53z0"/>
    <w:rsid w:val="0034590E"/>
    <w:rPr>
      <w:rFonts w:ascii="Symbol" w:hAnsi="Symbol" w:cs="Symbol"/>
    </w:rPr>
  </w:style>
  <w:style w:type="character" w:customStyle="1" w:styleId="WW8Num53z1">
    <w:name w:val="WW8Num53z1"/>
    <w:rsid w:val="0034590E"/>
    <w:rPr>
      <w:rFonts w:ascii="Courier New" w:hAnsi="Courier New" w:cs="Courier New"/>
    </w:rPr>
  </w:style>
  <w:style w:type="character" w:customStyle="1" w:styleId="WW8Num53z2">
    <w:name w:val="WW8Num53z2"/>
    <w:rsid w:val="0034590E"/>
    <w:rPr>
      <w:rFonts w:ascii="Wingdings" w:hAnsi="Wingdings" w:cs="Wingdings"/>
    </w:rPr>
  </w:style>
  <w:style w:type="character" w:customStyle="1" w:styleId="WW8Num54z0">
    <w:name w:val="WW8Num54z0"/>
    <w:rsid w:val="0034590E"/>
    <w:rPr>
      <w:rFonts w:ascii="Symbol" w:hAnsi="Symbol" w:cs="Symbol"/>
    </w:rPr>
  </w:style>
  <w:style w:type="character" w:customStyle="1" w:styleId="WW8Num54z1">
    <w:name w:val="WW8Num54z1"/>
    <w:rsid w:val="0034590E"/>
    <w:rPr>
      <w:rFonts w:ascii="Courier New" w:hAnsi="Courier New" w:cs="Courier New"/>
    </w:rPr>
  </w:style>
  <w:style w:type="character" w:customStyle="1" w:styleId="WW8Num54z2">
    <w:name w:val="WW8Num54z2"/>
    <w:rsid w:val="0034590E"/>
    <w:rPr>
      <w:rFonts w:ascii="Wingdings" w:hAnsi="Wingdings" w:cs="Wingdings"/>
    </w:rPr>
  </w:style>
  <w:style w:type="character" w:customStyle="1" w:styleId="1fc">
    <w:name w:val="Основной шрифт абзаца1"/>
    <w:rsid w:val="0034590E"/>
  </w:style>
  <w:style w:type="character" w:customStyle="1" w:styleId="afffff">
    <w:name w:val="Символ сноски"/>
    <w:rsid w:val="0034590E"/>
    <w:rPr>
      <w:rFonts w:cs="Times New Roman"/>
      <w:vertAlign w:val="superscript"/>
    </w:rPr>
  </w:style>
  <w:style w:type="character" w:customStyle="1" w:styleId="afffff0">
    <w:name w:val="Символы концевой сноски"/>
    <w:rsid w:val="0034590E"/>
    <w:rPr>
      <w:vertAlign w:val="superscript"/>
    </w:rPr>
  </w:style>
  <w:style w:type="character" w:customStyle="1" w:styleId="afffff1">
    <w:name w:val="Маркеры списка"/>
    <w:rsid w:val="0034590E"/>
    <w:rPr>
      <w:rFonts w:ascii="OpenSymbol" w:eastAsia="OpenSymbol" w:hAnsi="OpenSymbol" w:cs="OpenSymbol"/>
    </w:rPr>
  </w:style>
  <w:style w:type="paragraph" w:customStyle="1" w:styleId="2a">
    <w:name w:val="Название2"/>
    <w:basedOn w:val="a"/>
    <w:rsid w:val="0034590E"/>
    <w:pPr>
      <w:suppressLineNumbers/>
      <w:suppressAutoHyphens/>
      <w:spacing w:before="120" w:after="120" w:line="288" w:lineRule="auto"/>
      <w:ind w:firstLine="567"/>
    </w:pPr>
    <w:rPr>
      <w:rFonts w:ascii="Calibri" w:hAnsi="Calibri" w:cs="Mangal"/>
      <w:i/>
      <w:iCs/>
      <w:szCs w:val="24"/>
      <w:lang w:eastAsia="ar-SA"/>
    </w:rPr>
  </w:style>
  <w:style w:type="paragraph" w:customStyle="1" w:styleId="2b">
    <w:name w:val="Указатель2"/>
    <w:basedOn w:val="a"/>
    <w:rsid w:val="0034590E"/>
    <w:pPr>
      <w:suppressLineNumbers/>
      <w:suppressAutoHyphens/>
      <w:spacing w:line="288" w:lineRule="auto"/>
      <w:ind w:firstLine="567"/>
    </w:pPr>
    <w:rPr>
      <w:rFonts w:ascii="Calibri" w:hAnsi="Calibri" w:cs="Mangal"/>
      <w:sz w:val="22"/>
      <w:lang w:eastAsia="ar-SA"/>
    </w:rPr>
  </w:style>
  <w:style w:type="paragraph" w:customStyle="1" w:styleId="1fd">
    <w:name w:val="Указатель1"/>
    <w:basedOn w:val="a"/>
    <w:rsid w:val="0034590E"/>
    <w:pPr>
      <w:suppressLineNumbers/>
      <w:suppressAutoHyphens/>
      <w:spacing w:line="288" w:lineRule="auto"/>
      <w:ind w:firstLine="567"/>
    </w:pPr>
    <w:rPr>
      <w:rFonts w:ascii="Calibri" w:hAnsi="Calibri" w:cs="Mangal"/>
      <w:sz w:val="22"/>
      <w:lang w:eastAsia="ar-SA"/>
    </w:rPr>
  </w:style>
  <w:style w:type="paragraph" w:customStyle="1" w:styleId="afffff2">
    <w:name w:val="Заголовок таблицы"/>
    <w:basedOn w:val="affff4"/>
    <w:rsid w:val="0034590E"/>
    <w:pPr>
      <w:widowControl w:val="0"/>
      <w:suppressAutoHyphens/>
      <w:spacing w:line="240" w:lineRule="auto"/>
      <w:ind w:firstLine="567"/>
      <w:jc w:val="center"/>
    </w:pPr>
    <w:rPr>
      <w:rFonts w:ascii="Arial" w:eastAsia="Arial Unicode MS" w:hAnsi="Arial" w:cs="Times New Roman"/>
      <w:b/>
      <w:bCs/>
      <w:kern w:val="1"/>
      <w:sz w:val="20"/>
      <w:szCs w:val="24"/>
      <w:lang w:eastAsia="ar-SA"/>
    </w:rPr>
  </w:style>
  <w:style w:type="character" w:customStyle="1" w:styleId="slug-pub-date3">
    <w:name w:val="slug-pub-date3"/>
    <w:rsid w:val="0034590E"/>
    <w:rPr>
      <w:b/>
      <w:bCs/>
    </w:rPr>
  </w:style>
  <w:style w:type="character" w:customStyle="1" w:styleId="slug-vol">
    <w:name w:val="slug-vol"/>
    <w:rsid w:val="0034590E"/>
  </w:style>
  <w:style w:type="character" w:customStyle="1" w:styleId="slug-issue">
    <w:name w:val="slug-issue"/>
    <w:rsid w:val="0034590E"/>
  </w:style>
  <w:style w:type="character" w:customStyle="1" w:styleId="slug-pages3">
    <w:name w:val="slug-pages3"/>
    <w:rsid w:val="0034590E"/>
    <w:rPr>
      <w:b/>
      <w:bCs/>
    </w:rPr>
  </w:style>
  <w:style w:type="paragraph" w:customStyle="1" w:styleId="LTGliederung1">
    <w:name w:val="???????~LT~Gliederung 1"/>
    <w:rsid w:val="0034590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9PalatinoLinotype">
    <w:name w:val="Основной текст (9) + Palatino Linotype"/>
    <w:aliases w:val="7,5 pt"/>
    <w:uiPriority w:val="99"/>
    <w:rsid w:val="0034590E"/>
    <w:rPr>
      <w:rFonts w:ascii="Palatino Linotype" w:hAnsi="Palatino Linotype" w:cs="Palatino Linotype"/>
      <w:spacing w:val="0"/>
      <w:sz w:val="15"/>
      <w:szCs w:val="15"/>
    </w:rPr>
  </w:style>
  <w:style w:type="table" w:customStyle="1" w:styleId="510">
    <w:name w:val="Таблица простая 51"/>
    <w:basedOn w:val="a2"/>
    <w:uiPriority w:val="45"/>
    <w:rsid w:val="0034590E"/>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bsatz-Standardschriftart">
    <w:name w:val="Absatz-Standardschriftart"/>
    <w:rsid w:val="0034590E"/>
  </w:style>
  <w:style w:type="character" w:customStyle="1" w:styleId="WW-Absatz-Standardschriftart">
    <w:name w:val="WW-Absatz-Standardschriftart"/>
    <w:rsid w:val="0034590E"/>
  </w:style>
  <w:style w:type="paragraph" w:customStyle="1" w:styleId="p1">
    <w:name w:val="p1"/>
    <w:basedOn w:val="a"/>
    <w:rsid w:val="0034590E"/>
    <w:pPr>
      <w:spacing w:line="240" w:lineRule="auto"/>
      <w:ind w:firstLine="0"/>
      <w:jc w:val="left"/>
    </w:pPr>
    <w:rPr>
      <w:rFonts w:ascii="Helvetica Neue" w:hAnsi="Helvetica Neue"/>
      <w:color w:val="000000"/>
      <w:sz w:val="20"/>
      <w:szCs w:val="20"/>
      <w:lang w:eastAsia="ru-RU"/>
    </w:rPr>
  </w:style>
  <w:style w:type="paragraph" w:customStyle="1" w:styleId="ListParagraph1">
    <w:name w:val="List Paragraph1"/>
    <w:basedOn w:val="a"/>
    <w:rsid w:val="0034590E"/>
    <w:pPr>
      <w:suppressAutoHyphens/>
      <w:spacing w:after="200" w:line="276" w:lineRule="auto"/>
      <w:ind w:firstLine="0"/>
      <w:jc w:val="left"/>
    </w:pPr>
    <w:rPr>
      <w:rFonts w:ascii="Calibri" w:hAnsi="Calibri" w:cs="Calibri"/>
      <w:sz w:val="22"/>
      <w:lang w:val="nl-NL" w:eastAsia="ar-SA"/>
    </w:rPr>
  </w:style>
  <w:style w:type="character" w:customStyle="1" w:styleId="Caaieiaie1Ciae">
    <w:name w:val="Caaieiaie 1 Ciae"/>
    <w:uiPriority w:val="99"/>
    <w:rsid w:val="0034590E"/>
    <w:rPr>
      <w:rFonts w:ascii="Cambria" w:hAnsi="Cambria" w:cs="Cambria"/>
      <w:b/>
      <w:bCs/>
      <w:kern w:val="32"/>
      <w:sz w:val="32"/>
      <w:szCs w:val="32"/>
    </w:rPr>
  </w:style>
  <w:style w:type="character" w:customStyle="1" w:styleId="Caaieiaie2Ciae">
    <w:name w:val="Caaieiaie 2 Ciae"/>
    <w:uiPriority w:val="99"/>
    <w:rsid w:val="0034590E"/>
    <w:rPr>
      <w:rFonts w:ascii="Cambria" w:hAnsi="Cambria" w:cs="Cambria"/>
      <w:b/>
      <w:bCs/>
      <w:i/>
      <w:iCs/>
      <w:sz w:val="28"/>
      <w:szCs w:val="28"/>
    </w:rPr>
  </w:style>
  <w:style w:type="character" w:customStyle="1" w:styleId="Caaieiaie3Ciae">
    <w:name w:val="Caaieiaie 3 Ciae"/>
    <w:uiPriority w:val="99"/>
    <w:rsid w:val="0034590E"/>
    <w:rPr>
      <w:rFonts w:ascii="Cambria" w:hAnsi="Cambria" w:cs="Cambria"/>
      <w:b/>
      <w:bCs/>
      <w:sz w:val="26"/>
      <w:szCs w:val="26"/>
    </w:rPr>
  </w:style>
  <w:style w:type="character" w:customStyle="1" w:styleId="Caaieiaie4Ciae">
    <w:name w:val="Caaieiaie 4 Ciae"/>
    <w:uiPriority w:val="99"/>
    <w:rsid w:val="0034590E"/>
    <w:rPr>
      <w:rFonts w:ascii="Times New Roman" w:hAnsi="Times New Roman" w:cs="Times New Roman"/>
      <w:b/>
      <w:bCs/>
      <w:sz w:val="28"/>
      <w:szCs w:val="28"/>
    </w:rPr>
  </w:style>
  <w:style w:type="character" w:customStyle="1" w:styleId="Caaieiaie5Ciae">
    <w:name w:val="Caaieiaie 5 Ciae"/>
    <w:uiPriority w:val="99"/>
    <w:rsid w:val="0034590E"/>
    <w:rPr>
      <w:rFonts w:cs="Times New Roman"/>
      <w:b/>
      <w:bCs/>
      <w:i/>
      <w:iCs/>
      <w:sz w:val="26"/>
      <w:szCs w:val="26"/>
    </w:rPr>
  </w:style>
  <w:style w:type="character" w:customStyle="1" w:styleId="Caaieiaie6Ciae">
    <w:name w:val="Caaieiaie 6 Ciae"/>
    <w:uiPriority w:val="99"/>
    <w:rsid w:val="0034590E"/>
    <w:rPr>
      <w:rFonts w:cs="Times New Roman"/>
      <w:b/>
      <w:bCs/>
    </w:rPr>
  </w:style>
  <w:style w:type="character" w:customStyle="1" w:styleId="Caaieiaie7Ciae">
    <w:name w:val="Caaieiaie 7 Ciae"/>
    <w:uiPriority w:val="99"/>
    <w:rsid w:val="0034590E"/>
    <w:rPr>
      <w:rFonts w:cs="Times New Roman"/>
      <w:sz w:val="24"/>
      <w:szCs w:val="24"/>
    </w:rPr>
  </w:style>
  <w:style w:type="character" w:customStyle="1" w:styleId="Caaieiaie1Ciae1">
    <w:name w:val="Caaieiaie 1 Ciae1"/>
    <w:uiPriority w:val="99"/>
    <w:rsid w:val="0034590E"/>
    <w:rPr>
      <w:rFonts w:ascii="Cambria" w:hAnsi="Cambria" w:cs="Cambria"/>
      <w:b/>
      <w:bCs/>
      <w:kern w:val="32"/>
      <w:sz w:val="32"/>
      <w:szCs w:val="32"/>
    </w:rPr>
  </w:style>
  <w:style w:type="character" w:customStyle="1" w:styleId="Caaieiaie2Ciae1">
    <w:name w:val="Caaieiaie 2 Ciae1"/>
    <w:uiPriority w:val="99"/>
    <w:rsid w:val="0034590E"/>
    <w:rPr>
      <w:rFonts w:ascii="Cambria" w:hAnsi="Cambria" w:cs="Cambria"/>
      <w:b/>
      <w:bCs/>
      <w:i/>
      <w:iCs/>
      <w:sz w:val="28"/>
      <w:szCs w:val="28"/>
    </w:rPr>
  </w:style>
  <w:style w:type="character" w:customStyle="1" w:styleId="Caaieiaie3Ciae1">
    <w:name w:val="Caaieiaie 3 Ciae1"/>
    <w:uiPriority w:val="99"/>
    <w:rsid w:val="0034590E"/>
    <w:rPr>
      <w:rFonts w:ascii="Cambria" w:hAnsi="Cambria" w:cs="Cambria"/>
      <w:b/>
      <w:bCs/>
      <w:sz w:val="26"/>
      <w:szCs w:val="26"/>
    </w:rPr>
  </w:style>
  <w:style w:type="character" w:customStyle="1" w:styleId="Caaieiaie4Ciae1">
    <w:name w:val="Caaieiaie 4 Ciae1"/>
    <w:uiPriority w:val="99"/>
    <w:rsid w:val="0034590E"/>
    <w:rPr>
      <w:rFonts w:ascii="Times New Roman" w:hAnsi="Times New Roman" w:cs="Times New Roman"/>
      <w:b/>
      <w:bCs/>
      <w:sz w:val="28"/>
      <w:szCs w:val="28"/>
    </w:rPr>
  </w:style>
  <w:style w:type="character" w:customStyle="1" w:styleId="Caaieiaie5Ciae1">
    <w:name w:val="Caaieiaie 5 Ciae1"/>
    <w:uiPriority w:val="99"/>
    <w:rsid w:val="0034590E"/>
    <w:rPr>
      <w:rFonts w:cs="Times New Roman"/>
      <w:b/>
      <w:bCs/>
      <w:i/>
      <w:iCs/>
      <w:sz w:val="26"/>
      <w:szCs w:val="26"/>
    </w:rPr>
  </w:style>
  <w:style w:type="character" w:customStyle="1" w:styleId="Caaieiaie6Ciae1">
    <w:name w:val="Caaieiaie 6 Ciae1"/>
    <w:uiPriority w:val="99"/>
    <w:rsid w:val="0034590E"/>
    <w:rPr>
      <w:rFonts w:cs="Times New Roman"/>
      <w:b/>
      <w:bCs/>
    </w:rPr>
  </w:style>
  <w:style w:type="character" w:customStyle="1" w:styleId="Caaieiaie7Ciae1">
    <w:name w:val="Caaieiaie 7 Ciae1"/>
    <w:uiPriority w:val="99"/>
    <w:rsid w:val="0034590E"/>
    <w:rPr>
      <w:rFonts w:cs="Times New Roman"/>
      <w:sz w:val="24"/>
      <w:szCs w:val="24"/>
    </w:rPr>
  </w:style>
  <w:style w:type="paragraph" w:customStyle="1" w:styleId="Heading5">
    <w:name w:val="Heading5"/>
    <w:basedOn w:val="a"/>
    <w:uiPriority w:val="99"/>
    <w:rsid w:val="0034590E"/>
    <w:pPr>
      <w:autoSpaceDE w:val="0"/>
      <w:autoSpaceDN w:val="0"/>
      <w:adjustRightInd w:val="0"/>
      <w:spacing w:before="100" w:after="100" w:line="240" w:lineRule="auto"/>
      <w:ind w:firstLine="0"/>
      <w:jc w:val="left"/>
    </w:pPr>
    <w:rPr>
      <w:rFonts w:eastAsia="Times New Roman"/>
      <w:b/>
      <w:bCs/>
      <w:i/>
      <w:iCs/>
      <w:szCs w:val="24"/>
      <w:lang w:eastAsia="ru-RU"/>
    </w:rPr>
  </w:style>
  <w:style w:type="paragraph" w:customStyle="1" w:styleId="FitzBullet">
    <w:name w:val="FitzBullet"/>
    <w:basedOn w:val="a"/>
    <w:rsid w:val="0034590E"/>
    <w:pPr>
      <w:shd w:val="clear" w:color="auto" w:fill="FFFFFF"/>
      <w:tabs>
        <w:tab w:val="left" w:pos="317"/>
      </w:tabs>
      <w:autoSpaceDE w:val="0"/>
      <w:autoSpaceDN w:val="0"/>
      <w:adjustRightInd w:val="0"/>
      <w:spacing w:before="60" w:after="60" w:line="240" w:lineRule="auto"/>
      <w:ind w:left="283" w:hanging="283"/>
      <w:jc w:val="left"/>
    </w:pPr>
    <w:rPr>
      <w:rFonts w:eastAsia="Times New Roman"/>
      <w:color w:val="000000"/>
      <w:szCs w:val="24"/>
      <w:lang w:eastAsia="ru-RU"/>
    </w:rPr>
  </w:style>
  <w:style w:type="paragraph" w:customStyle="1" w:styleId="author">
    <w:name w:val="author"/>
    <w:basedOn w:val="3"/>
    <w:uiPriority w:val="99"/>
    <w:rsid w:val="0034590E"/>
    <w:pPr>
      <w:widowControl w:val="0"/>
      <w:shd w:val="clear" w:color="auto" w:fill="FFFFFF"/>
      <w:autoSpaceDE w:val="0"/>
      <w:autoSpaceDN w:val="0"/>
      <w:adjustRightInd w:val="0"/>
      <w:spacing w:after="40" w:line="240" w:lineRule="auto"/>
      <w:jc w:val="left"/>
      <w:outlineLvl w:val="9"/>
    </w:pPr>
    <w:rPr>
      <w:rFonts w:ascii="Arial" w:eastAsia="Times New Roman" w:hAnsi="Arial" w:cs="Arial"/>
      <w:color w:val="auto"/>
      <w:sz w:val="26"/>
      <w:szCs w:val="26"/>
      <w:lang w:val="en-US" w:eastAsia="ru-RU"/>
    </w:rPr>
  </w:style>
  <w:style w:type="paragraph" w:customStyle="1" w:styleId="Bullet-2">
    <w:name w:val="Bullet-2"/>
    <w:basedOn w:val="FitzBullet"/>
    <w:uiPriority w:val="99"/>
    <w:rsid w:val="0034590E"/>
    <w:pPr>
      <w:tabs>
        <w:tab w:val="clear" w:pos="317"/>
        <w:tab w:val="left" w:pos="1134"/>
      </w:tabs>
      <w:ind w:left="1417"/>
    </w:pPr>
    <w:rPr>
      <w:lang w:val="en-US"/>
    </w:rPr>
  </w:style>
  <w:style w:type="paragraph" w:customStyle="1" w:styleId="opisdvfld">
    <w:name w:val="opis_dvfld"/>
    <w:basedOn w:val="a"/>
    <w:rsid w:val="0034590E"/>
    <w:pPr>
      <w:spacing w:before="100" w:beforeAutospacing="1" w:after="100" w:afterAutospacing="1" w:line="240" w:lineRule="auto"/>
      <w:ind w:firstLine="0"/>
      <w:jc w:val="left"/>
    </w:pPr>
    <w:rPr>
      <w:rFonts w:eastAsia="Times New Roman"/>
      <w:szCs w:val="24"/>
      <w:lang w:eastAsia="ru-RU"/>
    </w:rPr>
  </w:style>
  <w:style w:type="paragraph" w:customStyle="1" w:styleId="afffff3">
    <w:name w:val="Литература"/>
    <w:basedOn w:val="a"/>
    <w:qFormat/>
    <w:rsid w:val="0034590E"/>
    <w:pPr>
      <w:suppressAutoHyphens/>
      <w:spacing w:after="120" w:line="240" w:lineRule="auto"/>
      <w:ind w:firstLine="0"/>
      <w:jc w:val="left"/>
    </w:pPr>
    <w:rPr>
      <w:i/>
      <w:kern w:val="2"/>
      <w:szCs w:val="24"/>
      <w:lang w:val="en-US"/>
    </w:rPr>
  </w:style>
  <w:style w:type="character" w:customStyle="1" w:styleId="cit">
    <w:name w:val="cit"/>
    <w:basedOn w:val="a1"/>
    <w:rsid w:val="0034590E"/>
  </w:style>
  <w:style w:type="character" w:customStyle="1" w:styleId="al-author-delim">
    <w:name w:val="al-author-delim"/>
    <w:basedOn w:val="a1"/>
    <w:rsid w:val="0034590E"/>
  </w:style>
  <w:style w:type="character" w:styleId="afffff4">
    <w:name w:val="line number"/>
    <w:basedOn w:val="a1"/>
    <w:uiPriority w:val="99"/>
    <w:semiHidden/>
    <w:unhideWhenUsed/>
    <w:rsid w:val="0034590E"/>
  </w:style>
  <w:style w:type="character" w:customStyle="1" w:styleId="author-sup-separator">
    <w:name w:val="author-sup-separator"/>
    <w:rsid w:val="0034590E"/>
  </w:style>
  <w:style w:type="character" w:customStyle="1" w:styleId="comma">
    <w:name w:val="comma"/>
    <w:rsid w:val="0034590E"/>
  </w:style>
  <w:style w:type="character" w:customStyle="1" w:styleId="citation-doi">
    <w:name w:val="citation-doi"/>
    <w:rsid w:val="0034590E"/>
  </w:style>
  <w:style w:type="character" w:customStyle="1" w:styleId="st">
    <w:name w:val="st"/>
    <w:rsid w:val="0034590E"/>
  </w:style>
  <w:style w:type="character" w:customStyle="1" w:styleId="2c">
    <w:name w:val="Строгий2"/>
    <w:rsid w:val="0034590E"/>
  </w:style>
  <w:style w:type="character" w:customStyle="1" w:styleId="pagelast">
    <w:name w:val="pagelast"/>
    <w:uiPriority w:val="99"/>
    <w:rsid w:val="0034590E"/>
    <w:rPr>
      <w:rFonts w:cs="Times New Roman"/>
    </w:rPr>
  </w:style>
  <w:style w:type="paragraph" w:customStyle="1" w:styleId="Autor">
    <w:name w:val="Autor"/>
    <w:basedOn w:val="a"/>
    <w:rsid w:val="0034590E"/>
    <w:pPr>
      <w:widowControl w:val="0"/>
      <w:shd w:val="clear" w:color="auto" w:fill="FFFFFF"/>
      <w:overflowPunct w:val="0"/>
      <w:autoSpaceDE w:val="0"/>
      <w:autoSpaceDN w:val="0"/>
      <w:adjustRightInd w:val="0"/>
      <w:spacing w:before="120" w:line="240" w:lineRule="atLeast"/>
      <w:ind w:firstLine="0"/>
      <w:jc w:val="left"/>
      <w:textAlignment w:val="baseline"/>
    </w:pPr>
    <w:rPr>
      <w:i/>
      <w:iCs/>
      <w:sz w:val="22"/>
      <w:lang w:val="en-US" w:eastAsia="ru-RU"/>
    </w:rPr>
  </w:style>
  <w:style w:type="paragraph" w:customStyle="1" w:styleId="table-name">
    <w:name w:val="table-name"/>
    <w:basedOn w:val="a"/>
    <w:rsid w:val="0034590E"/>
    <w:pPr>
      <w:autoSpaceDE w:val="0"/>
      <w:autoSpaceDN w:val="0"/>
      <w:adjustRightInd w:val="0"/>
      <w:spacing w:before="40" w:line="240" w:lineRule="auto"/>
      <w:ind w:firstLine="425"/>
      <w:jc w:val="left"/>
    </w:pPr>
    <w:rPr>
      <w:rFonts w:eastAsia="Times New Roman"/>
      <w:b/>
      <w:bCs/>
      <w:color w:val="000000"/>
      <w:sz w:val="20"/>
      <w:szCs w:val="20"/>
      <w:lang w:val="en-US" w:eastAsia="ru-RU"/>
    </w:rPr>
  </w:style>
  <w:style w:type="paragraph" w:customStyle="1" w:styleId="Table-head-italic">
    <w:name w:val="Table-head-italic"/>
    <w:basedOn w:val="a"/>
    <w:rsid w:val="0034590E"/>
    <w:pPr>
      <w:widowControl w:val="0"/>
      <w:shd w:val="clear" w:color="auto" w:fill="FFFFFF"/>
      <w:autoSpaceDE w:val="0"/>
      <w:autoSpaceDN w:val="0"/>
      <w:adjustRightInd w:val="0"/>
      <w:spacing w:line="240" w:lineRule="auto"/>
      <w:ind w:firstLine="0"/>
      <w:jc w:val="left"/>
    </w:pPr>
    <w:rPr>
      <w:rFonts w:eastAsia="Times New Roman"/>
      <w:i/>
      <w:iCs/>
      <w:sz w:val="18"/>
      <w:szCs w:val="18"/>
      <w:lang w:val="en-US" w:eastAsia="ru-RU"/>
    </w:rPr>
  </w:style>
  <w:style w:type="paragraph" w:customStyle="1" w:styleId="table-text-0">
    <w:name w:val="table-text-0"/>
    <w:basedOn w:val="a"/>
    <w:rsid w:val="0034590E"/>
    <w:pPr>
      <w:autoSpaceDE w:val="0"/>
      <w:autoSpaceDN w:val="0"/>
      <w:adjustRightInd w:val="0"/>
      <w:spacing w:before="40" w:line="240" w:lineRule="auto"/>
      <w:ind w:left="113" w:firstLine="425"/>
      <w:jc w:val="left"/>
    </w:pPr>
    <w:rPr>
      <w:rFonts w:eastAsia="Times New Roman"/>
      <w:sz w:val="20"/>
      <w:szCs w:val="20"/>
      <w:lang w:val="en-US" w:eastAsia="ru-RU"/>
    </w:rPr>
  </w:style>
  <w:style w:type="paragraph" w:customStyle="1" w:styleId="FitzFootnote">
    <w:name w:val="FitzFootnote"/>
    <w:basedOn w:val="a"/>
    <w:rsid w:val="0034590E"/>
    <w:pPr>
      <w:shd w:val="clear" w:color="auto" w:fill="FFFFFF"/>
      <w:autoSpaceDE w:val="0"/>
      <w:autoSpaceDN w:val="0"/>
      <w:adjustRightInd w:val="0"/>
      <w:spacing w:before="60" w:after="60" w:line="240" w:lineRule="auto"/>
      <w:ind w:firstLine="0"/>
      <w:jc w:val="left"/>
    </w:pPr>
    <w:rPr>
      <w:rFonts w:eastAsia="Times New Roman"/>
      <w:color w:val="000000"/>
      <w:sz w:val="18"/>
      <w:szCs w:val="18"/>
      <w:lang w:val="en-US" w:eastAsia="ru-RU"/>
    </w:rPr>
  </w:style>
  <w:style w:type="paragraph" w:customStyle="1" w:styleId="table-text-1">
    <w:name w:val="table-text-1"/>
    <w:basedOn w:val="a"/>
    <w:rsid w:val="0034590E"/>
    <w:pPr>
      <w:overflowPunct w:val="0"/>
      <w:autoSpaceDE w:val="0"/>
      <w:autoSpaceDN w:val="0"/>
      <w:adjustRightInd w:val="0"/>
      <w:spacing w:before="40" w:after="40" w:line="240" w:lineRule="auto"/>
      <w:ind w:left="340" w:hanging="170"/>
      <w:jc w:val="left"/>
      <w:textAlignment w:val="baseline"/>
    </w:pPr>
    <w:rPr>
      <w:rFonts w:eastAsia="Times New Roman"/>
      <w:color w:val="000000"/>
      <w:sz w:val="17"/>
      <w:szCs w:val="20"/>
      <w:lang w:eastAsia="ru-RU"/>
    </w:rPr>
  </w:style>
  <w:style w:type="paragraph" w:customStyle="1" w:styleId="formula">
    <w:name w:val="formula"/>
    <w:basedOn w:val="a"/>
    <w:rsid w:val="0034590E"/>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sz w:val="20"/>
      <w:szCs w:val="20"/>
      <w:lang w:eastAsia="ru-RU"/>
    </w:rPr>
  </w:style>
  <w:style w:type="paragraph" w:customStyle="1" w:styleId="1fe">
    <w:name w:val="Обычный (веб)1"/>
    <w:basedOn w:val="a"/>
    <w:uiPriority w:val="99"/>
    <w:unhideWhenUsed/>
    <w:qFormat/>
    <w:rsid w:val="0034590E"/>
    <w:pPr>
      <w:spacing w:beforeAutospacing="1" w:afterAutospacing="1" w:line="288" w:lineRule="auto"/>
      <w:ind w:firstLine="0"/>
      <w:jc w:val="left"/>
    </w:pPr>
    <w:rPr>
      <w:rFonts w:eastAsia="Times New Roman"/>
      <w:szCs w:val="24"/>
      <w:lang w:eastAsia="ru-RU"/>
    </w:rPr>
  </w:style>
  <w:style w:type="character" w:customStyle="1" w:styleId="highlight1">
    <w:name w:val="highlight1"/>
    <w:basedOn w:val="a1"/>
    <w:rsid w:val="0034590E"/>
  </w:style>
  <w:style w:type="character" w:customStyle="1" w:styleId="element-citation">
    <w:name w:val="element-citation"/>
    <w:basedOn w:val="a1"/>
    <w:rsid w:val="0034590E"/>
  </w:style>
  <w:style w:type="character" w:customStyle="1" w:styleId="ref-journal">
    <w:name w:val="ref-journal"/>
    <w:basedOn w:val="a1"/>
    <w:rsid w:val="0034590E"/>
  </w:style>
  <w:style w:type="character" w:customStyle="1" w:styleId="ref-vol">
    <w:name w:val="ref-vol"/>
    <w:basedOn w:val="a1"/>
    <w:rsid w:val="0034590E"/>
  </w:style>
  <w:style w:type="character" w:customStyle="1" w:styleId="nowrap">
    <w:name w:val="nowrap"/>
    <w:basedOn w:val="a1"/>
    <w:rsid w:val="0034590E"/>
  </w:style>
  <w:style w:type="paragraph" w:customStyle="1" w:styleId="1ff">
    <w:name w:val="Заголовок оглавления1"/>
    <w:basedOn w:val="11"/>
    <w:rsid w:val="0034590E"/>
    <w:pPr>
      <w:suppressAutoHyphens w:val="0"/>
      <w:spacing w:after="120" w:line="276" w:lineRule="auto"/>
      <w:jc w:val="center"/>
    </w:pPr>
    <w:rPr>
      <w:rFonts w:eastAsia="Times New Roman"/>
      <w:sz w:val="22"/>
      <w:szCs w:val="20"/>
      <w:u w:val="none"/>
    </w:rPr>
  </w:style>
  <w:style w:type="paragraph" w:customStyle="1" w:styleId="35">
    <w:name w:val="3"/>
    <w:basedOn w:val="a"/>
    <w:link w:val="36"/>
    <w:qFormat/>
    <w:rsid w:val="0034590E"/>
    <w:pPr>
      <w:ind w:left="142" w:firstLine="0"/>
      <w:contextualSpacing/>
    </w:pPr>
  </w:style>
  <w:style w:type="character" w:customStyle="1" w:styleId="36">
    <w:name w:val="3 Знак"/>
    <w:basedOn w:val="a1"/>
    <w:link w:val="35"/>
    <w:rsid w:val="0034590E"/>
    <w:rPr>
      <w:rFonts w:ascii="Times New Roman" w:hAnsi="Times New Roman"/>
      <w:sz w:val="24"/>
      <w:szCs w:val="22"/>
      <w:lang w:eastAsia="en-US"/>
    </w:rPr>
  </w:style>
  <w:style w:type="paragraph" w:styleId="42">
    <w:name w:val="toc 4"/>
    <w:basedOn w:val="a"/>
    <w:next w:val="a"/>
    <w:autoRedefine/>
    <w:uiPriority w:val="39"/>
    <w:unhideWhenUsed/>
    <w:rsid w:val="0034590E"/>
    <w:pPr>
      <w:ind w:left="720"/>
      <w:jc w:val="left"/>
    </w:pPr>
    <w:rPr>
      <w:rFonts w:asciiTheme="minorHAnsi" w:hAnsiTheme="minorHAnsi"/>
      <w:sz w:val="20"/>
      <w:szCs w:val="20"/>
    </w:rPr>
  </w:style>
  <w:style w:type="paragraph" w:styleId="52">
    <w:name w:val="toc 5"/>
    <w:basedOn w:val="a"/>
    <w:next w:val="a"/>
    <w:autoRedefine/>
    <w:uiPriority w:val="39"/>
    <w:unhideWhenUsed/>
    <w:rsid w:val="0034590E"/>
    <w:pPr>
      <w:ind w:left="960"/>
      <w:jc w:val="left"/>
    </w:pPr>
    <w:rPr>
      <w:rFonts w:asciiTheme="minorHAnsi" w:hAnsiTheme="minorHAnsi"/>
      <w:sz w:val="20"/>
      <w:szCs w:val="20"/>
    </w:rPr>
  </w:style>
  <w:style w:type="paragraph" w:styleId="61">
    <w:name w:val="toc 6"/>
    <w:basedOn w:val="a"/>
    <w:next w:val="a"/>
    <w:autoRedefine/>
    <w:uiPriority w:val="39"/>
    <w:unhideWhenUsed/>
    <w:rsid w:val="0034590E"/>
    <w:pPr>
      <w:ind w:left="1200"/>
      <w:jc w:val="left"/>
    </w:pPr>
    <w:rPr>
      <w:rFonts w:asciiTheme="minorHAnsi" w:hAnsiTheme="minorHAnsi"/>
      <w:sz w:val="20"/>
      <w:szCs w:val="20"/>
    </w:rPr>
  </w:style>
  <w:style w:type="paragraph" w:styleId="72">
    <w:name w:val="toc 7"/>
    <w:basedOn w:val="a"/>
    <w:next w:val="a"/>
    <w:autoRedefine/>
    <w:uiPriority w:val="39"/>
    <w:unhideWhenUsed/>
    <w:rsid w:val="0034590E"/>
    <w:pPr>
      <w:ind w:left="1440"/>
      <w:jc w:val="left"/>
    </w:pPr>
    <w:rPr>
      <w:rFonts w:asciiTheme="minorHAnsi" w:hAnsiTheme="minorHAnsi"/>
      <w:sz w:val="20"/>
      <w:szCs w:val="20"/>
    </w:rPr>
  </w:style>
  <w:style w:type="paragraph" w:styleId="82">
    <w:name w:val="toc 8"/>
    <w:basedOn w:val="a"/>
    <w:next w:val="a"/>
    <w:autoRedefine/>
    <w:uiPriority w:val="39"/>
    <w:unhideWhenUsed/>
    <w:rsid w:val="0034590E"/>
    <w:pPr>
      <w:ind w:left="1680"/>
      <w:jc w:val="left"/>
    </w:pPr>
    <w:rPr>
      <w:rFonts w:asciiTheme="minorHAnsi" w:hAnsiTheme="minorHAnsi"/>
      <w:sz w:val="20"/>
      <w:szCs w:val="20"/>
    </w:rPr>
  </w:style>
  <w:style w:type="paragraph" w:styleId="92">
    <w:name w:val="toc 9"/>
    <w:basedOn w:val="a"/>
    <w:next w:val="a"/>
    <w:autoRedefine/>
    <w:uiPriority w:val="39"/>
    <w:unhideWhenUsed/>
    <w:rsid w:val="0034590E"/>
    <w:pPr>
      <w:ind w:left="1920"/>
      <w:jc w:val="left"/>
    </w:pPr>
    <w:rPr>
      <w:rFonts w:asciiTheme="minorHAnsi" w:hAnsiTheme="minorHAnsi"/>
      <w:sz w:val="20"/>
      <w:szCs w:val="20"/>
    </w:rPr>
  </w:style>
  <w:style w:type="paragraph" w:customStyle="1" w:styleId="Author0">
    <w:name w:val="Author"/>
    <w:rsid w:val="0034590E"/>
    <w:pPr>
      <w:ind w:firstLine="284"/>
      <w:jc w:val="center"/>
    </w:pPr>
    <w:rPr>
      <w:rFonts w:ascii="Times New Roman" w:eastAsia="Arial Unicode MS" w:hAnsi="Times New Roman" w:cs="Arial Unicode MS"/>
      <w:i/>
      <w:iCs/>
      <w:color w:val="000000"/>
      <w:sz w:val="24"/>
      <w:szCs w:val="24"/>
      <w:u w:color="000000"/>
    </w:rPr>
  </w:style>
  <w:style w:type="paragraph" w:customStyle="1" w:styleId="bullet">
    <w:name w:val="bullet"/>
    <w:rsid w:val="0034590E"/>
    <w:pPr>
      <w:shd w:val="clear" w:color="auto" w:fill="FFFFFF"/>
      <w:tabs>
        <w:tab w:val="left" w:pos="360"/>
        <w:tab w:val="left" w:pos="394"/>
        <w:tab w:val="left" w:pos="1364"/>
      </w:tabs>
      <w:ind w:firstLine="397"/>
    </w:pPr>
    <w:rPr>
      <w:rFonts w:ascii="Times New Roman" w:eastAsia="Arial Unicode MS" w:hAnsi="Times New Roman" w:cs="Arial Unicode MS"/>
      <w:color w:val="000000"/>
      <w:spacing w:val="-7"/>
      <w:sz w:val="24"/>
      <w:szCs w:val="24"/>
      <w:u w:color="000000"/>
    </w:rPr>
  </w:style>
  <w:style w:type="paragraph" w:customStyle="1" w:styleId="Number1">
    <w:name w:val="Number1"/>
    <w:rsid w:val="0034590E"/>
    <w:pPr>
      <w:shd w:val="clear" w:color="auto" w:fill="FFFFFF"/>
      <w:tabs>
        <w:tab w:val="left" w:pos="394"/>
      </w:tabs>
      <w:spacing w:before="5"/>
      <w:ind w:left="284" w:hanging="284"/>
    </w:pPr>
    <w:rPr>
      <w:rFonts w:ascii="Times New Roman" w:eastAsia="Arial Unicode MS" w:hAnsi="Times New Roman" w:cs="Arial Unicode MS"/>
      <w:color w:val="000000"/>
      <w:spacing w:val="-1"/>
      <w:sz w:val="24"/>
      <w:szCs w:val="24"/>
      <w:u w:color="000000"/>
    </w:rPr>
  </w:style>
  <w:style w:type="paragraph" w:customStyle="1" w:styleId="Literature">
    <w:name w:val="Literature"/>
    <w:rsid w:val="0034590E"/>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rPr>
  </w:style>
  <w:style w:type="numbering" w:customStyle="1" w:styleId="10">
    <w:name w:val="Импортированный стиль 1"/>
    <w:rsid w:val="0034590E"/>
    <w:pPr>
      <w:numPr>
        <w:numId w:val="36"/>
      </w:numPr>
    </w:pPr>
  </w:style>
  <w:style w:type="character" w:customStyle="1" w:styleId="html-italic">
    <w:name w:val="html-italic"/>
    <w:basedOn w:val="a1"/>
    <w:rsid w:val="0034590E"/>
  </w:style>
  <w:style w:type="character" w:customStyle="1" w:styleId="highwire-cite-metadata-volume">
    <w:name w:val="highwire-cite-metadata-volume"/>
    <w:basedOn w:val="a1"/>
    <w:rsid w:val="0034590E"/>
  </w:style>
  <w:style w:type="character" w:customStyle="1" w:styleId="infolabel">
    <w:name w:val="info_label"/>
    <w:basedOn w:val="a1"/>
    <w:rsid w:val="0034590E"/>
  </w:style>
  <w:style w:type="character" w:customStyle="1" w:styleId="infovalue">
    <w:name w:val="info_value"/>
    <w:basedOn w:val="a1"/>
    <w:rsid w:val="0034590E"/>
  </w:style>
  <w:style w:type="paragraph" w:customStyle="1" w:styleId="table-head-left">
    <w:name w:val="table-head-left"/>
    <w:basedOn w:val="a"/>
    <w:rsid w:val="0034590E"/>
    <w:pPr>
      <w:shd w:val="clear" w:color="auto" w:fill="FFFFFF"/>
      <w:tabs>
        <w:tab w:val="left" w:pos="394"/>
      </w:tabs>
      <w:overflowPunct w:val="0"/>
      <w:autoSpaceDE w:val="0"/>
      <w:autoSpaceDN w:val="0"/>
      <w:adjustRightInd w:val="0"/>
      <w:spacing w:before="40" w:after="40" w:line="264" w:lineRule="auto"/>
      <w:ind w:left="57" w:hanging="57"/>
      <w:textAlignment w:val="baseline"/>
    </w:pPr>
    <w:rPr>
      <w:rFonts w:eastAsia="Times New Roman"/>
      <w:b/>
      <w:color w:val="000000"/>
      <w:spacing w:val="-5"/>
      <w:szCs w:val="20"/>
      <w:lang w:eastAsia="ru-RU"/>
    </w:rPr>
  </w:style>
  <w:style w:type="paragraph" w:customStyle="1" w:styleId="table-ref">
    <w:name w:val="table-ref"/>
    <w:basedOn w:val="a"/>
    <w:rsid w:val="0034590E"/>
    <w:pPr>
      <w:shd w:val="clear" w:color="auto" w:fill="FFFFFF"/>
      <w:tabs>
        <w:tab w:val="left" w:pos="394"/>
      </w:tabs>
      <w:overflowPunct w:val="0"/>
      <w:autoSpaceDE w:val="0"/>
      <w:autoSpaceDN w:val="0"/>
      <w:adjustRightInd w:val="0"/>
      <w:spacing w:before="40" w:after="40" w:line="264" w:lineRule="auto"/>
      <w:ind w:left="10" w:firstLine="284"/>
      <w:jc w:val="left"/>
      <w:textAlignment w:val="baseline"/>
    </w:pPr>
    <w:rPr>
      <w:rFonts w:eastAsia="Times New Roman"/>
      <w:color w:val="000000"/>
      <w:spacing w:val="-5"/>
      <w:sz w:val="18"/>
      <w:szCs w:val="20"/>
      <w:lang w:eastAsia="ru-RU"/>
    </w:rPr>
  </w:style>
  <w:style w:type="paragraph" w:customStyle="1" w:styleId="Insert">
    <w:name w:val="Insert"/>
    <w:basedOn w:val="a"/>
    <w:autoRedefine/>
    <w:rsid w:val="0034590E"/>
    <w:pPr>
      <w:widowControl w:val="0"/>
      <w:overflowPunct w:val="0"/>
      <w:autoSpaceDE w:val="0"/>
      <w:autoSpaceDN w:val="0"/>
      <w:adjustRightInd w:val="0"/>
      <w:spacing w:line="264" w:lineRule="auto"/>
      <w:ind w:left="397" w:firstLine="425"/>
      <w:jc w:val="left"/>
      <w:textAlignment w:val="baseline"/>
    </w:pPr>
    <w:rPr>
      <w:rFonts w:eastAsia="Times New Roman"/>
      <w:color w:val="000000"/>
      <w:szCs w:val="20"/>
      <w:lang w:val="en-US" w:eastAsia="ru-RU"/>
    </w:rPr>
  </w:style>
  <w:style w:type="paragraph" w:customStyle="1" w:styleId="Number2">
    <w:name w:val="Number2"/>
    <w:basedOn w:val="Number1"/>
    <w:rsid w:val="0034590E"/>
    <w:pPr>
      <w:overflowPunct w:val="0"/>
      <w:autoSpaceDE w:val="0"/>
      <w:autoSpaceDN w:val="0"/>
      <w:adjustRightInd w:val="0"/>
      <w:spacing w:line="264" w:lineRule="auto"/>
      <w:ind w:left="426" w:hanging="142"/>
      <w:textAlignment w:val="baseline"/>
    </w:pPr>
    <w:rPr>
      <w:rFonts w:eastAsia="Times New Roman" w:cs="Times New Roman"/>
      <w:szCs w:val="20"/>
    </w:rPr>
  </w:style>
  <w:style w:type="paragraph" w:customStyle="1" w:styleId="figure">
    <w:name w:val="figure"/>
    <w:basedOn w:val="a"/>
    <w:rsid w:val="0034590E"/>
    <w:pPr>
      <w:overflowPunct w:val="0"/>
      <w:autoSpaceDE w:val="0"/>
      <w:autoSpaceDN w:val="0"/>
      <w:adjustRightInd w:val="0"/>
      <w:spacing w:before="240" w:after="40" w:line="264" w:lineRule="auto"/>
      <w:ind w:firstLine="425"/>
      <w:jc w:val="left"/>
      <w:textAlignment w:val="baseline"/>
    </w:pPr>
    <w:rPr>
      <w:rFonts w:eastAsia="Times New Roman"/>
      <w:szCs w:val="20"/>
      <w:lang w:eastAsia="ru-RU"/>
    </w:rPr>
  </w:style>
  <w:style w:type="paragraph" w:customStyle="1" w:styleId="author-1">
    <w:name w:val="author-1"/>
    <w:basedOn w:val="Author0"/>
    <w:rsid w:val="0034590E"/>
    <w:pPr>
      <w:keepNext/>
      <w:keepLines/>
      <w:autoSpaceDE w:val="0"/>
      <w:autoSpaceDN w:val="0"/>
      <w:adjustRightInd w:val="0"/>
      <w:spacing w:before="60" w:after="120" w:line="264" w:lineRule="auto"/>
      <w:ind w:firstLine="425"/>
      <w:jc w:val="right"/>
    </w:pPr>
    <w:rPr>
      <w:rFonts w:eastAsia="Times New Roman" w:cs="Times New Roman"/>
      <w:b/>
      <w:noProof/>
      <w:sz w:val="20"/>
      <w:szCs w:val="20"/>
      <w:lang w:val="en-US"/>
    </w:rPr>
  </w:style>
  <w:style w:type="paragraph" w:customStyle="1" w:styleId="Insert1">
    <w:name w:val="Insert 1"/>
    <w:basedOn w:val="Insert"/>
    <w:rsid w:val="0034590E"/>
    <w:pPr>
      <w:ind w:left="0"/>
    </w:pPr>
    <w:rPr>
      <w:sz w:val="20"/>
      <w:lang w:val="ru-RU"/>
    </w:rPr>
  </w:style>
  <w:style w:type="paragraph" w:customStyle="1" w:styleId="Bullit-2">
    <w:name w:val="Bullit-2"/>
    <w:basedOn w:val="a"/>
    <w:rsid w:val="0034590E"/>
    <w:pPr>
      <w:tabs>
        <w:tab w:val="left" w:pos="0"/>
        <w:tab w:val="left" w:pos="1160"/>
      </w:tabs>
      <w:autoSpaceDE w:val="0"/>
      <w:autoSpaceDN w:val="0"/>
      <w:adjustRightInd w:val="0"/>
      <w:spacing w:line="264" w:lineRule="auto"/>
      <w:ind w:left="754" w:hanging="357"/>
      <w:jc w:val="left"/>
    </w:pPr>
    <w:rPr>
      <w:rFonts w:eastAsia="MS Mincho"/>
      <w:color w:val="000000"/>
      <w:lang w:val="en-US" w:eastAsia="ja-JP"/>
    </w:rPr>
  </w:style>
  <w:style w:type="character" w:customStyle="1" w:styleId="extended-textshort">
    <w:name w:val="extended-text__short"/>
    <w:basedOn w:val="a1"/>
    <w:rsid w:val="0034590E"/>
  </w:style>
  <w:style w:type="paragraph" w:customStyle="1" w:styleId="Normalfirst">
    <w:name w:val="Normalfirst"/>
    <w:basedOn w:val="a"/>
    <w:rsid w:val="0034590E"/>
    <w:pPr>
      <w:autoSpaceDE w:val="0"/>
      <w:autoSpaceDN w:val="0"/>
      <w:adjustRightInd w:val="0"/>
      <w:spacing w:line="240" w:lineRule="auto"/>
      <w:ind w:firstLine="0"/>
      <w:jc w:val="left"/>
    </w:pPr>
    <w:rPr>
      <w:rFonts w:eastAsia="MS Mincho"/>
      <w:szCs w:val="24"/>
      <w:lang w:eastAsia="ja-JP"/>
    </w:rPr>
  </w:style>
  <w:style w:type="paragraph" w:customStyle="1" w:styleId="xl68">
    <w:name w:val="xl68"/>
    <w:basedOn w:val="a"/>
    <w:rsid w:val="0034590E"/>
    <w:pPr>
      <w:spacing w:before="100" w:beforeAutospacing="1" w:after="100" w:afterAutospacing="1" w:line="240" w:lineRule="auto"/>
      <w:ind w:firstLine="0"/>
      <w:jc w:val="left"/>
    </w:pPr>
    <w:rPr>
      <w:rFonts w:eastAsia="Times New Roman"/>
      <w:szCs w:val="24"/>
      <w:lang w:eastAsia="ru-RU"/>
    </w:rPr>
  </w:style>
  <w:style w:type="paragraph" w:customStyle="1" w:styleId="xl69">
    <w:name w:val="xl69"/>
    <w:basedOn w:val="a"/>
    <w:rsid w:val="003459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70">
    <w:name w:val="xl70"/>
    <w:basedOn w:val="a"/>
    <w:rsid w:val="003459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71">
    <w:name w:val="xl71"/>
    <w:basedOn w:val="a"/>
    <w:rsid w:val="0034590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65">
    <w:name w:val="xl65"/>
    <w:basedOn w:val="a"/>
    <w:rsid w:val="0034590E"/>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Arial" w:eastAsia="Times New Roman" w:hAnsi="Arial" w:cs="Arial"/>
      <w:color w:val="000000"/>
      <w:sz w:val="20"/>
      <w:szCs w:val="20"/>
      <w:lang w:eastAsia="ru-RU"/>
    </w:rPr>
  </w:style>
  <w:style w:type="paragraph" w:customStyle="1" w:styleId="xl66">
    <w:name w:val="xl66"/>
    <w:basedOn w:val="a"/>
    <w:rsid w:val="0034590E"/>
    <w:pPr>
      <w:pBdr>
        <w:bottom w:val="single" w:sz="8" w:space="0" w:color="auto"/>
        <w:right w:val="single" w:sz="8" w:space="0" w:color="auto"/>
      </w:pBdr>
      <w:spacing w:before="100" w:beforeAutospacing="1" w:after="100" w:afterAutospacing="1" w:line="240" w:lineRule="auto"/>
      <w:ind w:firstLine="0"/>
      <w:jc w:val="left"/>
      <w:textAlignment w:val="center"/>
    </w:pPr>
    <w:rPr>
      <w:rFonts w:ascii="Arial" w:eastAsia="Times New Roman" w:hAnsi="Arial" w:cs="Arial"/>
      <w:color w:val="000000"/>
      <w:sz w:val="20"/>
      <w:szCs w:val="20"/>
      <w:lang w:eastAsia="ru-RU"/>
    </w:rPr>
  </w:style>
  <w:style w:type="paragraph" w:customStyle="1" w:styleId="xl67">
    <w:name w:val="xl67"/>
    <w:basedOn w:val="a"/>
    <w:rsid w:val="0034590E"/>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Arial" w:eastAsia="Times New Roman" w:hAnsi="Arial" w:cs="Arial"/>
      <w:color w:val="000000"/>
      <w:sz w:val="20"/>
      <w:szCs w:val="20"/>
      <w:lang w:eastAsia="ru-RU"/>
    </w:rPr>
  </w:style>
  <w:style w:type="paragraph" w:customStyle="1" w:styleId="Standard">
    <w:name w:val="Standard"/>
    <w:rsid w:val="0034590E"/>
    <w:pPr>
      <w:suppressAutoHyphens/>
      <w:autoSpaceDN w:val="0"/>
      <w:spacing w:line="264" w:lineRule="auto"/>
      <w:ind w:firstLine="425"/>
      <w:textAlignment w:val="baseline"/>
    </w:pPr>
    <w:rPr>
      <w:rFonts w:ascii="Times New Roman" w:eastAsia="Times New Roman" w:hAnsi="Times New Roman"/>
      <w:kern w:val="3"/>
      <w:sz w:val="24"/>
      <w:lang w:val="en-GB"/>
    </w:rPr>
  </w:style>
  <w:style w:type="character" w:customStyle="1" w:styleId="fontstyle01">
    <w:name w:val="fontstyle01"/>
    <w:rsid w:val="0034590E"/>
    <w:rPr>
      <w:rFonts w:ascii="TimesNewRomanPS-ItalicMT" w:hAnsi="TimesNewRomanPS-ItalicMT" w:hint="default"/>
      <w:b w:val="0"/>
      <w:bCs w:val="0"/>
      <w:i/>
      <w:iCs/>
      <w:color w:val="FFFFFF"/>
      <w:sz w:val="32"/>
      <w:szCs w:val="32"/>
    </w:rPr>
  </w:style>
  <w:style w:type="character" w:customStyle="1" w:styleId="1ff0">
    <w:name w:val="Неразрешенное упоминание1"/>
    <w:uiPriority w:val="99"/>
    <w:semiHidden/>
    <w:unhideWhenUsed/>
    <w:rsid w:val="00345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80064806">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file:///C:\images\16_ab803b74-d80e-40af-82db-92fa514c947d.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D0916-2614-4506-8BB8-F02FCB38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172</Pages>
  <Words>190713</Words>
  <Characters>1087065</Characters>
  <Application>Microsoft Office Word</Application>
  <DocSecurity>0</DocSecurity>
  <Lines>9058</Lines>
  <Paragraphs>2550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1275228</CharactersWithSpaces>
  <SharedDoc>false</SharedDoc>
  <HLinks>
    <vt:vector size="192" baseType="variant">
      <vt:variant>
        <vt:i4>1572919</vt:i4>
      </vt:variant>
      <vt:variant>
        <vt:i4>188</vt:i4>
      </vt:variant>
      <vt:variant>
        <vt:i4>0</vt:i4>
      </vt:variant>
      <vt:variant>
        <vt:i4>5</vt:i4>
      </vt:variant>
      <vt:variant>
        <vt:lpwstr/>
      </vt:variant>
      <vt:variant>
        <vt:lpwstr>_Toc25184507</vt:lpwstr>
      </vt:variant>
      <vt:variant>
        <vt:i4>1638455</vt:i4>
      </vt:variant>
      <vt:variant>
        <vt:i4>182</vt:i4>
      </vt:variant>
      <vt:variant>
        <vt:i4>0</vt:i4>
      </vt:variant>
      <vt:variant>
        <vt:i4>5</vt:i4>
      </vt:variant>
      <vt:variant>
        <vt:lpwstr/>
      </vt:variant>
      <vt:variant>
        <vt:lpwstr>_Toc25184506</vt:lpwstr>
      </vt:variant>
      <vt:variant>
        <vt:i4>1703991</vt:i4>
      </vt:variant>
      <vt:variant>
        <vt:i4>176</vt:i4>
      </vt:variant>
      <vt:variant>
        <vt:i4>0</vt:i4>
      </vt:variant>
      <vt:variant>
        <vt:i4>5</vt:i4>
      </vt:variant>
      <vt:variant>
        <vt:lpwstr/>
      </vt:variant>
      <vt:variant>
        <vt:lpwstr>_Toc25184505</vt:lpwstr>
      </vt:variant>
      <vt:variant>
        <vt:i4>1769527</vt:i4>
      </vt:variant>
      <vt:variant>
        <vt:i4>170</vt:i4>
      </vt:variant>
      <vt:variant>
        <vt:i4>0</vt:i4>
      </vt:variant>
      <vt:variant>
        <vt:i4>5</vt:i4>
      </vt:variant>
      <vt:variant>
        <vt:lpwstr/>
      </vt:variant>
      <vt:variant>
        <vt:lpwstr>_Toc25184504</vt:lpwstr>
      </vt:variant>
      <vt:variant>
        <vt:i4>1835063</vt:i4>
      </vt:variant>
      <vt:variant>
        <vt:i4>164</vt:i4>
      </vt:variant>
      <vt:variant>
        <vt:i4>0</vt:i4>
      </vt:variant>
      <vt:variant>
        <vt:i4>5</vt:i4>
      </vt:variant>
      <vt:variant>
        <vt:lpwstr/>
      </vt:variant>
      <vt:variant>
        <vt:lpwstr>_Toc25184503</vt:lpwstr>
      </vt:variant>
      <vt:variant>
        <vt:i4>1900599</vt:i4>
      </vt:variant>
      <vt:variant>
        <vt:i4>158</vt:i4>
      </vt:variant>
      <vt:variant>
        <vt:i4>0</vt:i4>
      </vt:variant>
      <vt:variant>
        <vt:i4>5</vt:i4>
      </vt:variant>
      <vt:variant>
        <vt:lpwstr/>
      </vt:variant>
      <vt:variant>
        <vt:lpwstr>_Toc25184502</vt:lpwstr>
      </vt:variant>
      <vt:variant>
        <vt:i4>1966135</vt:i4>
      </vt:variant>
      <vt:variant>
        <vt:i4>152</vt:i4>
      </vt:variant>
      <vt:variant>
        <vt:i4>0</vt:i4>
      </vt:variant>
      <vt:variant>
        <vt:i4>5</vt:i4>
      </vt:variant>
      <vt:variant>
        <vt:lpwstr/>
      </vt:variant>
      <vt:variant>
        <vt:lpwstr>_Toc25184501</vt:lpwstr>
      </vt:variant>
      <vt:variant>
        <vt:i4>2031671</vt:i4>
      </vt:variant>
      <vt:variant>
        <vt:i4>146</vt:i4>
      </vt:variant>
      <vt:variant>
        <vt:i4>0</vt:i4>
      </vt:variant>
      <vt:variant>
        <vt:i4>5</vt:i4>
      </vt:variant>
      <vt:variant>
        <vt:lpwstr/>
      </vt:variant>
      <vt:variant>
        <vt:lpwstr>_Toc25184500</vt:lpwstr>
      </vt:variant>
      <vt:variant>
        <vt:i4>1507390</vt:i4>
      </vt:variant>
      <vt:variant>
        <vt:i4>140</vt:i4>
      </vt:variant>
      <vt:variant>
        <vt:i4>0</vt:i4>
      </vt:variant>
      <vt:variant>
        <vt:i4>5</vt:i4>
      </vt:variant>
      <vt:variant>
        <vt:lpwstr/>
      </vt:variant>
      <vt:variant>
        <vt:lpwstr>_Toc25184499</vt:lpwstr>
      </vt:variant>
      <vt:variant>
        <vt:i4>1441854</vt:i4>
      </vt:variant>
      <vt:variant>
        <vt:i4>134</vt:i4>
      </vt:variant>
      <vt:variant>
        <vt:i4>0</vt:i4>
      </vt:variant>
      <vt:variant>
        <vt:i4>5</vt:i4>
      </vt:variant>
      <vt:variant>
        <vt:lpwstr/>
      </vt:variant>
      <vt:variant>
        <vt:lpwstr>_Toc25184498</vt:lpwstr>
      </vt:variant>
      <vt:variant>
        <vt:i4>1638462</vt:i4>
      </vt:variant>
      <vt:variant>
        <vt:i4>128</vt:i4>
      </vt:variant>
      <vt:variant>
        <vt:i4>0</vt:i4>
      </vt:variant>
      <vt:variant>
        <vt:i4>5</vt:i4>
      </vt:variant>
      <vt:variant>
        <vt:lpwstr/>
      </vt:variant>
      <vt:variant>
        <vt:lpwstr>_Toc25184497</vt:lpwstr>
      </vt:variant>
      <vt:variant>
        <vt:i4>1572926</vt:i4>
      </vt:variant>
      <vt:variant>
        <vt:i4>122</vt:i4>
      </vt:variant>
      <vt:variant>
        <vt:i4>0</vt:i4>
      </vt:variant>
      <vt:variant>
        <vt:i4>5</vt:i4>
      </vt:variant>
      <vt:variant>
        <vt:lpwstr/>
      </vt:variant>
      <vt:variant>
        <vt:lpwstr>_Toc25184496</vt:lpwstr>
      </vt:variant>
      <vt:variant>
        <vt:i4>1769534</vt:i4>
      </vt:variant>
      <vt:variant>
        <vt:i4>116</vt:i4>
      </vt:variant>
      <vt:variant>
        <vt:i4>0</vt:i4>
      </vt:variant>
      <vt:variant>
        <vt:i4>5</vt:i4>
      </vt:variant>
      <vt:variant>
        <vt:lpwstr/>
      </vt:variant>
      <vt:variant>
        <vt:lpwstr>_Toc25184495</vt:lpwstr>
      </vt:variant>
      <vt:variant>
        <vt:i4>1703998</vt:i4>
      </vt:variant>
      <vt:variant>
        <vt:i4>110</vt:i4>
      </vt:variant>
      <vt:variant>
        <vt:i4>0</vt:i4>
      </vt:variant>
      <vt:variant>
        <vt:i4>5</vt:i4>
      </vt:variant>
      <vt:variant>
        <vt:lpwstr/>
      </vt:variant>
      <vt:variant>
        <vt:lpwstr>_Toc25184494</vt:lpwstr>
      </vt:variant>
      <vt:variant>
        <vt:i4>1900606</vt:i4>
      </vt:variant>
      <vt:variant>
        <vt:i4>104</vt:i4>
      </vt:variant>
      <vt:variant>
        <vt:i4>0</vt:i4>
      </vt:variant>
      <vt:variant>
        <vt:i4>5</vt:i4>
      </vt:variant>
      <vt:variant>
        <vt:lpwstr/>
      </vt:variant>
      <vt:variant>
        <vt:lpwstr>_Toc25184493</vt:lpwstr>
      </vt:variant>
      <vt:variant>
        <vt:i4>1835070</vt:i4>
      </vt:variant>
      <vt:variant>
        <vt:i4>98</vt:i4>
      </vt:variant>
      <vt:variant>
        <vt:i4>0</vt:i4>
      </vt:variant>
      <vt:variant>
        <vt:i4>5</vt:i4>
      </vt:variant>
      <vt:variant>
        <vt:lpwstr/>
      </vt:variant>
      <vt:variant>
        <vt:lpwstr>_Toc25184492</vt:lpwstr>
      </vt:variant>
      <vt:variant>
        <vt:i4>2031678</vt:i4>
      </vt:variant>
      <vt:variant>
        <vt:i4>92</vt:i4>
      </vt:variant>
      <vt:variant>
        <vt:i4>0</vt:i4>
      </vt:variant>
      <vt:variant>
        <vt:i4>5</vt:i4>
      </vt:variant>
      <vt:variant>
        <vt:lpwstr/>
      </vt:variant>
      <vt:variant>
        <vt:lpwstr>_Toc25184491</vt:lpwstr>
      </vt:variant>
      <vt:variant>
        <vt:i4>1966142</vt:i4>
      </vt:variant>
      <vt:variant>
        <vt:i4>86</vt:i4>
      </vt:variant>
      <vt:variant>
        <vt:i4>0</vt:i4>
      </vt:variant>
      <vt:variant>
        <vt:i4>5</vt:i4>
      </vt:variant>
      <vt:variant>
        <vt:lpwstr/>
      </vt:variant>
      <vt:variant>
        <vt:lpwstr>_Toc25184490</vt:lpwstr>
      </vt:variant>
      <vt:variant>
        <vt:i4>1507391</vt:i4>
      </vt:variant>
      <vt:variant>
        <vt:i4>80</vt:i4>
      </vt:variant>
      <vt:variant>
        <vt:i4>0</vt:i4>
      </vt:variant>
      <vt:variant>
        <vt:i4>5</vt:i4>
      </vt:variant>
      <vt:variant>
        <vt:lpwstr/>
      </vt:variant>
      <vt:variant>
        <vt:lpwstr>_Toc25184489</vt:lpwstr>
      </vt:variant>
      <vt:variant>
        <vt:i4>1441855</vt:i4>
      </vt:variant>
      <vt:variant>
        <vt:i4>74</vt:i4>
      </vt:variant>
      <vt:variant>
        <vt:i4>0</vt:i4>
      </vt:variant>
      <vt:variant>
        <vt:i4>5</vt:i4>
      </vt:variant>
      <vt:variant>
        <vt:lpwstr/>
      </vt:variant>
      <vt:variant>
        <vt:lpwstr>_Toc25184488</vt:lpwstr>
      </vt:variant>
      <vt:variant>
        <vt:i4>1638463</vt:i4>
      </vt:variant>
      <vt:variant>
        <vt:i4>68</vt:i4>
      </vt:variant>
      <vt:variant>
        <vt:i4>0</vt:i4>
      </vt:variant>
      <vt:variant>
        <vt:i4>5</vt:i4>
      </vt:variant>
      <vt:variant>
        <vt:lpwstr/>
      </vt:variant>
      <vt:variant>
        <vt:lpwstr>_Toc25184487</vt:lpwstr>
      </vt:variant>
      <vt:variant>
        <vt:i4>1572927</vt:i4>
      </vt:variant>
      <vt:variant>
        <vt:i4>62</vt:i4>
      </vt:variant>
      <vt:variant>
        <vt:i4>0</vt:i4>
      </vt:variant>
      <vt:variant>
        <vt:i4>5</vt:i4>
      </vt:variant>
      <vt:variant>
        <vt:lpwstr/>
      </vt:variant>
      <vt:variant>
        <vt:lpwstr>_Toc25184486</vt:lpwstr>
      </vt:variant>
      <vt:variant>
        <vt:i4>1769535</vt:i4>
      </vt:variant>
      <vt:variant>
        <vt:i4>56</vt:i4>
      </vt:variant>
      <vt:variant>
        <vt:i4>0</vt:i4>
      </vt:variant>
      <vt:variant>
        <vt:i4>5</vt:i4>
      </vt:variant>
      <vt:variant>
        <vt:lpwstr/>
      </vt:variant>
      <vt:variant>
        <vt:lpwstr>_Toc25184485</vt:lpwstr>
      </vt:variant>
      <vt:variant>
        <vt:i4>1703999</vt:i4>
      </vt:variant>
      <vt:variant>
        <vt:i4>50</vt:i4>
      </vt:variant>
      <vt:variant>
        <vt:i4>0</vt:i4>
      </vt:variant>
      <vt:variant>
        <vt:i4>5</vt:i4>
      </vt:variant>
      <vt:variant>
        <vt:lpwstr/>
      </vt:variant>
      <vt:variant>
        <vt:lpwstr>_Toc25184484</vt:lpwstr>
      </vt:variant>
      <vt:variant>
        <vt:i4>1900607</vt:i4>
      </vt:variant>
      <vt:variant>
        <vt:i4>44</vt:i4>
      </vt:variant>
      <vt:variant>
        <vt:i4>0</vt:i4>
      </vt:variant>
      <vt:variant>
        <vt:i4>5</vt:i4>
      </vt:variant>
      <vt:variant>
        <vt:lpwstr/>
      </vt:variant>
      <vt:variant>
        <vt:lpwstr>_Toc25184483</vt:lpwstr>
      </vt:variant>
      <vt:variant>
        <vt:i4>1835071</vt:i4>
      </vt:variant>
      <vt:variant>
        <vt:i4>38</vt:i4>
      </vt:variant>
      <vt:variant>
        <vt:i4>0</vt:i4>
      </vt:variant>
      <vt:variant>
        <vt:i4>5</vt:i4>
      </vt:variant>
      <vt:variant>
        <vt:lpwstr/>
      </vt:variant>
      <vt:variant>
        <vt:lpwstr>_Toc25184482</vt:lpwstr>
      </vt:variant>
      <vt:variant>
        <vt:i4>2031679</vt:i4>
      </vt:variant>
      <vt:variant>
        <vt:i4>32</vt:i4>
      </vt:variant>
      <vt:variant>
        <vt:i4>0</vt:i4>
      </vt:variant>
      <vt:variant>
        <vt:i4>5</vt:i4>
      </vt:variant>
      <vt:variant>
        <vt:lpwstr/>
      </vt:variant>
      <vt:variant>
        <vt:lpwstr>_Toc25184481</vt:lpwstr>
      </vt:variant>
      <vt:variant>
        <vt:i4>1966143</vt:i4>
      </vt:variant>
      <vt:variant>
        <vt:i4>26</vt:i4>
      </vt:variant>
      <vt:variant>
        <vt:i4>0</vt:i4>
      </vt:variant>
      <vt:variant>
        <vt:i4>5</vt:i4>
      </vt:variant>
      <vt:variant>
        <vt:lpwstr/>
      </vt:variant>
      <vt:variant>
        <vt:lpwstr>_Toc25184480</vt:lpwstr>
      </vt:variant>
      <vt:variant>
        <vt:i4>1507376</vt:i4>
      </vt:variant>
      <vt:variant>
        <vt:i4>20</vt:i4>
      </vt:variant>
      <vt:variant>
        <vt:i4>0</vt:i4>
      </vt:variant>
      <vt:variant>
        <vt:i4>5</vt:i4>
      </vt:variant>
      <vt:variant>
        <vt:lpwstr/>
      </vt:variant>
      <vt:variant>
        <vt:lpwstr>_Toc25184479</vt:lpwstr>
      </vt:variant>
      <vt:variant>
        <vt:i4>1441840</vt:i4>
      </vt:variant>
      <vt:variant>
        <vt:i4>14</vt:i4>
      </vt:variant>
      <vt:variant>
        <vt:i4>0</vt:i4>
      </vt:variant>
      <vt:variant>
        <vt:i4>5</vt:i4>
      </vt:variant>
      <vt:variant>
        <vt:lpwstr/>
      </vt:variant>
      <vt:variant>
        <vt:lpwstr>_Toc25184478</vt:lpwstr>
      </vt:variant>
      <vt:variant>
        <vt:i4>1638448</vt:i4>
      </vt:variant>
      <vt:variant>
        <vt:i4>8</vt:i4>
      </vt:variant>
      <vt:variant>
        <vt:i4>0</vt:i4>
      </vt:variant>
      <vt:variant>
        <vt:i4>5</vt:i4>
      </vt:variant>
      <vt:variant>
        <vt:lpwstr/>
      </vt:variant>
      <vt:variant>
        <vt:lpwstr>_Toc25184477</vt:lpwstr>
      </vt:variant>
      <vt:variant>
        <vt:i4>1572912</vt:i4>
      </vt:variant>
      <vt:variant>
        <vt:i4>2</vt:i4>
      </vt:variant>
      <vt:variant>
        <vt:i4>0</vt:i4>
      </vt:variant>
      <vt:variant>
        <vt:i4>5</vt:i4>
      </vt:variant>
      <vt:variant>
        <vt:lpwstr/>
      </vt:variant>
      <vt:variant>
        <vt:lpwstr>_Toc25184476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cp:keywords/>
  <cp:lastModifiedBy>Dmitri Stefanov</cp:lastModifiedBy>
  <cp:revision>4</cp:revision>
  <cp:lastPrinted>2016-10-07T09:24:00Z</cp:lastPrinted>
  <dcterms:created xsi:type="dcterms:W3CDTF">2022-05-13T07:40:00Z</dcterms:created>
  <dcterms:modified xsi:type="dcterms:W3CDTF">2022-05-13T08:13:00Z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http://csl.mendeley.com/styles/265073341/hematology-and-transfusiology-ver2</vt:lpwstr>
  </property>
  <property fmtid="{D5CDD505-2E9C-101B-9397-08002B2CF9AE}" pid="18" name="Mendeley Recent Style Name 4_1">
    <vt:lpwstr>Hematology and Transfusiology</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http://www.zotero.org/styles/modern-humanities-research-association</vt:lpwstr>
  </property>
  <property fmtid="{D5CDD505-2E9C-101B-9397-08002B2CF9AE}" pid="22" name="Mendeley Recent Style Name 6_1">
    <vt:lpwstr>Modern Humanities Research Association 3rd edition (note with bibliography)</vt:lpwstr>
  </property>
  <property fmtid="{D5CDD505-2E9C-101B-9397-08002B2CF9AE}" pid="23" name="Mendeley Recent Style Id 7_1">
    <vt:lpwstr>http://www.zotero.org/styles/modern-language-association</vt:lpwstr>
  </property>
  <property fmtid="{D5CDD505-2E9C-101B-9397-08002B2CF9AE}" pid="24" name="Mendeley Recent Style Name 7_1">
    <vt:lpwstr>Modern Language Association 8th edition</vt:lpwstr>
  </property>
  <property fmtid="{D5CDD505-2E9C-101B-9397-08002B2CF9AE}" pid="25" name="Mendeley Recent Style Id 8_1">
    <vt:lpwstr>http://www.zotero.org/styles/gost-r-7-0-5-2008-numeric</vt:lpwstr>
  </property>
  <property fmtid="{D5CDD505-2E9C-101B-9397-08002B2CF9AE}" pid="26" name="Mendeley Recent Style Name 8_1">
    <vt:lpwstr>Russian GOST R 7.0.5-2008 (numeric)</vt:lpwstr>
  </property>
  <property fmtid="{D5CDD505-2E9C-101B-9397-08002B2CF9AE}" pid="27" name="Mendeley Recent Style Id 9_1">
    <vt:lpwstr>https://csl.mendeley.com/styles/507103441/RussianPediatricOncology3</vt:lpwstr>
  </property>
  <property fmtid="{D5CDD505-2E9C-101B-9397-08002B2CF9AE}" pid="28" name="Mendeley Recent Style Name 9_1">
    <vt:lpwstr>Russian Pediatric Oncology Journal</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